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14 – Decisiones de Arquitectura</w:t>
      </w:r>
    </w:p>
    <w:p>
      <w:pPr>
        <w:pStyle w:val="Heading2"/>
      </w:pPr>
      <w:r>
        <w:t>Objetivo</w:t>
      </w:r>
    </w:p>
    <w:p>
      <w:r>
        <w:rPr>
          <w:sz w:val="22"/>
        </w:rPr>
        <w:t>Registrar las decisiones arquitectónicas oficiales del SIGCM para mantener coherencia durante la evolución del producto.</w:t>
      </w:r>
    </w:p>
    <w:p>
      <w:pPr>
        <w:pStyle w:val="Heading2"/>
      </w:pPr>
      <w:r>
        <w:t>Decisión 001</w:t>
      </w:r>
    </w:p>
    <w:p>
      <w:r>
        <w:rPr>
          <w:sz w:val="22"/>
        </w:rPr>
        <w:t>El paciente es único por tipo y número de documento.</w:t>
      </w:r>
    </w:p>
    <w:p>
      <w:pPr>
        <w:pStyle w:val="Heading2"/>
      </w:pPr>
      <w:r>
        <w:t>Decisión 002</w:t>
      </w:r>
    </w:p>
    <w:p>
      <w:r>
        <w:rPr>
          <w:sz w:val="22"/>
        </w:rPr>
        <w:t>El paciente no pertenece a un consultorio; los turnos y atenciones sí.</w:t>
      </w:r>
    </w:p>
    <w:p>
      <w:pPr>
        <w:pStyle w:val="Heading2"/>
      </w:pPr>
      <w:r>
        <w:t>Decisión 003</w:t>
      </w:r>
    </w:p>
    <w:p>
      <w:r>
        <w:rPr>
          <w:sz w:val="22"/>
        </w:rPr>
        <w:t>Los documentos masivos permanecen en repositorios externos; SIGCM administra metadatos, vínculos y auditoría.</w:t>
      </w:r>
    </w:p>
    <w:p>
      <w:pPr>
        <w:pStyle w:val="Heading2"/>
      </w:pPr>
      <w:r>
        <w:t>Decisión 004</w:t>
      </w:r>
    </w:p>
    <w:p>
      <w:r>
        <w:rPr>
          <w:sz w:val="22"/>
        </w:rPr>
        <w:t>Supabase Storage se utilizará para archivos livianos o generados por el sistema.</w:t>
      </w:r>
    </w:p>
    <w:p>
      <w:pPr>
        <w:pStyle w:val="Heading2"/>
      </w:pPr>
      <w:r>
        <w:t>Decisión 005</w:t>
      </w:r>
    </w:p>
    <w:p>
      <w:r>
        <w:rPr>
          <w:sz w:val="22"/>
        </w:rPr>
        <w:t>La seguridad se implementa mediante RLS y Edge Functions, nunca exclusivamente desde el frontend.</w:t>
      </w:r>
    </w:p>
    <w:p>
      <w:pPr>
        <w:pStyle w:val="Heading2"/>
      </w:pPr>
      <w:r>
        <w:t>Decisión 006</w:t>
      </w:r>
    </w:p>
    <w:p>
      <w:r>
        <w:rPr>
          <w:sz w:val="22"/>
        </w:rPr>
        <w:t>El usuario Master Admin permanece protegido y no puede ser eliminado o degradado.</w:t>
      </w:r>
    </w:p>
    <w:p>
      <w:pPr>
        <w:pStyle w:val="Heading2"/>
      </w:pPr>
      <w:r>
        <w:t>Decisión 007</w:t>
      </w:r>
    </w:p>
    <w:p>
      <w:r>
        <w:rPr>
          <w:sz w:val="22"/>
        </w:rPr>
        <w:t>Las secretarias ven por defecto todos los médicos de su sede; opcionalmente pueden restringirse por asignación.</w:t>
      </w:r>
    </w:p>
    <w:p>
      <w:pPr>
        <w:pStyle w:val="Heading2"/>
      </w:pPr>
      <w:r>
        <w:t>Decisión 008</w:t>
      </w:r>
    </w:p>
    <w:p>
      <w:r>
        <w:rPr>
          <w:sz w:val="22"/>
        </w:rPr>
        <w:t>Toda funcionalidad debe ser configurable antes que personalizada por código.</w:t>
      </w:r>
    </w:p>
    <w:p>
      <w:pPr>
        <w:pStyle w:val="Heading2"/>
      </w:pPr>
      <w:r>
        <w:t>Decisión 009</w:t>
      </w:r>
    </w:p>
    <w:p>
      <w:r>
        <w:rPr>
          <w:sz w:val="22"/>
        </w:rPr>
        <w:t>Cada botón ejecuta únicamente la acción que describe.</w:t>
      </w:r>
    </w:p>
    <w:p>
      <w:pPr>
        <w:pStyle w:val="Heading2"/>
      </w:pPr>
      <w:r>
        <w:t>Decisión 010</w:t>
      </w:r>
    </w:p>
    <w:p>
      <w:r>
        <w:rPr>
          <w:sz w:val="22"/>
        </w:rPr>
        <w:t>El producto se diseña como SaaS multiempresa preparado para comercialización.</w:t>
      </w:r>
    </w:p>
    <w:p>
      <w:pPr>
        <w:pStyle w:val="Heading2"/>
      </w:pPr>
      <w:r>
        <w:t>Gobierno de arquitectura</w:t>
      </w:r>
    </w:p>
    <w:p>
      <w:r>
        <w:rPr>
          <w:sz w:val="22"/>
        </w:rPr>
        <w:t>Toda modificación importante deberá justificar impacto, riesgos, compatibilidad y estrategia de rollback antes de implementarse.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