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15 – Gobierno del Producto, Versionado y Changelog</w:t>
      </w:r>
    </w:p>
    <w:p>
      <w:pPr>
        <w:pStyle w:val="Heading2"/>
      </w:pPr>
      <w:r>
        <w:t>Objetivo</w:t>
      </w:r>
    </w:p>
    <w:p>
      <w:r>
        <w:rPr>
          <w:sz w:val="22"/>
        </w:rPr>
        <w:t>Establecer las reglas para la evolución, mantenimiento y gobierno del SIGCM.</w:t>
      </w:r>
    </w:p>
    <w:p>
      <w:pPr>
        <w:pStyle w:val="Heading2"/>
      </w:pPr>
      <w:r>
        <w:t>Gobierno del producto</w:t>
      </w:r>
    </w:p>
    <w:p>
      <w:r>
        <w:rPr>
          <w:sz w:val="22"/>
        </w:rPr>
        <w:t>Toda nueva funcionalidad deberá:</w:t>
      </w:r>
    </w:p>
    <w:p>
      <w:pPr>
        <w:pStyle w:val="ListBullet"/>
      </w:pPr>
      <w:r>
        <w:t>- respetar la arquitectura definida;</w:t>
      </w:r>
    </w:p>
    <w:p>
      <w:pPr>
        <w:pStyle w:val="ListBullet"/>
      </w:pPr>
      <w:r>
        <w:t>- mantener compatibilidad con la versión vigente;</w:t>
      </w:r>
    </w:p>
    <w:p>
      <w:pPr>
        <w:pStyle w:val="ListBullet"/>
      </w:pPr>
      <w:r>
        <w:t>- documentarse antes de implementarse;</w:t>
      </w:r>
    </w:p>
    <w:p>
      <w:pPr>
        <w:pStyle w:val="ListBullet"/>
      </w:pPr>
      <w:r>
        <w:t>- incluir plan de pruebas y rollback.</w:t>
      </w:r>
    </w:p>
    <w:p>
      <w:pPr>
        <w:pStyle w:val="Heading2"/>
      </w:pPr>
      <w:r>
        <w:t>Versionado</w:t>
      </w:r>
    </w:p>
    <w:p>
      <w:r>
        <w:rPr>
          <w:sz w:val="22"/>
        </w:rPr>
        <w:t>Utilizar versionado semántico:</w:t>
      </w:r>
    </w:p>
    <w:p>
      <w:pPr>
        <w:pStyle w:val="ListBullet"/>
      </w:pPr>
      <w:r>
        <w:t>- MAJOR: cambios incompatibles.</w:t>
      </w:r>
    </w:p>
    <w:p>
      <w:pPr>
        <w:pStyle w:val="ListBullet"/>
      </w:pPr>
      <w:r>
        <w:t>- MINOR: nuevas funcionalidades compatibles.</w:t>
      </w:r>
    </w:p>
    <w:p>
      <w:pPr>
        <w:pStyle w:val="ListBullet"/>
      </w:pPr>
      <w:r>
        <w:t>- PATCH: correcciones y mejoras menores.</w:t>
      </w:r>
    </w:p>
    <w:p>
      <w:pPr>
        <w:pStyle w:val="Heading2"/>
      </w:pPr>
      <w:r>
        <w:t>Changelog</w:t>
      </w:r>
    </w:p>
    <w:p>
      <w:r>
        <w:rPr>
          <w:sz w:val="22"/>
        </w:rPr>
        <w:t>Cada versión deberá registrar:</w:t>
      </w:r>
    </w:p>
    <w:p>
      <w:pPr>
        <w:pStyle w:val="ListBullet"/>
      </w:pPr>
      <w:r>
        <w:t>- fecha;</w:t>
      </w:r>
    </w:p>
    <w:p>
      <w:pPr>
        <w:pStyle w:val="ListBullet"/>
      </w:pPr>
      <w:r>
        <w:t>- responsable;</w:t>
      </w:r>
    </w:p>
    <w:p>
      <w:pPr>
        <w:pStyle w:val="ListBullet"/>
      </w:pPr>
      <w:r>
        <w:t>- funcionalidades agregadas;</w:t>
      </w:r>
    </w:p>
    <w:p>
      <w:pPr>
        <w:pStyle w:val="ListBullet"/>
      </w:pPr>
      <w:r>
        <w:t>- errores corregidos;</w:t>
      </w:r>
    </w:p>
    <w:p>
      <w:pPr>
        <w:pStyle w:val="ListBullet"/>
      </w:pPr>
      <w:r>
        <w:t>- cambios de base de datos;</w:t>
      </w:r>
    </w:p>
    <w:p>
      <w:pPr>
        <w:pStyle w:val="ListBullet"/>
      </w:pPr>
      <w:r>
        <w:t>- cambios de infraestructura;</w:t>
      </w:r>
    </w:p>
    <w:p>
      <w:pPr>
        <w:pStyle w:val="ListBullet"/>
      </w:pPr>
      <w:r>
        <w:t>- impacto para usuarios.</w:t>
      </w:r>
    </w:p>
    <w:p>
      <w:pPr>
        <w:pStyle w:val="Heading2"/>
      </w:pPr>
      <w:r>
        <w:t>Gestión de cambios</w:t>
      </w:r>
    </w:p>
    <w:p>
      <w:r>
        <w:rPr>
          <w:sz w:val="22"/>
        </w:rPr>
        <w:t>Toda modificación funcional deberá actualizar:</w:t>
      </w:r>
    </w:p>
    <w:p>
      <w:pPr>
        <w:pStyle w:val="ListBullet"/>
      </w:pPr>
      <w:r>
        <w:t>- documentación;</w:t>
      </w:r>
    </w:p>
    <w:p>
      <w:pPr>
        <w:pStyle w:val="ListBullet"/>
      </w:pPr>
      <w:r>
        <w:t>- README;</w:t>
      </w:r>
    </w:p>
    <w:p>
      <w:pPr>
        <w:pStyle w:val="ListBullet"/>
      </w:pPr>
      <w:r>
        <w:t>- roadmap;</w:t>
      </w:r>
    </w:p>
    <w:p>
      <w:pPr>
        <w:pStyle w:val="ListBullet"/>
      </w:pPr>
      <w:r>
        <w:t>- casos de prueba;</w:t>
      </w:r>
    </w:p>
    <w:p>
      <w:pPr>
        <w:pStyle w:val="ListBullet"/>
      </w:pPr>
      <w:r>
        <w:t>- scripts SQL cuando corresponda.</w:t>
      </w:r>
    </w:p>
    <w:p>
      <w:pPr>
        <w:pStyle w:val="Heading2"/>
      </w:pPr>
      <w:r>
        <w:t>Calidad</w:t>
      </w:r>
    </w:p>
    <w:p>
      <w:r>
        <w:rPr>
          <w:sz w:val="22"/>
        </w:rPr>
        <w:t>No aceptar cambios sin validación funcional y técnica.</w:t>
      </w:r>
    </w:p>
    <w:p>
      <w:pPr>
        <w:pStyle w:val="Heading2"/>
      </w:pPr>
      <w:r>
        <w:t>Cierre</w:t>
      </w:r>
    </w:p>
    <w:p>
      <w:r>
        <w:rPr>
          <w:sz w:val="22"/>
        </w:rPr>
        <w:t>Estos quince documentos constituyen la base documental oficial del Sistema Integral de Gestión para Consultorios Médicos (SIGCM) y deberán evolucionar junto con el producto.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