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20 – Plan Maestro de Implementación</w:t>
      </w:r>
    </w:p>
    <w:p>
      <w:pPr>
        <w:pStyle w:val="Heading2"/>
      </w:pPr>
      <w:r>
        <w:t>Objetivo</w:t>
      </w:r>
    </w:p>
    <w:p>
      <w:r>
        <w:rPr>
          <w:sz w:val="22"/>
        </w:rPr>
        <w:t>Definir el orden oficial para construir, validar, desplegar y evolucionar el SIGCM.</w:t>
      </w:r>
    </w:p>
    <w:p>
      <w:pPr>
        <w:pStyle w:val="Heading2"/>
      </w:pPr>
      <w:r>
        <w:t>Fase 1 – Estabilización</w:t>
      </w:r>
    </w:p>
    <w:p>
      <w:pPr>
        <w:pStyle w:val="ListBullet"/>
      </w:pPr>
      <w:r>
        <w:t>- Corrección de alta de pacientes.</w:t>
      </w:r>
    </w:p>
    <w:p>
      <w:pPr>
        <w:pStyle w:val="ListBullet"/>
      </w:pPr>
      <w:r>
        <w:t>- Paciente único.</w:t>
      </w:r>
    </w:p>
    <w:p>
      <w:pPr>
        <w:pStyle w:val="ListBullet"/>
      </w:pPr>
      <w:r>
        <w:t>- Gestión completa de usuarios.</w:t>
      </w:r>
    </w:p>
    <w:p>
      <w:pPr>
        <w:pStyle w:val="ListBullet"/>
      </w:pPr>
      <w:r>
        <w:t>- Login profesional.</w:t>
      </w:r>
    </w:p>
    <w:p>
      <w:pPr>
        <w:pStyle w:val="ListBullet"/>
      </w:pPr>
      <w:r>
        <w:t>- Navegación consistente.</w:t>
      </w:r>
    </w:p>
    <w:p>
      <w:pPr>
        <w:pStyle w:val="ListBullet"/>
      </w:pPr>
      <w:r>
        <w:t>- Auditoría básica.</w:t>
      </w:r>
    </w:p>
    <w:p>
      <w:pPr>
        <w:pStyle w:val="Heading2"/>
      </w:pPr>
      <w:r>
        <w:t>Fase 2 – Operación clínica</w:t>
      </w:r>
    </w:p>
    <w:p>
      <w:pPr>
        <w:pStyle w:val="ListBullet"/>
      </w:pPr>
      <w:r>
        <w:t>- Agenda.</w:t>
      </w:r>
    </w:p>
    <w:p>
      <w:pPr>
        <w:pStyle w:val="ListBullet"/>
      </w:pPr>
      <w:r>
        <w:t>- Turnera pública.</w:t>
      </w:r>
    </w:p>
    <w:p>
      <w:pPr>
        <w:pStyle w:val="ListBullet"/>
      </w:pPr>
      <w:r>
        <w:t>- Lista de espera.</w:t>
      </w:r>
    </w:p>
    <w:p>
      <w:pPr>
        <w:pStyle w:val="ListBullet"/>
      </w:pPr>
      <w:r>
        <w:t>- Historia clínica.</w:t>
      </w:r>
    </w:p>
    <w:p>
      <w:pPr>
        <w:pStyle w:val="ListBullet"/>
      </w:pPr>
      <w:r>
        <w:t>- Notificaciones.</w:t>
      </w:r>
    </w:p>
    <w:p>
      <w:pPr>
        <w:pStyle w:val="Heading2"/>
      </w:pPr>
      <w:r>
        <w:t>Fase 3 – Gestión documental</w:t>
      </w:r>
    </w:p>
    <w:p>
      <w:pPr>
        <w:pStyle w:val="ListBullet"/>
      </w:pPr>
      <w:r>
        <w:t>- Repositorios documentales.</w:t>
      </w:r>
    </w:p>
    <w:p>
      <w:pPr>
        <w:pStyle w:val="ListBullet"/>
      </w:pPr>
      <w:r>
        <w:t>- Bandeja inteligente.</w:t>
      </w:r>
    </w:p>
    <w:p>
      <w:pPr>
        <w:pStyle w:val="ListBullet"/>
      </w:pPr>
      <w:r>
        <w:t>- Envío de informes.</w:t>
      </w:r>
    </w:p>
    <w:p>
      <w:pPr>
        <w:pStyle w:val="ListBullet"/>
      </w:pPr>
      <w:r>
        <w:t>- Exportación institucional.</w:t>
      </w:r>
    </w:p>
    <w:p>
      <w:pPr>
        <w:pStyle w:val="Heading2"/>
      </w:pPr>
      <w:r>
        <w:t>Fase 4 – Producto SaaS</w:t>
      </w:r>
    </w:p>
    <w:p>
      <w:pPr>
        <w:pStyle w:val="ListBullet"/>
      </w:pPr>
      <w:r>
        <w:t>- Configuración multiempresa.</w:t>
      </w:r>
    </w:p>
    <w:p>
      <w:pPr>
        <w:pStyle w:val="ListBullet"/>
      </w:pPr>
      <w:r>
        <w:t>- Marca blanca.</w:t>
      </w:r>
    </w:p>
    <w:p>
      <w:pPr>
        <w:pStyle w:val="ListBullet"/>
      </w:pPr>
      <w:r>
        <w:t>- Dashboards.</w:t>
      </w:r>
    </w:p>
    <w:p>
      <w:pPr>
        <w:pStyle w:val="ListBullet"/>
      </w:pPr>
      <w:r>
        <w:t>- Estadísticas.</w:t>
      </w:r>
    </w:p>
    <w:p>
      <w:pPr>
        <w:pStyle w:val="ListBullet"/>
      </w:pPr>
      <w:r>
        <w:t>- Integraciones avanzadas.</w:t>
      </w:r>
    </w:p>
    <w:p>
      <w:pPr>
        <w:pStyle w:val="Heading2"/>
      </w:pPr>
      <w:r>
        <w:t>Implementación</w:t>
      </w:r>
    </w:p>
    <w:p>
      <w:r>
        <w:rPr>
          <w:sz w:val="22"/>
        </w:rPr>
        <w:t>Cada entrega deberá incluir:</w:t>
      </w:r>
    </w:p>
    <w:p>
      <w:pPr>
        <w:pStyle w:val="ListBullet"/>
      </w:pPr>
      <w:r>
        <w:t>- cambios React;</w:t>
      </w:r>
    </w:p>
    <w:p>
      <w:pPr>
        <w:pStyle w:val="ListBullet"/>
      </w:pPr>
      <w:r>
        <w:t>- SQL;</w:t>
      </w:r>
    </w:p>
    <w:p>
      <w:pPr>
        <w:pStyle w:val="ListBullet"/>
      </w:pPr>
      <w:r>
        <w:t>- Edge Functions;</w:t>
      </w:r>
    </w:p>
    <w:p>
      <w:pPr>
        <w:pStyle w:val="ListBullet"/>
      </w:pPr>
      <w:r>
        <w:t>- pruebas;</w:t>
      </w:r>
    </w:p>
    <w:p>
      <w:pPr>
        <w:pStyle w:val="ListBullet"/>
      </w:pPr>
      <w:r>
        <w:t>- pasos para Supabase;</w:t>
      </w:r>
    </w:p>
    <w:p>
      <w:pPr>
        <w:pStyle w:val="ListBullet"/>
      </w:pPr>
      <w:r>
        <w:t>- pasos para GitHub;</w:t>
      </w:r>
    </w:p>
    <w:p>
      <w:pPr>
        <w:pStyle w:val="ListBullet"/>
      </w:pPr>
      <w:r>
        <w:t>- pasos para Vercel.</w:t>
      </w:r>
    </w:p>
    <w:p>
      <w:pPr>
        <w:pStyle w:val="Heading2"/>
      </w:pPr>
      <w:r>
        <w:t>Producción</w:t>
      </w:r>
    </w:p>
    <w:p>
      <w:r>
        <w:rPr>
          <w:sz w:val="22"/>
        </w:rPr>
        <w:t>Antes de publicar:</w:t>
      </w:r>
    </w:p>
    <w:p>
      <w:pPr>
        <w:pStyle w:val="ListBullet"/>
      </w:pPr>
      <w:r>
        <w:t>- backup;</w:t>
      </w:r>
    </w:p>
    <w:p>
      <w:pPr>
        <w:pStyle w:val="ListBullet"/>
      </w:pPr>
      <w:r>
        <w:t>- migraciones verificadas;</w:t>
      </w:r>
    </w:p>
    <w:p>
      <w:pPr>
        <w:pStyle w:val="ListBullet"/>
      </w:pPr>
      <w:r>
        <w:t>- pruebas funcionales;</w:t>
      </w:r>
    </w:p>
    <w:p>
      <w:pPr>
        <w:pStyle w:val="ListBullet"/>
      </w:pPr>
      <w:r>
        <w:t>- validación RLS;</w:t>
      </w:r>
    </w:p>
    <w:p>
      <w:pPr>
        <w:pStyle w:val="ListBullet"/>
      </w:pPr>
      <w:r>
        <w:t>- validación de seguridad.</w:t>
      </w:r>
    </w:p>
    <w:p>
      <w:pPr>
        <w:pStyle w:val="Heading2"/>
      </w:pPr>
      <w:r>
        <w:t>Mejora continua</w:t>
      </w:r>
    </w:p>
    <w:p>
      <w:r>
        <w:rPr>
          <w:sz w:val="22"/>
        </w:rPr>
        <w:t>Toda nueva funcionalidad deberá actualizar la documentación, el changelog y los casos de prueba.</w:t>
      </w:r>
    </w:p>
    <w:p>
      <w:pPr>
        <w:pStyle w:val="Heading2"/>
      </w:pPr>
      <w:r>
        <w:t>Cierre</w:t>
      </w:r>
    </w:p>
    <w:p>
      <w:r>
        <w:rPr>
          <w:sz w:val="22"/>
        </w:rPr>
        <w:t>Los veinte documentos conforman la documentación funcional y técnica base del SIGCM y constituyen la referencia oficial para el desarrollo futuro del producto.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