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A49EA6" w14:textId="231448B4" w:rsidR="00491C26" w:rsidRPr="0011449B" w:rsidRDefault="00785203" w:rsidP="00785203">
      <w:pPr>
        <w:ind w:left="7380"/>
        <w:rPr>
          <w:rFonts w:ascii="Verdana" w:hAnsi="Verdana" w:cs="Arial"/>
          <w:sz w:val="20"/>
          <w:bdr w:val="single" w:sz="4" w:space="0" w:color="auto"/>
          <w:shd w:val="clear" w:color="auto" w:fill="FFFF99"/>
        </w:rPr>
      </w:pPr>
      <w:r w:rsidRPr="0011449B">
        <w:rPr>
          <w:rFonts w:ascii="Verdana" w:hAnsi="Verdana" w:cs="Arial"/>
          <w:sz w:val="20"/>
          <w:bdr w:val="single" w:sz="4" w:space="0" w:color="auto"/>
          <w:shd w:val="clear" w:color="auto" w:fill="FFFF99"/>
        </w:rPr>
        <w:t xml:space="preserve">                                                                                                                                                                     </w:t>
      </w:r>
      <w:proofErr w:type="gramStart"/>
      <w:r w:rsidRPr="0011449B">
        <w:rPr>
          <w:rFonts w:ascii="Verdana" w:hAnsi="Verdana" w:cs="Arial"/>
          <w:sz w:val="20"/>
          <w:bdr w:val="single" w:sz="4" w:space="0" w:color="auto"/>
          <w:shd w:val="clear" w:color="auto" w:fill="FFFF99"/>
        </w:rPr>
        <w:t>Revised  10</w:t>
      </w:r>
      <w:proofErr w:type="gramEnd"/>
      <w:r w:rsidRPr="0011449B">
        <w:rPr>
          <w:rFonts w:ascii="Verdana" w:hAnsi="Verdana" w:cs="Arial"/>
          <w:sz w:val="20"/>
          <w:bdr w:val="single" w:sz="4" w:space="0" w:color="auto"/>
          <w:shd w:val="clear" w:color="auto" w:fill="FFFF99"/>
        </w:rPr>
        <w:t>-17-14</w:t>
      </w:r>
    </w:p>
    <w:p w14:paraId="08A49EA7" w14:textId="77777777" w:rsidR="00785203" w:rsidRPr="0011449B" w:rsidRDefault="00785203" w:rsidP="00491C26">
      <w:pPr>
        <w:rPr>
          <w:rFonts w:ascii="Verdana" w:hAnsi="Verdana" w:cs="Arial"/>
          <w:sz w:val="20"/>
          <w:bdr w:val="single" w:sz="4" w:space="0" w:color="auto"/>
          <w:shd w:val="clear" w:color="auto" w:fill="FFFF99"/>
        </w:rPr>
      </w:pPr>
    </w:p>
    <w:p w14:paraId="08A49EA8" w14:textId="08EBE9FF" w:rsidR="00A02D5C" w:rsidRPr="0011449B" w:rsidRDefault="00491C26" w:rsidP="00491C26">
      <w:pPr>
        <w:pStyle w:val="Title"/>
        <w:pBdr>
          <w:top w:val="single" w:sz="18" w:space="0" w:color="auto"/>
        </w:pBdr>
        <w:rPr>
          <w:rFonts w:ascii="Verdana" w:hAnsi="Verdana" w:cs="Arial"/>
          <w:sz w:val="20"/>
        </w:rPr>
      </w:pPr>
      <w:r w:rsidRPr="0011449B">
        <w:rPr>
          <w:rFonts w:ascii="Verdana" w:hAnsi="Verdana" w:cs="Arial"/>
          <w:sz w:val="20"/>
        </w:rPr>
        <w:t xml:space="preserve">Interagency Agreement (IA) Between DHS </w:t>
      </w:r>
      <w:r w:rsidR="00EF5AAF" w:rsidRPr="0011449B">
        <w:rPr>
          <w:rFonts w:ascii="Verdana" w:hAnsi="Verdana" w:cs="Arial"/>
          <w:sz w:val="20"/>
        </w:rPr>
        <w:t>Science &amp; Technology</w:t>
      </w:r>
      <w:r w:rsidR="00A02D5C" w:rsidRPr="0011449B">
        <w:rPr>
          <w:rFonts w:ascii="Verdana" w:hAnsi="Verdana" w:cs="Arial"/>
          <w:sz w:val="20"/>
        </w:rPr>
        <w:t xml:space="preserve"> Directorate</w:t>
      </w:r>
      <w:r w:rsidRPr="0011449B">
        <w:rPr>
          <w:rFonts w:ascii="Verdana" w:hAnsi="Verdana" w:cs="Arial"/>
          <w:sz w:val="20"/>
        </w:rPr>
        <w:t xml:space="preserve"> and </w:t>
      </w:r>
      <w:r w:rsidR="00DB3B00" w:rsidRPr="0011449B">
        <w:rPr>
          <w:rFonts w:ascii="Verdana" w:hAnsi="Verdana" w:cs="Arial"/>
          <w:sz w:val="20"/>
        </w:rPr>
        <w:t xml:space="preserve">the </w:t>
      </w:r>
      <w:r w:rsidRPr="0011449B">
        <w:rPr>
          <w:rFonts w:ascii="Verdana" w:hAnsi="Verdana" w:cs="Arial"/>
          <w:sz w:val="20"/>
        </w:rPr>
        <w:t>DOE</w:t>
      </w:r>
      <w:r w:rsidR="00865EB8" w:rsidRPr="0011449B">
        <w:rPr>
          <w:rFonts w:ascii="Verdana" w:hAnsi="Verdana" w:cs="Arial"/>
          <w:sz w:val="20"/>
        </w:rPr>
        <w:t xml:space="preserve"> </w:t>
      </w:r>
      <w:r w:rsidR="008F0B24" w:rsidRPr="0011449B">
        <w:rPr>
          <w:rFonts w:ascii="Verdana" w:hAnsi="Verdana" w:cs="Arial"/>
          <w:color w:val="FF0000"/>
          <w:sz w:val="20"/>
        </w:rPr>
        <w:t>Sandia National Laboratory</w:t>
      </w:r>
      <w:r w:rsidRPr="0011449B">
        <w:rPr>
          <w:rFonts w:ascii="Verdana" w:hAnsi="Verdana" w:cs="Arial"/>
          <w:sz w:val="20"/>
        </w:rPr>
        <w:t xml:space="preserve"> </w:t>
      </w:r>
    </w:p>
    <w:p w14:paraId="08A49EA9" w14:textId="2360971E" w:rsidR="00A02D5C" w:rsidRPr="0011449B" w:rsidRDefault="00A02D5C" w:rsidP="00491C26">
      <w:pPr>
        <w:pStyle w:val="Title"/>
        <w:pBdr>
          <w:top w:val="single" w:sz="18" w:space="0" w:color="auto"/>
        </w:pBdr>
        <w:rPr>
          <w:rFonts w:ascii="Verdana" w:hAnsi="Verdana" w:cs="Arial"/>
          <w:sz w:val="20"/>
          <w:highlight w:val="magenta"/>
        </w:rPr>
      </w:pPr>
      <w:r w:rsidRPr="0011449B">
        <w:rPr>
          <w:rFonts w:ascii="Verdana" w:hAnsi="Verdana" w:cs="Arial"/>
          <w:sz w:val="20"/>
        </w:rPr>
        <w:t xml:space="preserve">[IA Number </w:t>
      </w:r>
      <w:r w:rsidR="008F0B24" w:rsidRPr="0011449B">
        <w:rPr>
          <w:rFonts w:ascii="Verdana" w:hAnsi="Verdana" w:cs="Arial"/>
          <w:sz w:val="20"/>
        </w:rPr>
        <w:t>HSHQPM-17-X-00141</w:t>
      </w:r>
      <w:r w:rsidRPr="0011449B">
        <w:rPr>
          <w:rFonts w:ascii="Verdana" w:hAnsi="Verdana" w:cs="Arial"/>
          <w:sz w:val="20"/>
        </w:rPr>
        <w:t>]</w:t>
      </w:r>
    </w:p>
    <w:p w14:paraId="08A49EAA" w14:textId="4B921EFB" w:rsidR="00491C26" w:rsidRPr="0011449B" w:rsidRDefault="00491C26" w:rsidP="00491C26">
      <w:pPr>
        <w:pStyle w:val="Title"/>
        <w:pBdr>
          <w:top w:val="single" w:sz="18" w:space="0" w:color="auto"/>
        </w:pBdr>
        <w:rPr>
          <w:rFonts w:ascii="Verdana" w:hAnsi="Verdana" w:cs="Arial"/>
          <w:sz w:val="20"/>
        </w:rPr>
      </w:pPr>
      <w:r w:rsidRPr="0011449B">
        <w:rPr>
          <w:rFonts w:ascii="Verdana" w:hAnsi="Verdana" w:cs="Arial"/>
          <w:sz w:val="20"/>
        </w:rPr>
        <w:t xml:space="preserve">Statement of Work (SOW) </w:t>
      </w:r>
    </w:p>
    <w:p w14:paraId="08A49EAB" w14:textId="77777777" w:rsidR="0033636F" w:rsidRPr="0011449B" w:rsidRDefault="0033636F" w:rsidP="00491C26">
      <w:pPr>
        <w:rPr>
          <w:rFonts w:ascii="Verdana" w:hAnsi="Verdana" w:cs="Arial"/>
          <w:b/>
          <w:sz w:val="20"/>
        </w:rPr>
      </w:pPr>
    </w:p>
    <w:p w14:paraId="08A49EB3" w14:textId="77777777" w:rsidR="00A02D5C" w:rsidRPr="0011449B" w:rsidRDefault="00A02D5C" w:rsidP="001B71A7">
      <w:pPr>
        <w:pStyle w:val="ListParagraph"/>
        <w:numPr>
          <w:ilvl w:val="0"/>
          <w:numId w:val="19"/>
        </w:numPr>
        <w:ind w:hanging="1080"/>
        <w:rPr>
          <w:rFonts w:ascii="Verdana" w:hAnsi="Verdana"/>
          <w:b/>
        </w:rPr>
      </w:pPr>
      <w:r w:rsidRPr="0011449B">
        <w:rPr>
          <w:rFonts w:ascii="Verdana" w:hAnsi="Verdana"/>
          <w:b/>
        </w:rPr>
        <w:t xml:space="preserve">Introduction </w:t>
      </w:r>
    </w:p>
    <w:p w14:paraId="08A49EB5" w14:textId="77777777" w:rsidR="001B71A7" w:rsidRPr="0011449B" w:rsidRDefault="001B71A7" w:rsidP="001B71A7">
      <w:pPr>
        <w:rPr>
          <w:rFonts w:ascii="Verdana" w:hAnsi="Verdana"/>
          <w:b/>
          <w:sz w:val="20"/>
        </w:rPr>
      </w:pPr>
    </w:p>
    <w:p w14:paraId="08A49EB6" w14:textId="77777777" w:rsidR="00F355A7" w:rsidRPr="0011449B" w:rsidRDefault="00F355A7" w:rsidP="001B71A7">
      <w:pPr>
        <w:pStyle w:val="ListParagraph"/>
        <w:numPr>
          <w:ilvl w:val="0"/>
          <w:numId w:val="20"/>
        </w:numPr>
        <w:rPr>
          <w:rFonts w:ascii="Verdana" w:hAnsi="Verdana"/>
          <w:b/>
        </w:rPr>
      </w:pPr>
      <w:r w:rsidRPr="0011449B">
        <w:rPr>
          <w:rFonts w:ascii="Verdana" w:hAnsi="Verdana"/>
          <w:b/>
        </w:rPr>
        <w:t>Purpose</w:t>
      </w:r>
    </w:p>
    <w:p w14:paraId="08A49EB7" w14:textId="77777777" w:rsidR="001B71A7" w:rsidRPr="0011449B" w:rsidRDefault="001B71A7" w:rsidP="001B71A7">
      <w:pPr>
        <w:pStyle w:val="ListParagraph"/>
        <w:rPr>
          <w:rFonts w:ascii="Verdana" w:hAnsi="Verdana"/>
          <w:b/>
        </w:rPr>
      </w:pPr>
    </w:p>
    <w:p w14:paraId="08A49EB8" w14:textId="77A81E1F" w:rsidR="00491C26" w:rsidRPr="0011449B" w:rsidRDefault="004F28D9" w:rsidP="00491C26">
      <w:pPr>
        <w:rPr>
          <w:rFonts w:ascii="Verdana" w:hAnsi="Verdana" w:cs="Arial"/>
          <w:b/>
          <w:sz w:val="20"/>
        </w:rPr>
      </w:pPr>
      <w:r w:rsidRPr="0011449B">
        <w:rPr>
          <w:rFonts w:ascii="Verdana" w:hAnsi="Verdana" w:cs="Arial"/>
          <w:sz w:val="20"/>
        </w:rPr>
        <w:t>T</w:t>
      </w:r>
      <w:r w:rsidR="00491C26" w:rsidRPr="0011449B">
        <w:rPr>
          <w:rFonts w:ascii="Verdana" w:hAnsi="Verdana" w:cs="Arial"/>
          <w:sz w:val="20"/>
        </w:rPr>
        <w:t>his S</w:t>
      </w:r>
      <w:r w:rsidR="00F355A7" w:rsidRPr="0011449B">
        <w:rPr>
          <w:rFonts w:ascii="Verdana" w:hAnsi="Verdana" w:cs="Arial"/>
          <w:sz w:val="20"/>
        </w:rPr>
        <w:t xml:space="preserve">tatement </w:t>
      </w:r>
      <w:r w:rsidR="00EF5AAF" w:rsidRPr="0011449B">
        <w:rPr>
          <w:rFonts w:ascii="Verdana" w:hAnsi="Verdana" w:cs="Arial"/>
          <w:sz w:val="20"/>
        </w:rPr>
        <w:t>of</w:t>
      </w:r>
      <w:r w:rsidR="00F355A7" w:rsidRPr="0011449B">
        <w:rPr>
          <w:rFonts w:ascii="Verdana" w:hAnsi="Verdana" w:cs="Arial"/>
          <w:sz w:val="20"/>
        </w:rPr>
        <w:t xml:space="preserve"> Work (SOW) </w:t>
      </w:r>
      <w:r w:rsidR="00491C26" w:rsidRPr="0011449B">
        <w:rPr>
          <w:rFonts w:ascii="Verdana" w:hAnsi="Verdana" w:cs="Arial"/>
          <w:sz w:val="20"/>
        </w:rPr>
        <w:t xml:space="preserve">provides specific information </w:t>
      </w:r>
      <w:r w:rsidR="006014F5" w:rsidRPr="0011449B">
        <w:rPr>
          <w:rFonts w:ascii="Verdana" w:hAnsi="Verdana" w:cs="Arial"/>
          <w:sz w:val="20"/>
        </w:rPr>
        <w:t>regarding</w:t>
      </w:r>
      <w:r w:rsidR="00491C26" w:rsidRPr="0011449B">
        <w:rPr>
          <w:rFonts w:ascii="Verdana" w:hAnsi="Verdana" w:cs="Arial"/>
          <w:sz w:val="20"/>
        </w:rPr>
        <w:t xml:space="preserve"> the requirements of the Department of Homeland Security, Science and Technology Directorate</w:t>
      </w:r>
      <w:r w:rsidR="006014F5" w:rsidRPr="0011449B">
        <w:rPr>
          <w:rFonts w:ascii="Verdana" w:hAnsi="Verdana" w:cs="Arial"/>
          <w:sz w:val="20"/>
        </w:rPr>
        <w:t>, hereinafter referred to as DHS S&amp;T</w:t>
      </w:r>
      <w:r w:rsidR="00491C26" w:rsidRPr="0011449B">
        <w:rPr>
          <w:rFonts w:ascii="Verdana" w:hAnsi="Verdana" w:cs="Arial"/>
          <w:sz w:val="20"/>
        </w:rPr>
        <w:t>, sufficient to e</w:t>
      </w:r>
      <w:r w:rsidR="006014F5" w:rsidRPr="0011449B">
        <w:rPr>
          <w:rFonts w:ascii="Verdana" w:hAnsi="Verdana" w:cs="Arial"/>
          <w:sz w:val="20"/>
        </w:rPr>
        <w:t xml:space="preserve">nable </w:t>
      </w:r>
      <w:r w:rsidR="00491C26" w:rsidRPr="0011449B">
        <w:rPr>
          <w:rFonts w:ascii="Verdana" w:hAnsi="Verdana" w:cs="Arial"/>
          <w:sz w:val="20"/>
        </w:rPr>
        <w:t>the Department of Energy</w:t>
      </w:r>
      <w:r w:rsidR="006014F5" w:rsidRPr="0011449B">
        <w:rPr>
          <w:rFonts w:ascii="Verdana" w:hAnsi="Verdana" w:cs="Arial"/>
          <w:sz w:val="20"/>
        </w:rPr>
        <w:t xml:space="preserve"> </w:t>
      </w:r>
      <w:r w:rsidR="008F0B24" w:rsidRPr="0011449B">
        <w:rPr>
          <w:rFonts w:ascii="Verdana" w:hAnsi="Verdana" w:cs="Arial"/>
          <w:i/>
          <w:sz w:val="20"/>
        </w:rPr>
        <w:t>Sandia National Laboratory</w:t>
      </w:r>
      <w:r w:rsidRPr="0011449B">
        <w:rPr>
          <w:rFonts w:ascii="Verdana" w:hAnsi="Verdana" w:cs="Arial"/>
          <w:sz w:val="20"/>
        </w:rPr>
        <w:t>,</w:t>
      </w:r>
      <w:r w:rsidR="00491C26" w:rsidRPr="0011449B">
        <w:rPr>
          <w:rFonts w:ascii="Verdana" w:hAnsi="Verdana" w:cs="Arial"/>
          <w:sz w:val="20"/>
        </w:rPr>
        <w:t xml:space="preserve"> </w:t>
      </w:r>
      <w:r w:rsidR="006014F5" w:rsidRPr="0011449B">
        <w:rPr>
          <w:rFonts w:ascii="Verdana" w:hAnsi="Verdana" w:cs="Arial"/>
          <w:sz w:val="20"/>
        </w:rPr>
        <w:t xml:space="preserve">hereinafter referred to as DOE, </w:t>
      </w:r>
      <w:r w:rsidR="00491C26" w:rsidRPr="0011449B">
        <w:rPr>
          <w:rFonts w:ascii="Verdana" w:hAnsi="Verdana" w:cs="Arial"/>
          <w:sz w:val="20"/>
        </w:rPr>
        <w:t xml:space="preserve">to </w:t>
      </w:r>
      <w:r w:rsidR="006014F5" w:rsidRPr="0011449B">
        <w:rPr>
          <w:rFonts w:ascii="Verdana" w:hAnsi="Verdana" w:cs="Arial"/>
          <w:sz w:val="20"/>
        </w:rPr>
        <w:t xml:space="preserve">perform services under an </w:t>
      </w:r>
      <w:r w:rsidR="00491C26" w:rsidRPr="0011449B">
        <w:rPr>
          <w:rFonts w:ascii="Verdana" w:hAnsi="Verdana" w:cs="Arial"/>
          <w:sz w:val="20"/>
        </w:rPr>
        <w:t>interagency a</w:t>
      </w:r>
      <w:r w:rsidR="006014F5" w:rsidRPr="0011449B">
        <w:rPr>
          <w:rFonts w:ascii="Verdana" w:hAnsi="Verdana" w:cs="Arial"/>
          <w:sz w:val="20"/>
        </w:rPr>
        <w:t>greement</w:t>
      </w:r>
      <w:r w:rsidR="00491C26" w:rsidRPr="0011449B">
        <w:rPr>
          <w:rFonts w:ascii="Verdana" w:hAnsi="Verdana" w:cs="Arial"/>
          <w:sz w:val="20"/>
        </w:rPr>
        <w:t xml:space="preserve">. </w:t>
      </w:r>
    </w:p>
    <w:p w14:paraId="08A49EB9" w14:textId="77777777" w:rsidR="00491C26" w:rsidRPr="0011449B" w:rsidRDefault="00491C26" w:rsidP="00491C26">
      <w:pPr>
        <w:rPr>
          <w:rFonts w:ascii="Verdana" w:hAnsi="Verdana"/>
          <w:b/>
          <w:sz w:val="20"/>
        </w:rPr>
      </w:pPr>
    </w:p>
    <w:p w14:paraId="08A49EBA" w14:textId="77777777" w:rsidR="00F355A7" w:rsidRPr="0011449B" w:rsidRDefault="00F355A7" w:rsidP="001B71A7">
      <w:pPr>
        <w:pStyle w:val="ListParagraph"/>
        <w:numPr>
          <w:ilvl w:val="0"/>
          <w:numId w:val="20"/>
        </w:numPr>
        <w:rPr>
          <w:rFonts w:ascii="Verdana" w:hAnsi="Verdana"/>
          <w:b/>
        </w:rPr>
      </w:pPr>
      <w:r w:rsidRPr="0011449B">
        <w:rPr>
          <w:rFonts w:ascii="Verdana" w:hAnsi="Verdana"/>
          <w:b/>
        </w:rPr>
        <w:t>Authority</w:t>
      </w:r>
    </w:p>
    <w:p w14:paraId="08A49EBB" w14:textId="77777777" w:rsidR="001B71A7" w:rsidRPr="0011449B" w:rsidRDefault="001B71A7" w:rsidP="001B71A7">
      <w:pPr>
        <w:pStyle w:val="ListParagraph"/>
        <w:rPr>
          <w:rFonts w:ascii="Verdana" w:hAnsi="Verdana"/>
          <w:b/>
        </w:rPr>
      </w:pPr>
    </w:p>
    <w:p w14:paraId="08A49EBC" w14:textId="77777777" w:rsidR="00491C26" w:rsidRPr="0011449B" w:rsidRDefault="00491C26" w:rsidP="00491C26">
      <w:pPr>
        <w:rPr>
          <w:rFonts w:ascii="Verdana" w:hAnsi="Verdana"/>
          <w:kern w:val="2"/>
          <w:sz w:val="20"/>
        </w:rPr>
      </w:pPr>
      <w:r w:rsidRPr="0011449B">
        <w:rPr>
          <w:rFonts w:ascii="Verdana" w:hAnsi="Verdana"/>
          <w:kern w:val="2"/>
          <w:sz w:val="20"/>
        </w:rPr>
        <w:t xml:space="preserve">Section 309(a)(1)(c) of the Homeland Security Act of 2002 (Public Law 107-296) </w:t>
      </w:r>
      <w:r w:rsidR="00CC1E63" w:rsidRPr="0011449B">
        <w:rPr>
          <w:rFonts w:ascii="Verdana" w:hAnsi="Verdana"/>
          <w:kern w:val="2"/>
          <w:sz w:val="20"/>
        </w:rPr>
        <w:t xml:space="preserve">provides special access to </w:t>
      </w:r>
      <w:r w:rsidRPr="0011449B">
        <w:rPr>
          <w:rFonts w:ascii="Verdana" w:hAnsi="Verdana"/>
          <w:kern w:val="2"/>
          <w:sz w:val="20"/>
        </w:rPr>
        <w:t xml:space="preserve">the DOE national laboratories and </w:t>
      </w:r>
      <w:r w:rsidR="00CC1E63" w:rsidRPr="0011449B">
        <w:rPr>
          <w:rFonts w:ascii="Verdana" w:hAnsi="Verdana"/>
          <w:kern w:val="2"/>
          <w:sz w:val="20"/>
        </w:rPr>
        <w:t xml:space="preserve">other facilities </w:t>
      </w:r>
      <w:r w:rsidRPr="0011449B">
        <w:rPr>
          <w:rFonts w:ascii="Verdana" w:hAnsi="Verdana"/>
          <w:kern w:val="2"/>
          <w:sz w:val="20"/>
        </w:rPr>
        <w:t xml:space="preserve">on a </w:t>
      </w:r>
      <w:r w:rsidR="00CC1E63" w:rsidRPr="0011449B">
        <w:rPr>
          <w:rFonts w:ascii="Verdana" w:hAnsi="Verdana"/>
          <w:kern w:val="2"/>
          <w:sz w:val="20"/>
        </w:rPr>
        <w:t xml:space="preserve">reimbursable </w:t>
      </w:r>
      <w:r w:rsidRPr="0011449B">
        <w:rPr>
          <w:rFonts w:ascii="Verdana" w:hAnsi="Verdana"/>
          <w:kern w:val="2"/>
          <w:sz w:val="20"/>
        </w:rPr>
        <w:t>basis</w:t>
      </w:r>
      <w:r w:rsidR="00CC1E63" w:rsidRPr="0011449B">
        <w:rPr>
          <w:rFonts w:ascii="Verdana" w:hAnsi="Verdana"/>
          <w:kern w:val="2"/>
          <w:sz w:val="20"/>
        </w:rPr>
        <w:t xml:space="preserve"> </w:t>
      </w:r>
      <w:r w:rsidR="00E60D83" w:rsidRPr="0011449B">
        <w:rPr>
          <w:rFonts w:ascii="Verdana" w:hAnsi="Verdana"/>
          <w:kern w:val="2"/>
          <w:sz w:val="20"/>
        </w:rPr>
        <w:t>as implemented in</w:t>
      </w:r>
      <w:r w:rsidR="00AA2334" w:rsidRPr="0011449B">
        <w:rPr>
          <w:rFonts w:ascii="Verdana" w:hAnsi="Verdana"/>
          <w:kern w:val="2"/>
          <w:sz w:val="20"/>
        </w:rPr>
        <w:t xml:space="preserve"> D</w:t>
      </w:r>
      <w:r w:rsidR="00CC1E63" w:rsidRPr="0011449B">
        <w:rPr>
          <w:rFonts w:ascii="Verdana" w:hAnsi="Verdana"/>
          <w:kern w:val="2"/>
          <w:sz w:val="20"/>
        </w:rPr>
        <w:t>OE Order 484.1 “Reimbursable Work for the Department of Homeland Security”</w:t>
      </w:r>
      <w:r w:rsidRPr="0011449B">
        <w:rPr>
          <w:rFonts w:ascii="Verdana" w:hAnsi="Verdana"/>
          <w:kern w:val="2"/>
          <w:sz w:val="20"/>
        </w:rPr>
        <w:t>.</w:t>
      </w:r>
    </w:p>
    <w:p w14:paraId="08A49EBD" w14:textId="77777777" w:rsidR="00491C26" w:rsidRPr="0011449B" w:rsidRDefault="00491C26" w:rsidP="00491C26">
      <w:pPr>
        <w:rPr>
          <w:rFonts w:ascii="Verdana" w:hAnsi="Verdana" w:cs="Arial"/>
          <w:b/>
          <w:sz w:val="20"/>
        </w:rPr>
      </w:pPr>
      <w:r w:rsidRPr="0011449B">
        <w:rPr>
          <w:rFonts w:ascii="Verdana" w:hAnsi="Verdana"/>
          <w:b/>
          <w:sz w:val="20"/>
          <w:bdr w:val="single" w:sz="4" w:space="0" w:color="auto"/>
          <w:shd w:val="clear" w:color="auto" w:fill="FFFF99"/>
        </w:rPr>
        <w:t xml:space="preserve"> </w:t>
      </w:r>
    </w:p>
    <w:p w14:paraId="08A49EBE" w14:textId="77777777" w:rsidR="00F355A7" w:rsidRPr="0011449B" w:rsidRDefault="00F355A7" w:rsidP="001B71A7">
      <w:pPr>
        <w:pStyle w:val="ListParagraph"/>
        <w:numPr>
          <w:ilvl w:val="0"/>
          <w:numId w:val="20"/>
        </w:numPr>
        <w:rPr>
          <w:rFonts w:ascii="Verdana" w:hAnsi="Verdana" w:cs="Arial"/>
          <w:b/>
        </w:rPr>
      </w:pPr>
      <w:r w:rsidRPr="0011449B">
        <w:rPr>
          <w:rFonts w:ascii="Verdana" w:hAnsi="Verdana" w:cs="Arial"/>
          <w:b/>
        </w:rPr>
        <w:t>General Terms &amp; Conditions</w:t>
      </w:r>
    </w:p>
    <w:p w14:paraId="08A49EBF" w14:textId="77777777" w:rsidR="001B71A7" w:rsidRPr="0011449B" w:rsidRDefault="001B71A7" w:rsidP="001B71A7">
      <w:pPr>
        <w:pStyle w:val="ListParagraph"/>
        <w:rPr>
          <w:rFonts w:ascii="Verdana" w:hAnsi="Verdana" w:cs="Arial"/>
          <w:b/>
        </w:rPr>
      </w:pPr>
    </w:p>
    <w:p w14:paraId="08A49EC0" w14:textId="77777777" w:rsidR="00491C26" w:rsidRPr="0011449B" w:rsidRDefault="00491C26" w:rsidP="00491C26">
      <w:pPr>
        <w:rPr>
          <w:rFonts w:ascii="Verdana" w:hAnsi="Verdana" w:cs="Arial"/>
          <w:color w:val="000000"/>
          <w:sz w:val="20"/>
        </w:rPr>
      </w:pPr>
      <w:r w:rsidRPr="0011449B">
        <w:rPr>
          <w:rFonts w:ascii="Verdana" w:hAnsi="Verdana" w:cs="Arial"/>
          <w:sz w:val="20"/>
        </w:rPr>
        <w:t xml:space="preserve">Activities undertaken pursuant to this document are subject to the </w:t>
      </w:r>
      <w:r w:rsidR="00A46B45" w:rsidRPr="0011449B">
        <w:rPr>
          <w:rFonts w:ascii="Verdana" w:hAnsi="Verdana" w:cs="Arial"/>
          <w:sz w:val="20"/>
        </w:rPr>
        <w:t>Standard</w:t>
      </w:r>
      <w:r w:rsidRPr="0011449B">
        <w:rPr>
          <w:rFonts w:ascii="Verdana" w:hAnsi="Verdana" w:cs="Arial"/>
          <w:sz w:val="20"/>
        </w:rPr>
        <w:t xml:space="preserve"> </w:t>
      </w:r>
      <w:r w:rsidR="003A27D8" w:rsidRPr="0011449B">
        <w:rPr>
          <w:rFonts w:ascii="Verdana" w:hAnsi="Verdana" w:cs="Arial"/>
          <w:sz w:val="20"/>
        </w:rPr>
        <w:t>T</w:t>
      </w:r>
      <w:r w:rsidRPr="0011449B">
        <w:rPr>
          <w:rFonts w:ascii="Verdana" w:hAnsi="Verdana" w:cs="Arial"/>
          <w:sz w:val="20"/>
        </w:rPr>
        <w:t xml:space="preserve">erms and </w:t>
      </w:r>
      <w:r w:rsidR="003A27D8" w:rsidRPr="0011449B">
        <w:rPr>
          <w:rFonts w:ascii="Verdana" w:hAnsi="Verdana" w:cs="Arial"/>
          <w:sz w:val="20"/>
        </w:rPr>
        <w:t>C</w:t>
      </w:r>
      <w:r w:rsidRPr="0011449B">
        <w:rPr>
          <w:rFonts w:ascii="Verdana" w:hAnsi="Verdana" w:cs="Arial"/>
          <w:sz w:val="20"/>
        </w:rPr>
        <w:t>onditions hereby attached</w:t>
      </w:r>
      <w:r w:rsidR="003A27D8" w:rsidRPr="0011449B">
        <w:rPr>
          <w:rFonts w:ascii="Verdana" w:hAnsi="Verdana" w:cs="Arial"/>
          <w:sz w:val="20"/>
        </w:rPr>
        <w:t xml:space="preserve"> between the D</w:t>
      </w:r>
      <w:r w:rsidR="006014F5" w:rsidRPr="0011449B">
        <w:rPr>
          <w:rFonts w:ascii="Verdana" w:hAnsi="Verdana" w:cs="Arial"/>
          <w:sz w:val="20"/>
        </w:rPr>
        <w:t xml:space="preserve">HS S&amp;T </w:t>
      </w:r>
      <w:r w:rsidR="003A27D8" w:rsidRPr="0011449B">
        <w:rPr>
          <w:rFonts w:ascii="Verdana" w:hAnsi="Verdana" w:cs="Arial"/>
          <w:sz w:val="20"/>
        </w:rPr>
        <w:t xml:space="preserve">and </w:t>
      </w:r>
      <w:r w:rsidR="006014F5" w:rsidRPr="0011449B">
        <w:rPr>
          <w:rFonts w:ascii="Verdana" w:hAnsi="Verdana" w:cs="Arial"/>
          <w:sz w:val="20"/>
        </w:rPr>
        <w:t>DOE</w:t>
      </w:r>
      <w:r w:rsidRPr="0011449B">
        <w:rPr>
          <w:rFonts w:ascii="Verdana" w:hAnsi="Verdana" w:cs="Arial"/>
          <w:sz w:val="20"/>
        </w:rPr>
        <w:t xml:space="preserve">. </w:t>
      </w:r>
    </w:p>
    <w:p w14:paraId="08A49EC1" w14:textId="77777777" w:rsidR="00491C26" w:rsidRPr="0011449B" w:rsidRDefault="00491C26" w:rsidP="00491C26">
      <w:pPr>
        <w:rPr>
          <w:rFonts w:ascii="Verdana" w:hAnsi="Verdana" w:cs="Arial"/>
          <w:b/>
          <w:sz w:val="20"/>
        </w:rPr>
      </w:pPr>
    </w:p>
    <w:p w14:paraId="08A49EC2" w14:textId="77777777" w:rsidR="00F355A7" w:rsidRPr="0011449B" w:rsidRDefault="00F355A7" w:rsidP="001B71A7">
      <w:pPr>
        <w:pStyle w:val="ListParagraph"/>
        <w:numPr>
          <w:ilvl w:val="0"/>
          <w:numId w:val="20"/>
        </w:numPr>
        <w:rPr>
          <w:rFonts w:ascii="Verdana" w:hAnsi="Verdana" w:cs="Arial"/>
          <w:b/>
        </w:rPr>
      </w:pPr>
      <w:r w:rsidRPr="0011449B">
        <w:rPr>
          <w:rFonts w:ascii="Verdana" w:hAnsi="Verdana" w:cs="Arial"/>
          <w:b/>
        </w:rPr>
        <w:t>Project Title</w:t>
      </w:r>
    </w:p>
    <w:p w14:paraId="08A49EC3" w14:textId="77777777" w:rsidR="001B71A7" w:rsidRPr="0011449B" w:rsidRDefault="001B71A7" w:rsidP="001B71A7">
      <w:pPr>
        <w:pStyle w:val="ListParagraph"/>
        <w:rPr>
          <w:rFonts w:ascii="Verdana" w:hAnsi="Verdana" w:cs="Arial"/>
          <w:b/>
        </w:rPr>
      </w:pPr>
    </w:p>
    <w:p w14:paraId="36D243C6" w14:textId="77777777" w:rsidR="008F0B24" w:rsidRPr="0011449B" w:rsidRDefault="008F0B24" w:rsidP="008F0B24">
      <w:pPr>
        <w:rPr>
          <w:rFonts w:ascii="Verdana" w:hAnsi="Verdana"/>
          <w:i/>
          <w:sz w:val="20"/>
        </w:rPr>
      </w:pPr>
      <w:r w:rsidRPr="0011449B">
        <w:rPr>
          <w:rFonts w:ascii="Verdana" w:hAnsi="Verdana"/>
          <w:i/>
          <w:sz w:val="20"/>
        </w:rPr>
        <w:t>Open Threat Assessment Platform Development Acceleration</w:t>
      </w:r>
    </w:p>
    <w:p w14:paraId="08A49EC5" w14:textId="77777777" w:rsidR="00491C26" w:rsidRPr="0011449B" w:rsidRDefault="00491C26" w:rsidP="00F355A7">
      <w:pPr>
        <w:rPr>
          <w:rFonts w:ascii="Verdana" w:hAnsi="Verdana" w:cs="Arial"/>
          <w:b/>
          <w:sz w:val="20"/>
        </w:rPr>
      </w:pPr>
      <w:r w:rsidRPr="0011449B">
        <w:rPr>
          <w:rFonts w:ascii="Verdana" w:hAnsi="Verdana" w:cs="Arial"/>
          <w:b/>
          <w:sz w:val="20"/>
        </w:rPr>
        <w:t xml:space="preserve"> </w:t>
      </w:r>
    </w:p>
    <w:p w14:paraId="08A49EC6" w14:textId="77777777" w:rsidR="000143A7" w:rsidRPr="0011449B" w:rsidRDefault="00F355A7" w:rsidP="000143A7">
      <w:pPr>
        <w:pStyle w:val="ListParagraph"/>
        <w:numPr>
          <w:ilvl w:val="0"/>
          <w:numId w:val="20"/>
        </w:numPr>
        <w:rPr>
          <w:rFonts w:ascii="Verdana" w:hAnsi="Verdana"/>
          <w:i/>
        </w:rPr>
      </w:pPr>
      <w:r w:rsidRPr="0011449B">
        <w:rPr>
          <w:rFonts w:ascii="Verdana" w:hAnsi="Verdana" w:cs="Arial"/>
          <w:b/>
        </w:rPr>
        <w:t>Description of Products or Services / Bona Fide Need</w:t>
      </w:r>
    </w:p>
    <w:p w14:paraId="08A49EC7" w14:textId="77777777" w:rsidR="001A3CF9" w:rsidRPr="0011449B" w:rsidRDefault="001A3CF9" w:rsidP="001A3CF9">
      <w:pPr>
        <w:pStyle w:val="ListParagraph"/>
        <w:ind w:left="540"/>
        <w:rPr>
          <w:rFonts w:ascii="Verdana" w:hAnsi="Verdana" w:cs="Arial"/>
          <w:b/>
        </w:rPr>
      </w:pPr>
    </w:p>
    <w:p w14:paraId="0A3F01E4" w14:textId="77777777" w:rsidR="008F0B24" w:rsidRPr="0011449B" w:rsidRDefault="008F0B24" w:rsidP="008F0B24">
      <w:pPr>
        <w:pStyle w:val="StyleHeading1NotItalic"/>
        <w:numPr>
          <w:ilvl w:val="0"/>
          <w:numId w:val="0"/>
        </w:numPr>
        <w:jc w:val="both"/>
        <w:outlineLvl w:val="9"/>
        <w:rPr>
          <w:rFonts w:ascii="Verdana" w:hAnsi="Verdana"/>
          <w:b w:val="0"/>
          <w:bCs w:val="0"/>
          <w:i/>
          <w:sz w:val="20"/>
        </w:rPr>
      </w:pPr>
      <w:r w:rsidRPr="0011449B">
        <w:rPr>
          <w:rFonts w:ascii="Verdana" w:hAnsi="Verdana"/>
          <w:b w:val="0"/>
          <w:bCs w:val="0"/>
          <w:sz w:val="20"/>
        </w:rPr>
        <w:t>The performer shall use the funding provided to develop the Open Threat Assessment Platform, an open architecture standard for Advanced Imaging Technology (AIT) person scanning software as well as Computed Tomography (CT) software.</w:t>
      </w:r>
    </w:p>
    <w:p w14:paraId="08A49ECA" w14:textId="77777777" w:rsidR="00B6463F" w:rsidRPr="0011449B" w:rsidRDefault="00B6463F" w:rsidP="00B6463F">
      <w:pPr>
        <w:pStyle w:val="BodyTextIndent"/>
        <w:ind w:left="0"/>
        <w:jc w:val="both"/>
        <w:rPr>
          <w:rFonts w:ascii="Verdana" w:hAnsi="Verdana"/>
          <w:i/>
          <w:color w:val="000000"/>
          <w:sz w:val="20"/>
        </w:rPr>
      </w:pPr>
    </w:p>
    <w:p w14:paraId="08A49ECB" w14:textId="77777777" w:rsidR="00A02D5C" w:rsidRPr="0011449B" w:rsidRDefault="00B6463F" w:rsidP="000143A7">
      <w:pPr>
        <w:pStyle w:val="StyleHeading1NotItalic"/>
        <w:numPr>
          <w:ilvl w:val="0"/>
          <w:numId w:val="19"/>
        </w:numPr>
        <w:ind w:hanging="1080"/>
        <w:jc w:val="both"/>
        <w:rPr>
          <w:rFonts w:ascii="Verdana" w:hAnsi="Verdana"/>
          <w:sz w:val="20"/>
        </w:rPr>
      </w:pPr>
      <w:r w:rsidRPr="0011449B">
        <w:rPr>
          <w:rFonts w:ascii="Verdana" w:hAnsi="Verdana"/>
          <w:sz w:val="20"/>
        </w:rPr>
        <w:t>Background</w:t>
      </w:r>
    </w:p>
    <w:p w14:paraId="08A49ECC" w14:textId="77777777" w:rsidR="009D605A" w:rsidRPr="0011449B" w:rsidRDefault="009D605A" w:rsidP="003C64BE">
      <w:pPr>
        <w:rPr>
          <w:rFonts w:ascii="Verdana" w:hAnsi="Verdana"/>
          <w:b/>
          <w:bCs/>
          <w:i/>
          <w:sz w:val="20"/>
        </w:rPr>
      </w:pPr>
    </w:p>
    <w:p w14:paraId="32DB4C26" w14:textId="77777777" w:rsidR="008F0B24" w:rsidRPr="0011449B" w:rsidRDefault="008F0B24" w:rsidP="008F0B24">
      <w:pPr>
        <w:spacing w:after="160"/>
        <w:jc w:val="both"/>
        <w:rPr>
          <w:rFonts w:ascii="Verdana" w:hAnsi="Verdana"/>
          <w:sz w:val="20"/>
        </w:rPr>
      </w:pPr>
      <w:r w:rsidRPr="0011449B">
        <w:rPr>
          <w:rFonts w:ascii="Verdana" w:hAnsi="Verdana"/>
          <w:sz w:val="20"/>
        </w:rPr>
        <w:t xml:space="preserve">To ensure the freedom of movement for people and commerce, the Transportation Security Administration (TSA) provides effective security screening for millions of passengers, millions of pieces of baggage, and millions of shipments of cargo on thousands of flights across the nation every day. Under its current mode of operation, the TSA faces challenges that result from requirements that directly compete with each other: </w:t>
      </w:r>
    </w:p>
    <w:p w14:paraId="22052C4B" w14:textId="77777777" w:rsidR="008F0B24" w:rsidRPr="0011449B" w:rsidRDefault="008F0B24" w:rsidP="008F0B24">
      <w:pPr>
        <w:spacing w:after="160"/>
        <w:ind w:firstLine="270"/>
        <w:jc w:val="both"/>
        <w:rPr>
          <w:rFonts w:ascii="Verdana" w:hAnsi="Verdana"/>
          <w:sz w:val="20"/>
        </w:rPr>
      </w:pPr>
      <w:r w:rsidRPr="0011449B">
        <w:rPr>
          <w:rFonts w:ascii="Verdana" w:hAnsi="Verdana"/>
          <w:sz w:val="20"/>
        </w:rPr>
        <w:t>•</w:t>
      </w:r>
      <w:r w:rsidRPr="0011449B">
        <w:rPr>
          <w:rFonts w:ascii="Verdana" w:hAnsi="Verdana"/>
          <w:sz w:val="20"/>
        </w:rPr>
        <w:tab/>
        <w:t xml:space="preserve">Improve security by providing accurate screening </w:t>
      </w:r>
    </w:p>
    <w:p w14:paraId="3B80EE98" w14:textId="77777777" w:rsidR="008F0B24" w:rsidRPr="0011449B" w:rsidRDefault="008F0B24" w:rsidP="008F0B24">
      <w:pPr>
        <w:spacing w:after="160"/>
        <w:ind w:firstLine="270"/>
        <w:jc w:val="both"/>
        <w:rPr>
          <w:rFonts w:ascii="Verdana" w:hAnsi="Verdana"/>
          <w:sz w:val="20"/>
        </w:rPr>
      </w:pPr>
      <w:r w:rsidRPr="0011449B">
        <w:rPr>
          <w:rFonts w:ascii="Verdana" w:hAnsi="Verdana"/>
          <w:sz w:val="20"/>
        </w:rPr>
        <w:lastRenderedPageBreak/>
        <w:t>•</w:t>
      </w:r>
      <w:r w:rsidRPr="0011449B">
        <w:rPr>
          <w:rFonts w:ascii="Verdana" w:hAnsi="Verdana"/>
          <w:sz w:val="20"/>
        </w:rPr>
        <w:tab/>
        <w:t>Improve operational efficiency by screening a large and fluctuating volume of passengers and items as quickly as possible</w:t>
      </w:r>
    </w:p>
    <w:p w14:paraId="5C4E23A5" w14:textId="77777777" w:rsidR="008F0B24" w:rsidRPr="0011449B" w:rsidRDefault="008F0B24" w:rsidP="008F0B24">
      <w:pPr>
        <w:spacing w:after="160"/>
        <w:ind w:firstLine="270"/>
        <w:jc w:val="both"/>
        <w:rPr>
          <w:rFonts w:ascii="Verdana" w:hAnsi="Verdana"/>
          <w:sz w:val="20"/>
        </w:rPr>
      </w:pPr>
      <w:r w:rsidRPr="0011449B">
        <w:rPr>
          <w:rFonts w:ascii="Verdana" w:hAnsi="Verdana"/>
          <w:sz w:val="20"/>
        </w:rPr>
        <w:t>•</w:t>
      </w:r>
      <w:r w:rsidRPr="0011449B">
        <w:rPr>
          <w:rFonts w:ascii="Verdana" w:hAnsi="Verdana"/>
          <w:sz w:val="20"/>
        </w:rPr>
        <w:tab/>
        <w:t>Ensure a positive passenger experience by protecting individuals’ rights and privacy and easing their journey through security</w:t>
      </w:r>
    </w:p>
    <w:p w14:paraId="3CBA5665" w14:textId="77777777" w:rsidR="008F0B24" w:rsidRPr="0011449B" w:rsidRDefault="008F0B24" w:rsidP="008F0B24">
      <w:pPr>
        <w:spacing w:after="160"/>
        <w:ind w:firstLine="270"/>
        <w:jc w:val="both"/>
        <w:rPr>
          <w:rFonts w:ascii="Verdana" w:hAnsi="Verdana"/>
          <w:sz w:val="20"/>
        </w:rPr>
      </w:pPr>
      <w:r w:rsidRPr="0011449B">
        <w:rPr>
          <w:rFonts w:ascii="Verdana" w:hAnsi="Verdana"/>
          <w:sz w:val="20"/>
        </w:rPr>
        <w:t>•</w:t>
      </w:r>
      <w:r w:rsidRPr="0011449B">
        <w:rPr>
          <w:rFonts w:ascii="Verdana" w:hAnsi="Verdana"/>
          <w:sz w:val="20"/>
        </w:rPr>
        <w:tab/>
        <w:t>Ensure fiscal prudence by successfully meeting all requirements with limited resources</w:t>
      </w:r>
    </w:p>
    <w:p w14:paraId="53913848" w14:textId="77777777" w:rsidR="008F0B24" w:rsidRPr="0011449B" w:rsidRDefault="008F0B24" w:rsidP="008F0B24">
      <w:pPr>
        <w:spacing w:after="160"/>
        <w:jc w:val="both"/>
        <w:rPr>
          <w:rFonts w:ascii="Verdana" w:hAnsi="Verdana"/>
          <w:sz w:val="20"/>
        </w:rPr>
      </w:pPr>
      <w:r w:rsidRPr="0011449B">
        <w:rPr>
          <w:rFonts w:ascii="Verdana" w:hAnsi="Verdana"/>
          <w:sz w:val="20"/>
        </w:rPr>
        <w:t>To solve this dilemma, the Transportation Security Strategic Capability Investment Plan</w:t>
      </w:r>
      <w:r w:rsidRPr="0011449B">
        <w:rPr>
          <w:rStyle w:val="FootnoteReference"/>
          <w:rFonts w:ascii="Verdana" w:hAnsi="Verdana"/>
          <w:sz w:val="20"/>
        </w:rPr>
        <w:footnoteReference w:id="1"/>
      </w:r>
      <w:r w:rsidRPr="0011449B">
        <w:rPr>
          <w:rFonts w:ascii="Verdana" w:hAnsi="Verdana"/>
          <w:sz w:val="20"/>
        </w:rPr>
        <w:t xml:space="preserve"> developed by TSA’s former Office of Security Capabilities (OSC) [now the Office of Requirements and Capabilities Analysis (ORCA)] highlights the mission need for flexible and dynamic risk-based threat detection capabilities that can integrate diverse data sources in near real–time and adapt screening commensurate with each passenger’s risk. Such a capability has the potential to reshape TSA’s mode of operation and help improve security, operational efficiency, passenger experience, and cost efficiency. Further, as stated in the Plan, “No single capability or investment will enable TSA to accomplish its intelligence driven, risk-based transformation to a high performing counterterrorism organization.” Therefore, it is vital for TSA to overcome the technology and market barriers that currently inhibit participation in the innovation process.</w:t>
      </w:r>
    </w:p>
    <w:p w14:paraId="052908F6" w14:textId="77777777" w:rsidR="008F0B24" w:rsidRPr="0011449B" w:rsidRDefault="008F0B24" w:rsidP="008F0B24">
      <w:pPr>
        <w:spacing w:after="160"/>
        <w:jc w:val="both"/>
        <w:rPr>
          <w:rFonts w:ascii="Verdana" w:hAnsi="Verdana"/>
          <w:sz w:val="20"/>
        </w:rPr>
      </w:pPr>
      <w:r w:rsidRPr="0011449B">
        <w:rPr>
          <w:rFonts w:ascii="Verdana" w:hAnsi="Verdana"/>
          <w:sz w:val="20"/>
        </w:rPr>
        <w:t>Underpinning this challenge (lack of dynamic threat detection) is the fact that current systems are highly complex and proprietary with little data, image, or interface standardization. This means that ORCA must depend solely on the equipment manufacturer and existing contracting mechanisms for software, algorithm, component or operational upgrades. This limitation prevents ORCA from engaging new and innovative partners to solve problems and can slow response to the emerging needs.</w:t>
      </w:r>
    </w:p>
    <w:p w14:paraId="206A5759" w14:textId="77777777" w:rsidR="007E33F9" w:rsidRPr="0011449B" w:rsidRDefault="007E33F9" w:rsidP="007E33F9">
      <w:pPr>
        <w:spacing w:after="160"/>
        <w:rPr>
          <w:rFonts w:ascii="Verdana" w:hAnsi="Verdana"/>
          <w:sz w:val="20"/>
        </w:rPr>
      </w:pPr>
      <w:r w:rsidRPr="0011449B">
        <w:rPr>
          <w:rFonts w:ascii="Verdana" w:hAnsi="Verdana"/>
          <w:sz w:val="20"/>
        </w:rPr>
        <w:t xml:space="preserve">DHS S&amp;T initiated the Apex Screening at Speed (Apex </w:t>
      </w:r>
      <w:proofErr w:type="spellStart"/>
      <w:r w:rsidRPr="0011449B">
        <w:rPr>
          <w:rFonts w:ascii="Verdana" w:hAnsi="Verdana"/>
          <w:sz w:val="20"/>
        </w:rPr>
        <w:t>SaS</w:t>
      </w:r>
      <w:proofErr w:type="spellEnd"/>
      <w:r w:rsidRPr="0011449B">
        <w:rPr>
          <w:rFonts w:ascii="Verdana" w:hAnsi="Verdana"/>
          <w:sz w:val="20"/>
        </w:rPr>
        <w:t xml:space="preserve">) program to address current and future challenges to aviation security. The Apex </w:t>
      </w:r>
      <w:proofErr w:type="spellStart"/>
      <w:r w:rsidRPr="0011449B">
        <w:rPr>
          <w:rFonts w:ascii="Verdana" w:hAnsi="Verdana"/>
          <w:sz w:val="20"/>
        </w:rPr>
        <w:t>SaS</w:t>
      </w:r>
      <w:proofErr w:type="spellEnd"/>
      <w:r w:rsidRPr="0011449B">
        <w:rPr>
          <w:rFonts w:ascii="Verdana" w:hAnsi="Verdana"/>
          <w:sz w:val="20"/>
        </w:rPr>
        <w:t xml:space="preserve"> Program is pursuing transformative R&amp;D activities that support a future vision for increasing security effectiveness while dramatically reducing wait times and improving the passenger experience. To achieve this vision, open architectures and third party software are critical to implementing risk-based screening and responding to evolving threat environments. Building the framework for open platforms early in the research and development cycle of millimeter wave person screening and computed tomography x-ray carry-on systems allows for software development to begin earlier and lower costs to end-users. </w:t>
      </w:r>
    </w:p>
    <w:p w14:paraId="124980F0" w14:textId="1FB76ABE" w:rsidR="008F0B24" w:rsidRPr="0011449B" w:rsidRDefault="008F0B24" w:rsidP="008F0B24">
      <w:pPr>
        <w:spacing w:after="160"/>
        <w:jc w:val="both"/>
        <w:rPr>
          <w:rFonts w:ascii="Verdana" w:hAnsi="Verdana"/>
          <w:sz w:val="20"/>
        </w:rPr>
      </w:pPr>
      <w:r w:rsidRPr="0011449B">
        <w:rPr>
          <w:rFonts w:ascii="Verdana" w:hAnsi="Verdana"/>
          <w:sz w:val="20"/>
        </w:rPr>
        <w:t xml:space="preserve">To help </w:t>
      </w:r>
      <w:r w:rsidR="007E33F9" w:rsidRPr="0011449B">
        <w:rPr>
          <w:rFonts w:ascii="Verdana" w:hAnsi="Verdana"/>
          <w:sz w:val="20"/>
        </w:rPr>
        <w:t xml:space="preserve">DHS S&amp;T and </w:t>
      </w:r>
      <w:r w:rsidRPr="0011449B">
        <w:rPr>
          <w:rFonts w:ascii="Verdana" w:hAnsi="Verdana"/>
          <w:sz w:val="20"/>
        </w:rPr>
        <w:t xml:space="preserve">TSA meet this challenge, Sandia National Laboratories and its industry partners intend to build the foundations for an open technology platform.   An “open” platform is defined as a technology platform that utilizes a “plug-and-play” or open architecture based on standardization of data formats, interfaces, and protocols that allow for the modularization of security capabilities.  The goal of the project, the </w:t>
      </w:r>
      <w:r w:rsidRPr="0011449B">
        <w:rPr>
          <w:rFonts w:ascii="Verdana" w:hAnsi="Verdana"/>
          <w:b/>
          <w:i/>
          <w:sz w:val="20"/>
        </w:rPr>
        <w:t>Open Threat Assessment Platform (OTAP)</w:t>
      </w:r>
      <w:r w:rsidRPr="0011449B">
        <w:rPr>
          <w:rFonts w:ascii="Verdana" w:hAnsi="Verdana"/>
          <w:sz w:val="20"/>
        </w:rPr>
        <w:t xml:space="preserve">, is to develop and demonstrate open architecture prototypes that allow third-party vendors to develop and easily implement new security capabilities for field deployable screening technology.  An open architecture can be described as enabling a plug-and-play system not unlike third-party apps developed for smart-phones and will allow third-party vendors to easily develop and implement capability upgrades because they can utilize a stable, well-designed interface implemented on </w:t>
      </w:r>
      <w:r w:rsidRPr="0011449B">
        <w:rPr>
          <w:rFonts w:ascii="Verdana" w:hAnsi="Verdana"/>
          <w:sz w:val="20"/>
        </w:rPr>
        <w:lastRenderedPageBreak/>
        <w:t xml:space="preserve">screening technology.  While the technology that enables OTAP to be an open architecture will be non-proprietary or freely shared, third-party applications (hardware or software) could be proprietary or non-proprietary to ensure market rewards for innovation for different technology business models.  </w:t>
      </w:r>
    </w:p>
    <w:p w14:paraId="3EC7CE99" w14:textId="77777777" w:rsidR="008F0B24" w:rsidRPr="0011449B" w:rsidRDefault="008F0B24" w:rsidP="00E42F0A">
      <w:pPr>
        <w:rPr>
          <w:rFonts w:ascii="Verdana" w:hAnsi="Verdana"/>
          <w:sz w:val="20"/>
        </w:rPr>
      </w:pPr>
    </w:p>
    <w:p w14:paraId="124D8872" w14:textId="77777777" w:rsidR="008F0B24" w:rsidRPr="0011449B" w:rsidRDefault="008F0B24" w:rsidP="008F0B24">
      <w:pPr>
        <w:spacing w:after="160"/>
        <w:jc w:val="both"/>
        <w:rPr>
          <w:rFonts w:ascii="Verdana" w:hAnsi="Verdana"/>
          <w:i/>
          <w:sz w:val="20"/>
        </w:rPr>
      </w:pPr>
      <w:r w:rsidRPr="0011449B">
        <w:rPr>
          <w:rFonts w:ascii="Verdana" w:hAnsi="Verdana"/>
          <w:sz w:val="20"/>
        </w:rPr>
        <w:t>A core product from the OTAP project is the Open Platform Software Library (OPSL).  OPSL consists of a set of open, commonly available, and standardized data interfaces</w:t>
      </w:r>
      <w:r w:rsidRPr="0011449B">
        <w:rPr>
          <w:rStyle w:val="FootnoteReference"/>
          <w:rFonts w:ascii="Verdana" w:hAnsi="Verdana"/>
          <w:sz w:val="20"/>
        </w:rPr>
        <w:footnoteReference w:id="2"/>
      </w:r>
      <w:r w:rsidRPr="0011449B">
        <w:rPr>
          <w:rFonts w:ascii="Verdana" w:hAnsi="Verdana"/>
          <w:sz w:val="20"/>
        </w:rPr>
        <w:t xml:space="preserve">, exchanges, and formats. OPSL will serve as an interface to enable engineering of third-party software components (e.g., threat recognition algorithm) or hardware components for their seamless integration into a passenger screening systems.  The intent of OPSL is to be the software foundation of an open platform as described above.  </w:t>
      </w:r>
    </w:p>
    <w:p w14:paraId="08A49ECF" w14:textId="3AAED3D9" w:rsidR="00E42F0A" w:rsidRPr="0011449B" w:rsidRDefault="003C64BE" w:rsidP="00E42F0A">
      <w:pPr>
        <w:rPr>
          <w:rFonts w:ascii="Verdana" w:hAnsi="Verdana"/>
          <w:sz w:val="20"/>
        </w:rPr>
      </w:pPr>
      <w:r w:rsidRPr="0011449B">
        <w:rPr>
          <w:rFonts w:ascii="Verdana" w:hAnsi="Verdana"/>
          <w:sz w:val="20"/>
        </w:rPr>
        <w:t xml:space="preserve">The purpose of this action is to </w:t>
      </w:r>
      <w:r w:rsidR="008F0B24" w:rsidRPr="0011449B">
        <w:rPr>
          <w:rFonts w:ascii="Verdana" w:hAnsi="Verdana"/>
          <w:sz w:val="20"/>
        </w:rPr>
        <w:t>establish</w:t>
      </w:r>
      <w:r w:rsidRPr="0011449B">
        <w:rPr>
          <w:rFonts w:ascii="Verdana" w:hAnsi="Verdana"/>
          <w:sz w:val="20"/>
        </w:rPr>
        <w:t xml:space="preserve"> an IA with </w:t>
      </w:r>
      <w:r w:rsidR="00054C4E" w:rsidRPr="0011449B">
        <w:rPr>
          <w:rFonts w:ascii="Verdana" w:hAnsi="Verdana"/>
          <w:sz w:val="20"/>
        </w:rPr>
        <w:t>DOE</w:t>
      </w:r>
      <w:r w:rsidR="00C1384C" w:rsidRPr="0011449B">
        <w:rPr>
          <w:rFonts w:ascii="Verdana" w:hAnsi="Verdana" w:cs="Arial"/>
          <w:sz w:val="20"/>
        </w:rPr>
        <w:t xml:space="preserve"> </w:t>
      </w:r>
      <w:r w:rsidRPr="0011449B">
        <w:rPr>
          <w:rFonts w:ascii="Verdana" w:hAnsi="Verdana"/>
          <w:sz w:val="20"/>
        </w:rPr>
        <w:t xml:space="preserve">for the tasking described in Section </w:t>
      </w:r>
      <w:r w:rsidR="008F0B24" w:rsidRPr="0011449B">
        <w:rPr>
          <w:rFonts w:ascii="Verdana" w:hAnsi="Verdana"/>
          <w:sz w:val="20"/>
        </w:rPr>
        <w:t>III</w:t>
      </w:r>
      <w:r w:rsidRPr="0011449B">
        <w:rPr>
          <w:rFonts w:ascii="Verdana" w:hAnsi="Verdana"/>
          <w:sz w:val="20"/>
        </w:rPr>
        <w:t xml:space="preserve"> of this Statement of Work (SOW).</w:t>
      </w:r>
    </w:p>
    <w:p w14:paraId="08A49ED0" w14:textId="77777777" w:rsidR="00E42F0A" w:rsidRPr="0011449B" w:rsidRDefault="00E42F0A" w:rsidP="00E42F0A">
      <w:pPr>
        <w:rPr>
          <w:rFonts w:ascii="Verdana" w:hAnsi="Verdana"/>
          <w:sz w:val="20"/>
        </w:rPr>
      </w:pPr>
    </w:p>
    <w:p w14:paraId="08A49ED1" w14:textId="77777777" w:rsidR="00E42F0A" w:rsidRPr="0011449B" w:rsidRDefault="00E42F0A" w:rsidP="00E42F0A">
      <w:pPr>
        <w:rPr>
          <w:rFonts w:ascii="Verdana" w:hAnsi="Verdana"/>
          <w:b/>
          <w:sz w:val="20"/>
        </w:rPr>
      </w:pPr>
    </w:p>
    <w:p w14:paraId="08A49ED2" w14:textId="77777777" w:rsidR="004F28D9" w:rsidRPr="0011449B" w:rsidRDefault="004F28D9" w:rsidP="000143A7">
      <w:pPr>
        <w:pStyle w:val="ListParagraph"/>
        <w:numPr>
          <w:ilvl w:val="0"/>
          <w:numId w:val="19"/>
        </w:numPr>
        <w:ind w:hanging="1080"/>
        <w:rPr>
          <w:rFonts w:ascii="Verdana" w:hAnsi="Verdana"/>
          <w:b/>
        </w:rPr>
      </w:pPr>
      <w:r w:rsidRPr="0011449B">
        <w:rPr>
          <w:rFonts w:ascii="Verdana" w:hAnsi="Verdana"/>
          <w:b/>
        </w:rPr>
        <w:t>Scope</w:t>
      </w:r>
    </w:p>
    <w:p w14:paraId="08A49ED3" w14:textId="77777777" w:rsidR="00E42F0A" w:rsidRPr="0011449B" w:rsidRDefault="00E42F0A" w:rsidP="004F28D9">
      <w:pPr>
        <w:rPr>
          <w:rFonts w:ascii="Verdana" w:hAnsi="Verdana"/>
          <w:b/>
          <w:i/>
          <w:sz w:val="20"/>
        </w:rPr>
      </w:pPr>
    </w:p>
    <w:p w14:paraId="169E8DF5" w14:textId="77777777" w:rsidR="008F0B24" w:rsidRPr="0011449B" w:rsidRDefault="008F0B24" w:rsidP="008F0B24">
      <w:pPr>
        <w:rPr>
          <w:rFonts w:ascii="Verdana" w:hAnsi="Verdana"/>
          <w:sz w:val="20"/>
        </w:rPr>
      </w:pPr>
      <w:r w:rsidRPr="0011449B">
        <w:rPr>
          <w:rFonts w:ascii="Verdana" w:hAnsi="Verdana"/>
          <w:sz w:val="20"/>
        </w:rPr>
        <w:t>DHS S&amp;T is has a variety of projects supporting the development of next-generation aviation security capabilities as part of its APEX Screening-at-Speed program.   Several of those efforts will utilize an open architecture and allow integration with 3rd-party party capabilities.   DHS S&amp;T is seeking the following from Sandia’ OTAP project to further its APEX program:</w:t>
      </w:r>
    </w:p>
    <w:p w14:paraId="5BB8AD4B" w14:textId="77777777" w:rsidR="008F0B24" w:rsidRPr="0011449B" w:rsidRDefault="008F0B24" w:rsidP="008F0B24">
      <w:pPr>
        <w:ind w:left="720" w:hanging="450"/>
        <w:rPr>
          <w:rFonts w:ascii="Verdana" w:hAnsi="Verdana"/>
          <w:sz w:val="20"/>
        </w:rPr>
      </w:pPr>
      <w:r w:rsidRPr="0011449B">
        <w:rPr>
          <w:rFonts w:ascii="Verdana" w:hAnsi="Verdana"/>
          <w:sz w:val="20"/>
        </w:rPr>
        <w:t>1.</w:t>
      </w:r>
      <w:r w:rsidRPr="0011449B">
        <w:rPr>
          <w:rFonts w:ascii="Verdana" w:hAnsi="Verdana"/>
          <w:sz w:val="20"/>
        </w:rPr>
        <w:tab/>
        <w:t>Further Development of OPSL to support AIT modularization to include third-party algorithms supporting threat detection (including ATR Reconstruction algorithms).</w:t>
      </w:r>
    </w:p>
    <w:p w14:paraId="56DD066A" w14:textId="77777777" w:rsidR="008F0B24" w:rsidRPr="0011449B" w:rsidRDefault="008F0B24" w:rsidP="008F0B24">
      <w:pPr>
        <w:ind w:left="720" w:hanging="450"/>
        <w:rPr>
          <w:rFonts w:ascii="Verdana" w:hAnsi="Verdana"/>
          <w:sz w:val="20"/>
        </w:rPr>
      </w:pPr>
      <w:r w:rsidRPr="0011449B">
        <w:rPr>
          <w:rFonts w:ascii="Verdana" w:hAnsi="Verdana"/>
          <w:sz w:val="20"/>
        </w:rPr>
        <w:t>2.</w:t>
      </w:r>
      <w:r w:rsidRPr="0011449B">
        <w:rPr>
          <w:rFonts w:ascii="Verdana" w:hAnsi="Verdana"/>
          <w:sz w:val="20"/>
        </w:rPr>
        <w:tab/>
        <w:t>Development of a standardized data format to structure data from AIT scans.  The intent of the formatting effort is to ensure that third-parties have a standardized, non-proprietary way to access all levels of data from AIT scans as opposed to being limited to post-reconstruction, proprietary data.</w:t>
      </w:r>
    </w:p>
    <w:p w14:paraId="784BE71F" w14:textId="77777777" w:rsidR="008F0B24" w:rsidRPr="0011449B" w:rsidRDefault="008F0B24" w:rsidP="008F0B24">
      <w:pPr>
        <w:ind w:left="1080" w:hanging="360"/>
        <w:rPr>
          <w:rFonts w:ascii="Verdana" w:hAnsi="Verdana"/>
          <w:sz w:val="20"/>
        </w:rPr>
      </w:pPr>
      <w:proofErr w:type="gramStart"/>
      <w:r w:rsidRPr="0011449B">
        <w:rPr>
          <w:rFonts w:ascii="Verdana" w:hAnsi="Verdana"/>
          <w:sz w:val="20"/>
        </w:rPr>
        <w:t>a.</w:t>
      </w:r>
      <w:r w:rsidRPr="0011449B">
        <w:rPr>
          <w:rFonts w:ascii="Verdana" w:hAnsi="Verdana"/>
          <w:sz w:val="20"/>
        </w:rPr>
        <w:tab/>
        <w:t>(Optional) Accelerate the development of an “A’-A’” data format for CT machines to enable greater access to pre-reconstruction data.</w:t>
      </w:r>
      <w:proofErr w:type="gramEnd"/>
      <w:r w:rsidRPr="0011449B">
        <w:rPr>
          <w:rFonts w:ascii="Verdana" w:hAnsi="Verdana"/>
          <w:sz w:val="20"/>
        </w:rPr>
        <w:t xml:space="preserve">  The technical lessons learned and progress from the CT effort already underway with the OTAP project will directly inform and facilitate the AIT data format effort.  </w:t>
      </w:r>
    </w:p>
    <w:p w14:paraId="12EE8F91" w14:textId="77777777" w:rsidR="008F0B24" w:rsidRPr="0011449B" w:rsidRDefault="008F0B24" w:rsidP="008F0B24">
      <w:pPr>
        <w:ind w:left="720" w:hanging="450"/>
        <w:rPr>
          <w:rFonts w:ascii="Verdana" w:hAnsi="Verdana"/>
          <w:sz w:val="20"/>
        </w:rPr>
      </w:pPr>
      <w:r w:rsidRPr="0011449B">
        <w:rPr>
          <w:rFonts w:ascii="Verdana" w:hAnsi="Verdana"/>
          <w:sz w:val="20"/>
        </w:rPr>
        <w:t>3.</w:t>
      </w:r>
      <w:r w:rsidRPr="0011449B">
        <w:rPr>
          <w:rFonts w:ascii="Verdana" w:hAnsi="Verdana"/>
          <w:sz w:val="20"/>
        </w:rPr>
        <w:tab/>
        <w:t xml:space="preserve">Support further development of the MRAD algorithm development environment to support rapid test and evaluation (T&amp;E) of AIT ATR algorithms.  </w:t>
      </w:r>
    </w:p>
    <w:p w14:paraId="65067887" w14:textId="77777777" w:rsidR="008F0B24" w:rsidRPr="0011449B" w:rsidRDefault="008F0B24" w:rsidP="008F0B24">
      <w:pPr>
        <w:ind w:left="1080" w:hanging="360"/>
        <w:rPr>
          <w:rFonts w:ascii="Verdana" w:hAnsi="Verdana"/>
          <w:sz w:val="20"/>
        </w:rPr>
      </w:pPr>
      <w:proofErr w:type="gramStart"/>
      <w:r w:rsidRPr="0011449B">
        <w:rPr>
          <w:rFonts w:ascii="Verdana" w:hAnsi="Verdana"/>
          <w:sz w:val="20"/>
        </w:rPr>
        <w:t>a.</w:t>
      </w:r>
      <w:r w:rsidRPr="0011449B">
        <w:rPr>
          <w:rFonts w:ascii="Verdana" w:hAnsi="Verdana"/>
          <w:sz w:val="20"/>
        </w:rPr>
        <w:tab/>
        <w:t>(Optional) Accelerate the development of third-party CT ATR and Reconstruction algorithms on the OTAP program to mature the ATR development and T&amp;E of AIT algorithms.</w:t>
      </w:r>
      <w:proofErr w:type="gramEnd"/>
    </w:p>
    <w:p w14:paraId="08A49ED9" w14:textId="77777777" w:rsidR="004F28D9" w:rsidRPr="0011449B" w:rsidRDefault="004F28D9" w:rsidP="009A3112">
      <w:pPr>
        <w:rPr>
          <w:rFonts w:ascii="Verdana" w:hAnsi="Verdana"/>
          <w:i/>
          <w:sz w:val="20"/>
        </w:rPr>
      </w:pPr>
    </w:p>
    <w:p w14:paraId="08A49EDA" w14:textId="77777777" w:rsidR="00176BD9" w:rsidRPr="0011449B" w:rsidRDefault="00176BD9" w:rsidP="003C64BE">
      <w:pPr>
        <w:ind w:left="360"/>
        <w:rPr>
          <w:rFonts w:ascii="Verdana" w:hAnsi="Verdana"/>
          <w:i/>
          <w:sz w:val="20"/>
        </w:rPr>
      </w:pPr>
      <w:r w:rsidRPr="0011449B">
        <w:rPr>
          <w:rFonts w:ascii="Verdana" w:hAnsi="Verdana"/>
          <w:i/>
          <w:sz w:val="20"/>
        </w:rPr>
        <w:t>TASK(s)</w:t>
      </w:r>
      <w:r w:rsidR="00AE135D" w:rsidRPr="0011449B">
        <w:rPr>
          <w:rFonts w:ascii="Verdana" w:hAnsi="Verdana"/>
          <w:i/>
          <w:sz w:val="20"/>
        </w:rPr>
        <w:t>:</w:t>
      </w:r>
    </w:p>
    <w:p w14:paraId="08A49EDB" w14:textId="77777777" w:rsidR="00AE135D" w:rsidRPr="0011449B" w:rsidRDefault="00AE135D" w:rsidP="003C64BE">
      <w:pPr>
        <w:ind w:left="360"/>
        <w:rPr>
          <w:rFonts w:ascii="Verdana" w:hAnsi="Verdana"/>
          <w:i/>
          <w:sz w:val="20"/>
        </w:rPr>
      </w:pPr>
    </w:p>
    <w:p w14:paraId="6CACC1EC" w14:textId="77777777" w:rsidR="008F0B24" w:rsidRPr="0011449B" w:rsidRDefault="008F0B24" w:rsidP="008F0B24">
      <w:pPr>
        <w:pStyle w:val="ListParagraph"/>
        <w:numPr>
          <w:ilvl w:val="0"/>
          <w:numId w:val="14"/>
        </w:numPr>
        <w:spacing w:line="276" w:lineRule="auto"/>
        <w:jc w:val="both"/>
        <w:rPr>
          <w:rFonts w:ascii="Verdana" w:hAnsi="Verdana"/>
        </w:rPr>
      </w:pPr>
      <w:r w:rsidRPr="0011449B">
        <w:rPr>
          <w:rFonts w:ascii="Verdana" w:hAnsi="Verdana"/>
          <w:b/>
        </w:rPr>
        <w:lastRenderedPageBreak/>
        <w:t>Project Management</w:t>
      </w:r>
      <w:r w:rsidRPr="0011449B">
        <w:rPr>
          <w:rFonts w:ascii="Verdana" w:hAnsi="Verdana"/>
        </w:rPr>
        <w:t>: The performer shall implement basic project management actions such as planning, status reports, briefings, and meetings.  In addition to basic project management, the performer shall complete the following sub-tasks:</w:t>
      </w:r>
    </w:p>
    <w:p w14:paraId="3A987BB0" w14:textId="77777777" w:rsidR="008F0B24" w:rsidRPr="0011449B" w:rsidRDefault="008F0B24" w:rsidP="008F0B24">
      <w:pPr>
        <w:pStyle w:val="ListParagraph"/>
        <w:numPr>
          <w:ilvl w:val="1"/>
          <w:numId w:val="14"/>
        </w:numPr>
        <w:spacing w:line="276" w:lineRule="auto"/>
        <w:jc w:val="both"/>
        <w:rPr>
          <w:rFonts w:ascii="Verdana" w:hAnsi="Verdana"/>
        </w:rPr>
      </w:pPr>
      <w:r w:rsidRPr="0011449B">
        <w:rPr>
          <w:rFonts w:ascii="Verdana" w:hAnsi="Verdana"/>
        </w:rPr>
        <w:t xml:space="preserve">Create a plan upon receipt of funding and interaction with AIT developers detailing specific milestones for each major task (see below).  The plan should realistically account for the times/resources available to </w:t>
      </w:r>
      <w:proofErr w:type="gramStart"/>
      <w:r w:rsidRPr="0011449B">
        <w:rPr>
          <w:rFonts w:ascii="Verdana" w:hAnsi="Verdana"/>
        </w:rPr>
        <w:t>both the</w:t>
      </w:r>
      <w:proofErr w:type="gramEnd"/>
      <w:r w:rsidRPr="0011449B">
        <w:rPr>
          <w:rFonts w:ascii="Verdana" w:hAnsi="Verdana"/>
        </w:rPr>
        <w:t xml:space="preserve"> AIT developers, the performer’s team, and the hard deadline needs of S&amp;T’s programs as well as technical risk.</w:t>
      </w:r>
    </w:p>
    <w:p w14:paraId="61410F22" w14:textId="77777777" w:rsidR="008F0B24" w:rsidRPr="0011449B" w:rsidRDefault="008F0B24" w:rsidP="008F0B24">
      <w:pPr>
        <w:pStyle w:val="ListParagraph"/>
        <w:spacing w:line="276" w:lineRule="auto"/>
        <w:ind w:left="792"/>
        <w:jc w:val="both"/>
        <w:rPr>
          <w:rFonts w:ascii="Verdana" w:hAnsi="Verdana"/>
        </w:rPr>
      </w:pPr>
    </w:p>
    <w:p w14:paraId="06CDD9A5" w14:textId="77777777" w:rsidR="008F0B24" w:rsidRPr="0011449B" w:rsidRDefault="008F0B24" w:rsidP="008F0B24">
      <w:pPr>
        <w:pStyle w:val="ListParagraph"/>
        <w:numPr>
          <w:ilvl w:val="0"/>
          <w:numId w:val="14"/>
        </w:numPr>
        <w:spacing w:line="276" w:lineRule="auto"/>
        <w:jc w:val="both"/>
        <w:rPr>
          <w:rFonts w:ascii="Verdana" w:hAnsi="Verdana"/>
        </w:rPr>
      </w:pPr>
      <w:r w:rsidRPr="0011449B">
        <w:rPr>
          <w:rFonts w:ascii="Verdana" w:hAnsi="Verdana"/>
          <w:b/>
        </w:rPr>
        <w:t>Develop OPSL Software for AIT</w:t>
      </w:r>
      <w:r w:rsidRPr="0011449B">
        <w:rPr>
          <w:rFonts w:ascii="Verdana" w:hAnsi="Verdana"/>
        </w:rPr>
        <w:t>: The performer shall develop the OPSL software for AIT to modularize the AIT system such that, at a minimum, third-party algorithms such as reconstruction, ATR, and data correction/calibration algorithms can be easily incorporated onto an AIT platform.  The minimum viable product (MVP) for this task shall be a demonstration using OPSL and a demo-ATR that can be executed on a working AIT.  Sub-tasks include the following:</w:t>
      </w:r>
    </w:p>
    <w:p w14:paraId="22234617" w14:textId="77777777" w:rsidR="008F0B24" w:rsidRPr="0011449B" w:rsidRDefault="008F0B24" w:rsidP="008F0B24">
      <w:pPr>
        <w:pStyle w:val="ListParagraph"/>
        <w:numPr>
          <w:ilvl w:val="1"/>
          <w:numId w:val="14"/>
        </w:numPr>
        <w:spacing w:line="276" w:lineRule="auto"/>
        <w:jc w:val="both"/>
        <w:rPr>
          <w:rFonts w:ascii="Verdana" w:hAnsi="Verdana"/>
        </w:rPr>
      </w:pPr>
      <w:r w:rsidRPr="0011449B">
        <w:rPr>
          <w:rFonts w:ascii="Verdana" w:hAnsi="Verdana"/>
        </w:rPr>
        <w:t>Working directly with national laboratories, OEMs, and other organizations to understand the engineering architecture of the AIT machines of interest.</w:t>
      </w:r>
    </w:p>
    <w:p w14:paraId="3E44AE35" w14:textId="77777777" w:rsidR="008F0B24" w:rsidRPr="0011449B" w:rsidRDefault="008F0B24" w:rsidP="008F0B24">
      <w:pPr>
        <w:pStyle w:val="ListParagraph"/>
        <w:numPr>
          <w:ilvl w:val="1"/>
          <w:numId w:val="14"/>
        </w:numPr>
        <w:spacing w:line="276" w:lineRule="auto"/>
        <w:jc w:val="both"/>
        <w:rPr>
          <w:rFonts w:ascii="Verdana" w:hAnsi="Verdana"/>
        </w:rPr>
      </w:pPr>
      <w:r w:rsidRPr="0011449B">
        <w:rPr>
          <w:rFonts w:ascii="Verdana" w:hAnsi="Verdana"/>
        </w:rPr>
        <w:t xml:space="preserve">Writing the OPSL code that will enable third-party algorithms to be easily incorporated with AITs as has been done with Advanced Technology and Computed Technology X-ray machines.  The OPSL code should be implementable on a stand-alone machine apart from the AIT CPU (adapter mode) and implementable via an SDK that allows OEMs to directly add OPSL code to their code base.  </w:t>
      </w:r>
    </w:p>
    <w:p w14:paraId="6BDBF687" w14:textId="77777777" w:rsidR="008F0B24" w:rsidRPr="0011449B" w:rsidRDefault="008F0B24" w:rsidP="008F0B24">
      <w:pPr>
        <w:pStyle w:val="ListParagraph"/>
        <w:numPr>
          <w:ilvl w:val="1"/>
          <w:numId w:val="14"/>
        </w:numPr>
        <w:spacing w:line="276" w:lineRule="auto"/>
        <w:jc w:val="both"/>
        <w:rPr>
          <w:rFonts w:ascii="Verdana" w:hAnsi="Verdana"/>
        </w:rPr>
      </w:pPr>
      <w:r w:rsidRPr="0011449B">
        <w:rPr>
          <w:rFonts w:ascii="Verdana" w:hAnsi="Verdana"/>
        </w:rPr>
        <w:t>Executing a demonstration of the MVP. In pursuit of the MVP, the performer shall put together a plan of milestones incrementally leading up to the MVP.  The intent is that if any one of the milestones appears to be too difficult or expensive, DHS S&amp;T may choose to discontinue the work.  DHS S&amp;T will either provide a sample ATR or will task the performer with creating one.  If the latter is the case, then S&amp;T shall provide sufficient data to accomplish that goal.</w:t>
      </w:r>
    </w:p>
    <w:p w14:paraId="708D799F" w14:textId="77777777" w:rsidR="008F0B24" w:rsidRPr="0011449B" w:rsidRDefault="008F0B24" w:rsidP="008F0B24">
      <w:pPr>
        <w:pStyle w:val="ListParagraph"/>
        <w:numPr>
          <w:ilvl w:val="1"/>
          <w:numId w:val="14"/>
        </w:numPr>
        <w:spacing w:line="276" w:lineRule="auto"/>
        <w:jc w:val="both"/>
        <w:rPr>
          <w:rFonts w:ascii="Verdana" w:hAnsi="Verdana"/>
        </w:rPr>
      </w:pPr>
      <w:r w:rsidRPr="0011449B">
        <w:rPr>
          <w:rFonts w:ascii="Verdana" w:hAnsi="Verdana"/>
        </w:rPr>
        <w:t xml:space="preserve">Packaging the OPSL code to include i) the Open Platform Software Library (OPSL) Standard  Development Kit (SDK), ii) documentation on how to install and utilize the SDK, iii) OPSL API documentation, and iv) example code for use by OEMs.  </w:t>
      </w:r>
    </w:p>
    <w:p w14:paraId="17EE8590" w14:textId="77777777" w:rsidR="008F0B24" w:rsidRPr="0011449B" w:rsidRDefault="008F0B24" w:rsidP="008F0B24">
      <w:pPr>
        <w:pStyle w:val="ListParagraph"/>
        <w:spacing w:line="276" w:lineRule="auto"/>
        <w:ind w:left="792"/>
        <w:jc w:val="both"/>
        <w:rPr>
          <w:rFonts w:ascii="Verdana" w:hAnsi="Verdana"/>
        </w:rPr>
      </w:pPr>
    </w:p>
    <w:p w14:paraId="7E7FCE35" w14:textId="77777777" w:rsidR="008F0B24" w:rsidRPr="0011449B" w:rsidRDefault="008F0B24" w:rsidP="008F0B24">
      <w:pPr>
        <w:pStyle w:val="ListParagraph"/>
        <w:numPr>
          <w:ilvl w:val="0"/>
          <w:numId w:val="14"/>
        </w:numPr>
        <w:spacing w:line="276" w:lineRule="auto"/>
        <w:jc w:val="both"/>
        <w:rPr>
          <w:rFonts w:ascii="Verdana" w:hAnsi="Verdana"/>
        </w:rPr>
      </w:pPr>
      <w:r w:rsidRPr="0011449B">
        <w:rPr>
          <w:rFonts w:ascii="Verdana" w:hAnsi="Verdana"/>
          <w:b/>
        </w:rPr>
        <w:t>Develop a standardized data format to structure “raw” data from AIT scans</w:t>
      </w:r>
      <w:r w:rsidRPr="0011449B">
        <w:rPr>
          <w:rFonts w:ascii="Verdana" w:hAnsi="Verdana"/>
        </w:rPr>
        <w:t xml:space="preserve">:  The performer shall develop and validate a draft specification to format the “raw” data coming directly off of the AIT detectors.  The MVP for this task will be a very basic reconstruction algorithm or ATR produced either by the performer or a third-party that successfully utilizes the data format.  The reconstruction algorithm or ATR must simply be able to utilize the data.  Sub-tasks include the following: </w:t>
      </w:r>
    </w:p>
    <w:p w14:paraId="0816B46E" w14:textId="77777777" w:rsidR="008F0B24" w:rsidRPr="0011449B" w:rsidRDefault="008F0B24" w:rsidP="008F0B24">
      <w:pPr>
        <w:pStyle w:val="ListParagraph"/>
        <w:numPr>
          <w:ilvl w:val="1"/>
          <w:numId w:val="14"/>
        </w:numPr>
        <w:spacing w:line="276" w:lineRule="auto"/>
        <w:jc w:val="both"/>
        <w:rPr>
          <w:rFonts w:ascii="Verdana" w:hAnsi="Verdana"/>
        </w:rPr>
      </w:pPr>
      <w:r w:rsidRPr="0011449B">
        <w:rPr>
          <w:rFonts w:ascii="Verdana" w:hAnsi="Verdana"/>
        </w:rPr>
        <w:t>Working directly with national laboratories, OEMs, and other organizations to understand the engineering architecture of the AIT machines of interest.</w:t>
      </w:r>
    </w:p>
    <w:p w14:paraId="6A148619" w14:textId="77777777" w:rsidR="008F0B24" w:rsidRPr="0011449B" w:rsidRDefault="008F0B24" w:rsidP="008F0B24">
      <w:pPr>
        <w:pStyle w:val="ListParagraph"/>
        <w:numPr>
          <w:ilvl w:val="1"/>
          <w:numId w:val="14"/>
        </w:numPr>
        <w:spacing w:line="276" w:lineRule="auto"/>
        <w:jc w:val="both"/>
        <w:rPr>
          <w:rFonts w:ascii="Verdana" w:hAnsi="Verdana"/>
        </w:rPr>
      </w:pPr>
      <w:r w:rsidRPr="0011449B">
        <w:rPr>
          <w:rFonts w:ascii="Verdana" w:hAnsi="Verdana"/>
        </w:rPr>
        <w:t>Development of a draft specification which characterizes the necessary aspects of the AIT system to allow for a useful formatting raw data.</w:t>
      </w:r>
    </w:p>
    <w:p w14:paraId="30695861" w14:textId="77777777" w:rsidR="008F0B24" w:rsidRPr="0011449B" w:rsidRDefault="008F0B24" w:rsidP="008F0B24">
      <w:pPr>
        <w:pStyle w:val="ListParagraph"/>
        <w:numPr>
          <w:ilvl w:val="1"/>
          <w:numId w:val="14"/>
        </w:numPr>
        <w:spacing w:line="276" w:lineRule="auto"/>
        <w:jc w:val="both"/>
        <w:rPr>
          <w:rFonts w:ascii="Verdana" w:hAnsi="Verdana"/>
        </w:rPr>
      </w:pPr>
      <w:r w:rsidRPr="0011449B">
        <w:rPr>
          <w:rFonts w:ascii="Verdana" w:hAnsi="Verdana"/>
        </w:rPr>
        <w:t xml:space="preserve">Development of an SDK that allows a developer to implement the format on an actual AIT.  </w:t>
      </w:r>
    </w:p>
    <w:p w14:paraId="54705F46" w14:textId="77777777" w:rsidR="008F0B24" w:rsidRPr="0011449B" w:rsidRDefault="008F0B24" w:rsidP="008F0B24">
      <w:pPr>
        <w:pStyle w:val="ListParagraph"/>
        <w:numPr>
          <w:ilvl w:val="1"/>
          <w:numId w:val="14"/>
        </w:numPr>
        <w:spacing w:line="276" w:lineRule="auto"/>
        <w:jc w:val="both"/>
        <w:rPr>
          <w:rFonts w:ascii="Verdana" w:hAnsi="Verdana"/>
        </w:rPr>
      </w:pPr>
      <w:r w:rsidRPr="0011449B">
        <w:rPr>
          <w:rFonts w:ascii="Verdana" w:hAnsi="Verdana"/>
        </w:rPr>
        <w:lastRenderedPageBreak/>
        <w:t xml:space="preserve">Development of or partnering with a third-party to develop an algorithm that utilizes the formatted data. </w:t>
      </w:r>
    </w:p>
    <w:p w14:paraId="7603D8B1" w14:textId="77777777" w:rsidR="008F0B24" w:rsidRPr="0011449B" w:rsidRDefault="008F0B24" w:rsidP="008F0B24">
      <w:pPr>
        <w:pStyle w:val="ListParagraph"/>
        <w:numPr>
          <w:ilvl w:val="1"/>
          <w:numId w:val="14"/>
        </w:numPr>
        <w:spacing w:line="276" w:lineRule="auto"/>
        <w:jc w:val="both"/>
        <w:rPr>
          <w:rFonts w:ascii="Verdana" w:hAnsi="Verdana"/>
        </w:rPr>
      </w:pPr>
      <w:r w:rsidRPr="0011449B">
        <w:rPr>
          <w:rFonts w:ascii="Verdana" w:hAnsi="Verdana"/>
        </w:rPr>
        <w:t>Executing a demonstration of the MVP.  In pursuit of the MVP, the performer shall put together a plan of milestones incrementally leading up to the MVP.  The intent is that if any one of the milestones appears to be too difficult or expensive, DHS S&amp;T may choose to discontinue the work.</w:t>
      </w:r>
    </w:p>
    <w:p w14:paraId="0C9CFD75" w14:textId="77777777" w:rsidR="008F0B24" w:rsidRPr="0011449B" w:rsidRDefault="008F0B24" w:rsidP="008F0B24">
      <w:pPr>
        <w:pStyle w:val="ListParagraph"/>
        <w:numPr>
          <w:ilvl w:val="1"/>
          <w:numId w:val="14"/>
        </w:numPr>
        <w:spacing w:line="276" w:lineRule="auto"/>
        <w:jc w:val="both"/>
        <w:rPr>
          <w:rFonts w:ascii="Verdana" w:hAnsi="Verdana"/>
        </w:rPr>
      </w:pPr>
      <w:r w:rsidRPr="0011449B">
        <w:rPr>
          <w:rFonts w:ascii="Verdana" w:hAnsi="Verdana"/>
        </w:rPr>
        <w:t>Packaging the formatting code to include i) the format SDK, ii) documentation on how to install and utilize the SDK, iii) format API documentation, and iv) example code for use by OEMs.</w:t>
      </w:r>
    </w:p>
    <w:p w14:paraId="3486A29B" w14:textId="77777777" w:rsidR="008F0B24" w:rsidRPr="0011449B" w:rsidRDefault="008F0B24" w:rsidP="008F0B24">
      <w:pPr>
        <w:pStyle w:val="ListParagraph"/>
        <w:spacing w:line="276" w:lineRule="auto"/>
        <w:ind w:left="792"/>
        <w:jc w:val="both"/>
        <w:rPr>
          <w:rFonts w:ascii="Verdana" w:hAnsi="Verdana"/>
        </w:rPr>
      </w:pPr>
    </w:p>
    <w:p w14:paraId="7DB42E6B" w14:textId="7FA41D86" w:rsidR="008F0B24" w:rsidRPr="0011449B" w:rsidRDefault="008F0B24" w:rsidP="008F0B24">
      <w:pPr>
        <w:pStyle w:val="ListParagraph"/>
        <w:numPr>
          <w:ilvl w:val="0"/>
          <w:numId w:val="14"/>
        </w:numPr>
        <w:spacing w:line="276" w:lineRule="auto"/>
        <w:jc w:val="both"/>
        <w:rPr>
          <w:rFonts w:ascii="Verdana" w:hAnsi="Verdana"/>
        </w:rPr>
      </w:pPr>
      <w:r w:rsidRPr="0011449B">
        <w:rPr>
          <w:rFonts w:ascii="Verdana" w:hAnsi="Verdana"/>
          <w:b/>
        </w:rPr>
        <w:t>Support further development of the OTAP MRAD</w:t>
      </w:r>
      <w:r w:rsidRPr="0011449B">
        <w:rPr>
          <w:rStyle w:val="FootnoteReference"/>
          <w:rFonts w:ascii="Verdana" w:hAnsi="Verdana"/>
          <w:b/>
        </w:rPr>
        <w:footnoteReference w:id="3"/>
      </w:r>
      <w:r w:rsidRPr="0011449B">
        <w:rPr>
          <w:rFonts w:ascii="Verdana" w:hAnsi="Verdana"/>
          <w:b/>
        </w:rPr>
        <w:t xml:space="preserve"> algorithm development environment:  </w:t>
      </w:r>
      <w:r w:rsidRPr="0011449B">
        <w:rPr>
          <w:rFonts w:ascii="Verdana" w:hAnsi="Verdana"/>
        </w:rPr>
        <w:t xml:space="preserve">In order to support rapid T&amp;E of AIT ATR algorithms the performer shall augment the MRAD capability to be able to execute AIT ATRs and score them using, at a minimum, traditional ROC curve metrics. </w:t>
      </w:r>
    </w:p>
    <w:p w14:paraId="4C80032C" w14:textId="41866CBF" w:rsidR="008F0B24" w:rsidRPr="0011449B" w:rsidRDefault="008F0B24" w:rsidP="008F0B24">
      <w:pPr>
        <w:pStyle w:val="ListParagraph"/>
        <w:numPr>
          <w:ilvl w:val="1"/>
          <w:numId w:val="14"/>
        </w:numPr>
        <w:spacing w:line="276" w:lineRule="auto"/>
        <w:jc w:val="both"/>
        <w:rPr>
          <w:rFonts w:ascii="Verdana" w:hAnsi="Verdana"/>
        </w:rPr>
      </w:pPr>
      <w:r w:rsidRPr="0011449B">
        <w:rPr>
          <w:rFonts w:ascii="Verdana" w:hAnsi="Verdana"/>
        </w:rPr>
        <w:t>Obtain or create a database of AIT images provided by DHS/S&amp;T.  The primary intent of the database is to provide a test dataset against which the ATRs will be validated.  The database should be searchable across different scan features and should be transferable to third-party performers for ATR training if necessary.</w:t>
      </w:r>
      <w:r w:rsidR="0011449B" w:rsidRPr="0011449B">
        <w:rPr>
          <w:rFonts w:ascii="Verdana" w:hAnsi="Verdana"/>
        </w:rPr>
        <w:t xml:space="preserve"> Sandia, if determined necessary, must receive a determination from its Institutional Review Board with respect to human subject research compliance prior to receipt of AIT images.</w:t>
      </w:r>
    </w:p>
    <w:p w14:paraId="6606860D" w14:textId="77777777" w:rsidR="008F0B24" w:rsidRPr="0011449B" w:rsidRDefault="008F0B24" w:rsidP="008F0B24">
      <w:pPr>
        <w:pStyle w:val="ListParagraph"/>
        <w:numPr>
          <w:ilvl w:val="1"/>
          <w:numId w:val="14"/>
        </w:numPr>
        <w:spacing w:line="276" w:lineRule="auto"/>
        <w:jc w:val="both"/>
        <w:rPr>
          <w:rFonts w:ascii="Verdana" w:hAnsi="Verdana"/>
        </w:rPr>
      </w:pPr>
      <w:r w:rsidRPr="0011449B">
        <w:rPr>
          <w:rFonts w:ascii="Verdana" w:hAnsi="Verdana"/>
        </w:rPr>
        <w:t xml:space="preserve">Augment MRAD to be able to execute partner ATR vendors’ algorithms.  Additional code development should include ii) basic documentation explaining how vendors should configure their ATR code to be executed by MRAD and ii) documentation allowing a delegate of DHS S&amp;T to run basic functions of the MRAD capability.  </w:t>
      </w:r>
    </w:p>
    <w:p w14:paraId="23517D1C" w14:textId="77777777" w:rsidR="008F0B24" w:rsidRPr="0011449B" w:rsidRDefault="008F0B24" w:rsidP="008F0B24">
      <w:pPr>
        <w:pStyle w:val="ListParagraph"/>
        <w:numPr>
          <w:ilvl w:val="1"/>
          <w:numId w:val="14"/>
        </w:numPr>
        <w:spacing w:line="276" w:lineRule="auto"/>
        <w:jc w:val="both"/>
        <w:rPr>
          <w:rFonts w:ascii="Verdana" w:hAnsi="Verdana"/>
        </w:rPr>
      </w:pPr>
      <w:r w:rsidRPr="0011449B">
        <w:rPr>
          <w:rFonts w:ascii="Verdana" w:hAnsi="Verdana"/>
        </w:rPr>
        <w:t>Demonstration of MRAD.</w:t>
      </w:r>
    </w:p>
    <w:p w14:paraId="2C18DE1D" w14:textId="77777777" w:rsidR="008F0B24" w:rsidRPr="0011449B" w:rsidRDefault="008F0B24" w:rsidP="008F0B24">
      <w:pPr>
        <w:pStyle w:val="ListParagraph"/>
        <w:spacing w:line="276" w:lineRule="auto"/>
        <w:ind w:left="792"/>
        <w:jc w:val="both"/>
        <w:rPr>
          <w:rFonts w:ascii="Verdana" w:hAnsi="Verdana"/>
        </w:rPr>
      </w:pPr>
    </w:p>
    <w:p w14:paraId="08397397" w14:textId="5A86AB93" w:rsidR="008F0B24" w:rsidRPr="0011449B" w:rsidRDefault="008F0B24" w:rsidP="008F0B24">
      <w:pPr>
        <w:pStyle w:val="ListParagraph"/>
        <w:numPr>
          <w:ilvl w:val="0"/>
          <w:numId w:val="14"/>
        </w:numPr>
        <w:spacing w:line="276" w:lineRule="auto"/>
        <w:jc w:val="both"/>
        <w:rPr>
          <w:rFonts w:ascii="Verdana" w:hAnsi="Verdana"/>
        </w:rPr>
      </w:pPr>
      <w:r w:rsidRPr="0011449B">
        <w:rPr>
          <w:rFonts w:ascii="Verdana" w:hAnsi="Verdana"/>
          <w:b/>
        </w:rPr>
        <w:t>Accelerate the development of an “A’-A’” data format for CT machines</w:t>
      </w:r>
      <w:r w:rsidRPr="0011449B">
        <w:rPr>
          <w:rFonts w:ascii="Verdana" w:hAnsi="Verdana"/>
        </w:rPr>
        <w:t>: The performer shall accelerate development of a format for CT raw data to enable ease of access to pre-reconstruction data by third-party performers.  The technical lessons learned and progress from the CT effort already underway with the OTAP project will directly inform and facilitate the AIT data format effort.  Specifically, the performer shall implement or modify the implementation of an A’-A’ format on a CT machine using an SDK and attempt to develop either a reconstruction or ATR from the formatted data.  As needed, the performer shall adapt the SDK to ensure useful A’-</w:t>
      </w:r>
      <w:proofErr w:type="gramStart"/>
      <w:r w:rsidRPr="0011449B">
        <w:rPr>
          <w:rFonts w:ascii="Verdana" w:hAnsi="Verdana"/>
        </w:rPr>
        <w:t>A</w:t>
      </w:r>
      <w:proofErr w:type="gramEnd"/>
      <w:r w:rsidRPr="0011449B">
        <w:rPr>
          <w:rFonts w:ascii="Verdana" w:hAnsi="Verdana"/>
        </w:rPr>
        <w:t xml:space="preserve">’ outputs.  The performer will then develop a short report with recommendations for the evolution and use of the SDK.  The performer may opt to use typical or multi-energy detectors as part of the effort.   </w:t>
      </w:r>
    </w:p>
    <w:p w14:paraId="58198C3A" w14:textId="77777777" w:rsidR="008F0B24" w:rsidRPr="0011449B" w:rsidRDefault="008F0B24" w:rsidP="008F0B24">
      <w:pPr>
        <w:pStyle w:val="ListParagraph"/>
        <w:spacing w:line="276" w:lineRule="auto"/>
        <w:ind w:left="360"/>
        <w:jc w:val="both"/>
        <w:rPr>
          <w:rFonts w:ascii="Verdana" w:hAnsi="Verdana"/>
        </w:rPr>
      </w:pPr>
    </w:p>
    <w:p w14:paraId="1F142839" w14:textId="7B711B36" w:rsidR="008F0B24" w:rsidRPr="0011449B" w:rsidRDefault="008F0B24" w:rsidP="008F0B24">
      <w:pPr>
        <w:pStyle w:val="ListParagraph"/>
        <w:numPr>
          <w:ilvl w:val="0"/>
          <w:numId w:val="14"/>
        </w:numPr>
        <w:spacing w:line="276" w:lineRule="auto"/>
        <w:jc w:val="both"/>
        <w:rPr>
          <w:rFonts w:ascii="Verdana" w:hAnsi="Verdana"/>
        </w:rPr>
      </w:pPr>
      <w:r w:rsidRPr="0011449B">
        <w:rPr>
          <w:rFonts w:ascii="Verdana" w:hAnsi="Verdana"/>
          <w:b/>
        </w:rPr>
        <w:t>Accelerate the development of third-party CT ATR and Reconstruction algorithms</w:t>
      </w:r>
      <w:r w:rsidRPr="0011449B">
        <w:rPr>
          <w:rFonts w:ascii="Verdana" w:hAnsi="Verdana"/>
        </w:rPr>
        <w:t xml:space="preserve">:  The performer shall accelerate and mature the ATR development and T&amp;E of CT ATR and reconstruction algorithms by third-party performers.  The technical lessons learned and progress from the CT effort already underway with the OTAP project </w:t>
      </w:r>
      <w:r w:rsidRPr="0011449B">
        <w:rPr>
          <w:rFonts w:ascii="Verdana" w:hAnsi="Verdana"/>
        </w:rPr>
        <w:lastRenderedPageBreak/>
        <w:t xml:space="preserve">will directly inform and facilitate the AIT data format effort.  Specifically, the performer will work with at least one third-party algorithm developer to develop a demo CT ATR covering at least one explosive or weapon with the available CT data.  The performer will develop a short report with recommendations and lessons learned from the effort.  </w:t>
      </w:r>
    </w:p>
    <w:p w14:paraId="510DD527" w14:textId="77777777" w:rsidR="008F0B24" w:rsidRPr="0011449B" w:rsidRDefault="008F0B24" w:rsidP="008F0B24">
      <w:pPr>
        <w:pStyle w:val="ListParagraph"/>
        <w:spacing w:line="276" w:lineRule="auto"/>
        <w:ind w:left="360"/>
        <w:jc w:val="both"/>
        <w:rPr>
          <w:rFonts w:ascii="Verdana" w:hAnsi="Verdana"/>
        </w:rPr>
      </w:pPr>
    </w:p>
    <w:p w14:paraId="6357C74E" w14:textId="3D2DEDA3" w:rsidR="008F0B24" w:rsidRPr="0011449B" w:rsidRDefault="008F0B24" w:rsidP="008F0B24">
      <w:pPr>
        <w:pStyle w:val="ListParagraph"/>
        <w:numPr>
          <w:ilvl w:val="0"/>
          <w:numId w:val="14"/>
        </w:numPr>
        <w:spacing w:line="276" w:lineRule="auto"/>
        <w:jc w:val="both"/>
        <w:rPr>
          <w:rFonts w:ascii="Verdana" w:hAnsi="Verdana"/>
        </w:rPr>
      </w:pPr>
      <w:r w:rsidRPr="0011449B">
        <w:rPr>
          <w:rFonts w:ascii="Verdana" w:hAnsi="Verdana"/>
          <w:b/>
        </w:rPr>
        <w:t>Systems Engineering Analysis</w:t>
      </w:r>
      <w:r w:rsidRPr="0011449B">
        <w:rPr>
          <w:rFonts w:ascii="Verdana" w:hAnsi="Verdana"/>
        </w:rPr>
        <w:t xml:space="preserve">:  The performer shall, at the direction of DHS/S&amp;T, perform specific analyses and studies of technical and operational challenges related to the development of an open architecture for aviation security screening.  </w:t>
      </w:r>
    </w:p>
    <w:p w14:paraId="08A49EE7" w14:textId="77777777" w:rsidR="00803DF9" w:rsidRPr="0011449B" w:rsidRDefault="00803DF9" w:rsidP="003C64BE">
      <w:pPr>
        <w:pStyle w:val="StyleHeading1NotItalic"/>
        <w:numPr>
          <w:ilvl w:val="0"/>
          <w:numId w:val="0"/>
        </w:numPr>
        <w:rPr>
          <w:rFonts w:ascii="Verdana" w:hAnsi="Verdana"/>
          <w:b w:val="0"/>
          <w:bCs w:val="0"/>
          <w:i/>
          <w:sz w:val="20"/>
        </w:rPr>
      </w:pPr>
      <w:bookmarkStart w:id="0" w:name="OLE_LINK4"/>
      <w:bookmarkStart w:id="1" w:name="OLE_LINK5"/>
    </w:p>
    <w:p w14:paraId="08A49EE8" w14:textId="77777777" w:rsidR="009D2323" w:rsidRPr="0011449B" w:rsidRDefault="002D561D" w:rsidP="000143A7">
      <w:pPr>
        <w:pStyle w:val="StyleHeading1NotItalic"/>
        <w:numPr>
          <w:ilvl w:val="0"/>
          <w:numId w:val="19"/>
        </w:numPr>
        <w:ind w:hanging="1080"/>
        <w:rPr>
          <w:rFonts w:ascii="Verdana" w:hAnsi="Verdana"/>
          <w:sz w:val="20"/>
        </w:rPr>
      </w:pPr>
      <w:r w:rsidRPr="0011449B">
        <w:rPr>
          <w:rFonts w:ascii="Verdana" w:hAnsi="Verdana"/>
          <w:sz w:val="20"/>
        </w:rPr>
        <w:t>Key Milestones and Deliverables</w:t>
      </w:r>
    </w:p>
    <w:p w14:paraId="08A49EE9" w14:textId="77777777" w:rsidR="00DC6D29" w:rsidRDefault="00DC6D29" w:rsidP="00DC6D29">
      <w:pPr>
        <w:pStyle w:val="StyleHeading1NotItalic"/>
        <w:numPr>
          <w:ilvl w:val="0"/>
          <w:numId w:val="0"/>
        </w:numPr>
        <w:rPr>
          <w:rFonts w:ascii="Verdana" w:hAnsi="Verdana"/>
          <w:sz w:val="20"/>
        </w:rPr>
      </w:pPr>
    </w:p>
    <w:p w14:paraId="3E92CDB2" w14:textId="055E62A2" w:rsidR="00B00A2E" w:rsidRDefault="00B00A2E" w:rsidP="00DC6D29">
      <w:pPr>
        <w:pStyle w:val="StyleHeading1NotItalic"/>
        <w:numPr>
          <w:ilvl w:val="0"/>
          <w:numId w:val="0"/>
        </w:numPr>
        <w:rPr>
          <w:rFonts w:ascii="Verdana" w:hAnsi="Verdana"/>
          <w:sz w:val="20"/>
        </w:rPr>
      </w:pPr>
      <w:r>
        <w:rPr>
          <w:rFonts w:ascii="Verdana" w:hAnsi="Verdana"/>
          <w:sz w:val="20"/>
        </w:rPr>
        <w:t>Please refer to the Software Deliverables document for guidance requirements for the development of software for DHS S&amp;T.</w:t>
      </w:r>
    </w:p>
    <w:p w14:paraId="608870F7" w14:textId="77777777" w:rsidR="00B00A2E" w:rsidRPr="0011449B" w:rsidRDefault="00B00A2E" w:rsidP="00DC6D29">
      <w:pPr>
        <w:pStyle w:val="StyleHeading1NotItalic"/>
        <w:numPr>
          <w:ilvl w:val="0"/>
          <w:numId w:val="0"/>
        </w:numPr>
        <w:rPr>
          <w:rFonts w:ascii="Verdana" w:hAnsi="Verdana"/>
          <w:sz w:val="20"/>
        </w:rPr>
      </w:pPr>
    </w:p>
    <w:p w14:paraId="08A49EEC" w14:textId="77777777" w:rsidR="00DC6D29" w:rsidRPr="0011449B" w:rsidRDefault="00DC6D29" w:rsidP="00DC6D29">
      <w:pPr>
        <w:pStyle w:val="StyleHeading1NotItalic"/>
        <w:numPr>
          <w:ilvl w:val="0"/>
          <w:numId w:val="0"/>
        </w:numPr>
        <w:rPr>
          <w:rFonts w:ascii="Verdana" w:hAnsi="Verdana"/>
          <w:sz w:val="20"/>
        </w:rPr>
      </w:pPr>
      <w:r w:rsidRPr="0011449B">
        <w:rPr>
          <w:rFonts w:ascii="Verdana" w:hAnsi="Verdana"/>
          <w:i/>
          <w:sz w:val="20"/>
        </w:rPr>
        <w:t>Table 1</w:t>
      </w:r>
    </w:p>
    <w:p w14:paraId="08A49EED" w14:textId="77777777" w:rsidR="00DC6D29" w:rsidRPr="0011449B" w:rsidRDefault="00DC6D29" w:rsidP="00DC6D29">
      <w:pPr>
        <w:pStyle w:val="StyleHeading1NotItalic"/>
        <w:numPr>
          <w:ilvl w:val="0"/>
          <w:numId w:val="0"/>
        </w:numPr>
        <w:ind w:left="1080"/>
        <w:rPr>
          <w:rFonts w:ascii="Verdana" w:hAnsi="Verdana"/>
          <w:sz w:val="20"/>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right w:w="115" w:type="dxa"/>
        </w:tblCellMar>
        <w:tblLook w:val="0000" w:firstRow="0" w:lastRow="0" w:firstColumn="0" w:lastColumn="0" w:noHBand="0" w:noVBand="0"/>
      </w:tblPr>
      <w:tblGrid>
        <w:gridCol w:w="3420"/>
        <w:gridCol w:w="3240"/>
        <w:gridCol w:w="2808"/>
      </w:tblGrid>
      <w:tr w:rsidR="008F0B24" w:rsidRPr="0011449B" w14:paraId="0FAC4255" w14:textId="77777777" w:rsidTr="000049FF">
        <w:trPr>
          <w:tblHeader/>
        </w:trPr>
        <w:tc>
          <w:tcPr>
            <w:tcW w:w="3420" w:type="dxa"/>
            <w:shd w:val="clear" w:color="auto" w:fill="FFFFCC"/>
            <w:vAlign w:val="center"/>
          </w:tcPr>
          <w:p w14:paraId="709F1BA8" w14:textId="77777777" w:rsidR="008F0B24" w:rsidRPr="0011449B" w:rsidRDefault="008F0B24" w:rsidP="000049FF">
            <w:pPr>
              <w:jc w:val="center"/>
              <w:rPr>
                <w:rFonts w:ascii="Verdana" w:hAnsi="Verdana"/>
                <w:b/>
                <w:bCs/>
                <w:sz w:val="20"/>
              </w:rPr>
            </w:pPr>
            <w:r w:rsidRPr="0011449B">
              <w:rPr>
                <w:rFonts w:ascii="Verdana" w:hAnsi="Verdana"/>
                <w:b/>
                <w:bCs/>
                <w:sz w:val="20"/>
              </w:rPr>
              <w:t>Task Number and Name</w:t>
            </w:r>
          </w:p>
        </w:tc>
        <w:tc>
          <w:tcPr>
            <w:tcW w:w="3240" w:type="dxa"/>
            <w:shd w:val="clear" w:color="auto" w:fill="FFFFCC"/>
            <w:vAlign w:val="center"/>
          </w:tcPr>
          <w:p w14:paraId="22F4E096" w14:textId="77777777" w:rsidR="008F0B24" w:rsidRPr="0011449B" w:rsidRDefault="008F0B24" w:rsidP="000049FF">
            <w:pPr>
              <w:ind w:left="72"/>
              <w:jc w:val="center"/>
              <w:rPr>
                <w:rFonts w:ascii="Verdana" w:hAnsi="Verdana"/>
                <w:b/>
                <w:sz w:val="20"/>
              </w:rPr>
            </w:pPr>
            <w:r w:rsidRPr="0011449B">
              <w:rPr>
                <w:rFonts w:ascii="Verdana" w:hAnsi="Verdana"/>
                <w:b/>
                <w:sz w:val="20"/>
              </w:rPr>
              <w:t>Milestones/Deliverables</w:t>
            </w:r>
          </w:p>
        </w:tc>
        <w:tc>
          <w:tcPr>
            <w:tcW w:w="2808" w:type="dxa"/>
            <w:shd w:val="clear" w:color="auto" w:fill="FFFFCC"/>
            <w:vAlign w:val="center"/>
          </w:tcPr>
          <w:p w14:paraId="2758AB31" w14:textId="77777777" w:rsidR="008F0B24" w:rsidRPr="0011449B" w:rsidRDefault="008F0B24" w:rsidP="000049FF">
            <w:pPr>
              <w:ind w:left="252" w:hanging="252"/>
              <w:jc w:val="center"/>
              <w:rPr>
                <w:rFonts w:ascii="Verdana" w:hAnsi="Verdana"/>
                <w:b/>
                <w:bCs/>
                <w:sz w:val="20"/>
              </w:rPr>
            </w:pPr>
            <w:r w:rsidRPr="0011449B">
              <w:rPr>
                <w:rFonts w:ascii="Verdana" w:hAnsi="Verdana"/>
                <w:b/>
                <w:bCs/>
                <w:sz w:val="20"/>
              </w:rPr>
              <w:t>Due Date or Completion Date</w:t>
            </w:r>
          </w:p>
        </w:tc>
      </w:tr>
      <w:tr w:rsidR="008F0B24" w:rsidRPr="0011449B" w14:paraId="5927B499" w14:textId="77777777" w:rsidTr="000049FF">
        <w:tc>
          <w:tcPr>
            <w:tcW w:w="3420" w:type="dxa"/>
          </w:tcPr>
          <w:p w14:paraId="5E796DF3" w14:textId="77777777" w:rsidR="008F0B24" w:rsidRPr="0011449B" w:rsidRDefault="008F0B24" w:rsidP="000049FF">
            <w:pPr>
              <w:pStyle w:val="ListParagraph"/>
              <w:tabs>
                <w:tab w:val="left" w:pos="312"/>
              </w:tabs>
              <w:spacing w:after="200" w:line="276" w:lineRule="auto"/>
              <w:ind w:left="0"/>
              <w:rPr>
                <w:rFonts w:ascii="Verdana" w:hAnsi="Verdana"/>
              </w:rPr>
            </w:pPr>
            <w:r w:rsidRPr="0011449B">
              <w:rPr>
                <w:rFonts w:ascii="Verdana" w:hAnsi="Verdana"/>
                <w:bCs/>
              </w:rPr>
              <w:t xml:space="preserve">1.0 Project Management </w:t>
            </w:r>
            <w:r w:rsidRPr="0011449B">
              <w:rPr>
                <w:rFonts w:ascii="Verdana" w:hAnsi="Verdana"/>
                <w:b/>
                <w:bCs/>
              </w:rPr>
              <w:t>(F)</w:t>
            </w:r>
            <w:r w:rsidRPr="0011449B">
              <w:rPr>
                <w:rFonts w:ascii="Verdana" w:hAnsi="Verdana"/>
                <w:bCs/>
              </w:rPr>
              <w:t xml:space="preserve"> </w:t>
            </w:r>
          </w:p>
        </w:tc>
        <w:tc>
          <w:tcPr>
            <w:tcW w:w="3240" w:type="dxa"/>
            <w:shd w:val="clear" w:color="auto" w:fill="FFFFFF" w:themeFill="background1"/>
            <w:vAlign w:val="center"/>
          </w:tcPr>
          <w:p w14:paraId="737BF085" w14:textId="77777777" w:rsidR="008F0B24" w:rsidRPr="0011449B" w:rsidRDefault="008F0B24" w:rsidP="000049FF">
            <w:pPr>
              <w:rPr>
                <w:rFonts w:ascii="Verdana" w:hAnsi="Verdana"/>
                <w:sz w:val="20"/>
              </w:rPr>
            </w:pPr>
            <w:r w:rsidRPr="0011449B">
              <w:rPr>
                <w:rFonts w:ascii="Verdana" w:hAnsi="Verdana"/>
                <w:sz w:val="20"/>
              </w:rPr>
              <w:t>1. Kickoff</w:t>
            </w:r>
          </w:p>
          <w:p w14:paraId="74C71812" w14:textId="77777777" w:rsidR="008F0B24" w:rsidRPr="0011449B" w:rsidRDefault="008F0B24" w:rsidP="000049FF">
            <w:pPr>
              <w:rPr>
                <w:rFonts w:ascii="Verdana" w:hAnsi="Verdana"/>
                <w:sz w:val="20"/>
              </w:rPr>
            </w:pPr>
            <w:r w:rsidRPr="0011449B">
              <w:rPr>
                <w:rFonts w:ascii="Verdana" w:hAnsi="Verdana"/>
                <w:sz w:val="20"/>
              </w:rPr>
              <w:t>2. Program Summary Sheet, and Non-Proprietary Quad Chart</w:t>
            </w:r>
          </w:p>
          <w:p w14:paraId="14F37130" w14:textId="77777777" w:rsidR="008F0B24" w:rsidRPr="0011449B" w:rsidRDefault="008F0B24" w:rsidP="000049FF">
            <w:pPr>
              <w:rPr>
                <w:rFonts w:ascii="Verdana" w:hAnsi="Verdana"/>
                <w:sz w:val="20"/>
              </w:rPr>
            </w:pPr>
            <w:r w:rsidRPr="0011449B">
              <w:rPr>
                <w:rFonts w:ascii="Verdana" w:hAnsi="Verdana"/>
                <w:sz w:val="20"/>
              </w:rPr>
              <w:t>3. Monthly Technical Status Report (MSR)</w:t>
            </w:r>
          </w:p>
          <w:p w14:paraId="5A4A01A6" w14:textId="77777777" w:rsidR="008F0B24" w:rsidRPr="0011449B" w:rsidRDefault="008F0B24" w:rsidP="000049FF">
            <w:pPr>
              <w:rPr>
                <w:rFonts w:ascii="Verdana" w:hAnsi="Verdana"/>
                <w:sz w:val="20"/>
              </w:rPr>
            </w:pPr>
            <w:r w:rsidRPr="0011449B">
              <w:rPr>
                <w:rFonts w:ascii="Verdana" w:hAnsi="Verdana"/>
                <w:sz w:val="20"/>
              </w:rPr>
              <w:t>4. Invoice &amp; Financial Status Report</w:t>
            </w:r>
          </w:p>
          <w:p w14:paraId="642E1485" w14:textId="77777777" w:rsidR="008F0B24" w:rsidRPr="0011449B" w:rsidRDefault="008F0B24" w:rsidP="000049FF">
            <w:pPr>
              <w:rPr>
                <w:rFonts w:ascii="Verdana" w:hAnsi="Verdana"/>
                <w:sz w:val="20"/>
              </w:rPr>
            </w:pPr>
            <w:r w:rsidRPr="0011449B">
              <w:rPr>
                <w:rFonts w:ascii="Verdana" w:hAnsi="Verdana"/>
                <w:sz w:val="20"/>
              </w:rPr>
              <w:t>5. Monthly Teleconference</w:t>
            </w:r>
          </w:p>
          <w:p w14:paraId="56D61CA3" w14:textId="77777777" w:rsidR="008F0B24" w:rsidRPr="0011449B" w:rsidRDefault="008F0B24" w:rsidP="000049FF">
            <w:pPr>
              <w:rPr>
                <w:rFonts w:ascii="Verdana" w:hAnsi="Verdana"/>
                <w:sz w:val="20"/>
              </w:rPr>
            </w:pPr>
            <w:r w:rsidRPr="0011449B">
              <w:rPr>
                <w:rFonts w:ascii="Verdana" w:hAnsi="Verdana"/>
                <w:sz w:val="20"/>
              </w:rPr>
              <w:t>6. Milestones Plan</w:t>
            </w:r>
          </w:p>
          <w:p w14:paraId="6F158FC0" w14:textId="77777777" w:rsidR="008F0B24" w:rsidRPr="0011449B" w:rsidRDefault="008F0B24" w:rsidP="000049FF">
            <w:pPr>
              <w:rPr>
                <w:rFonts w:ascii="Verdana" w:hAnsi="Verdana"/>
                <w:sz w:val="20"/>
              </w:rPr>
            </w:pPr>
            <w:r w:rsidRPr="0011449B">
              <w:rPr>
                <w:rFonts w:ascii="Verdana" w:hAnsi="Verdana"/>
                <w:sz w:val="20"/>
              </w:rPr>
              <w:t>7. Final Report</w:t>
            </w:r>
          </w:p>
          <w:p w14:paraId="2938A03A" w14:textId="77777777" w:rsidR="008F0B24" w:rsidRPr="0011449B" w:rsidRDefault="008F0B24" w:rsidP="000049FF">
            <w:pPr>
              <w:rPr>
                <w:rFonts w:ascii="Verdana" w:hAnsi="Verdana"/>
                <w:sz w:val="20"/>
              </w:rPr>
            </w:pPr>
          </w:p>
        </w:tc>
        <w:tc>
          <w:tcPr>
            <w:tcW w:w="2808" w:type="dxa"/>
            <w:shd w:val="clear" w:color="auto" w:fill="FFFFFF" w:themeFill="background1"/>
            <w:vAlign w:val="center"/>
          </w:tcPr>
          <w:p w14:paraId="7C67A510" w14:textId="77777777" w:rsidR="008F0B24" w:rsidRPr="0011449B" w:rsidRDefault="008F0B24" w:rsidP="000049FF">
            <w:pPr>
              <w:rPr>
                <w:rFonts w:ascii="Verdana" w:hAnsi="Verdana"/>
                <w:sz w:val="20"/>
              </w:rPr>
            </w:pPr>
            <w:r w:rsidRPr="0011449B">
              <w:rPr>
                <w:rFonts w:ascii="Verdana" w:hAnsi="Verdana"/>
                <w:sz w:val="20"/>
              </w:rPr>
              <w:t>1. 30 days after award</w:t>
            </w:r>
          </w:p>
          <w:p w14:paraId="2F344868" w14:textId="77777777" w:rsidR="008F0B24" w:rsidRPr="0011449B" w:rsidRDefault="008F0B24" w:rsidP="000049FF">
            <w:pPr>
              <w:rPr>
                <w:rFonts w:ascii="Verdana" w:hAnsi="Verdana"/>
                <w:sz w:val="20"/>
              </w:rPr>
            </w:pPr>
            <w:r w:rsidRPr="0011449B">
              <w:rPr>
                <w:rFonts w:ascii="Verdana" w:hAnsi="Verdana"/>
                <w:sz w:val="20"/>
              </w:rPr>
              <w:t>2. 30 days after award</w:t>
            </w:r>
          </w:p>
          <w:p w14:paraId="03CA7F59" w14:textId="77777777" w:rsidR="008F0B24" w:rsidRPr="0011449B" w:rsidRDefault="008F0B24" w:rsidP="000049FF">
            <w:pPr>
              <w:rPr>
                <w:rFonts w:ascii="Verdana" w:hAnsi="Verdana"/>
                <w:sz w:val="20"/>
              </w:rPr>
            </w:pPr>
            <w:r w:rsidRPr="0011449B">
              <w:rPr>
                <w:rFonts w:ascii="Verdana" w:hAnsi="Verdana"/>
                <w:sz w:val="20"/>
              </w:rPr>
              <w:t>3. 15</w:t>
            </w:r>
            <w:r w:rsidRPr="0011449B">
              <w:rPr>
                <w:rFonts w:ascii="Verdana" w:hAnsi="Verdana"/>
                <w:sz w:val="20"/>
                <w:vertAlign w:val="superscript"/>
              </w:rPr>
              <w:t>th</w:t>
            </w:r>
            <w:r w:rsidRPr="0011449B">
              <w:rPr>
                <w:rFonts w:ascii="Verdana" w:hAnsi="Verdana"/>
                <w:sz w:val="20"/>
              </w:rPr>
              <w:t xml:space="preserve"> calendar day of the month</w:t>
            </w:r>
          </w:p>
          <w:p w14:paraId="0A842A57" w14:textId="77777777" w:rsidR="008F0B24" w:rsidRPr="0011449B" w:rsidRDefault="008F0B24" w:rsidP="000049FF">
            <w:pPr>
              <w:rPr>
                <w:rFonts w:ascii="Verdana" w:hAnsi="Verdana"/>
                <w:sz w:val="20"/>
              </w:rPr>
            </w:pPr>
            <w:r w:rsidRPr="0011449B">
              <w:rPr>
                <w:rFonts w:ascii="Verdana" w:hAnsi="Verdana"/>
                <w:sz w:val="20"/>
              </w:rPr>
              <w:t>4. 15th calendar day of the month</w:t>
            </w:r>
          </w:p>
          <w:p w14:paraId="0B58F724" w14:textId="77777777" w:rsidR="008F0B24" w:rsidRPr="0011449B" w:rsidRDefault="008F0B24" w:rsidP="000049FF">
            <w:pPr>
              <w:rPr>
                <w:rFonts w:ascii="Verdana" w:hAnsi="Verdana"/>
                <w:sz w:val="20"/>
              </w:rPr>
            </w:pPr>
            <w:r w:rsidRPr="0011449B">
              <w:rPr>
                <w:rFonts w:ascii="Verdana" w:hAnsi="Verdana"/>
                <w:sz w:val="20"/>
              </w:rPr>
              <w:t>5. 5 working days after delivery of MSR</w:t>
            </w:r>
          </w:p>
          <w:p w14:paraId="6F0DE802" w14:textId="77777777" w:rsidR="008F0B24" w:rsidRPr="0011449B" w:rsidRDefault="008F0B24" w:rsidP="000049FF">
            <w:pPr>
              <w:rPr>
                <w:rFonts w:ascii="Verdana" w:hAnsi="Verdana"/>
                <w:sz w:val="20"/>
              </w:rPr>
            </w:pPr>
            <w:r w:rsidRPr="0011449B">
              <w:rPr>
                <w:rFonts w:ascii="Verdana" w:hAnsi="Verdana"/>
                <w:sz w:val="20"/>
              </w:rPr>
              <w:t>6. 6 weeks after award</w:t>
            </w:r>
          </w:p>
          <w:p w14:paraId="038A7CF5" w14:textId="77777777" w:rsidR="008F0B24" w:rsidRPr="0011449B" w:rsidRDefault="008F0B24" w:rsidP="000049FF">
            <w:pPr>
              <w:rPr>
                <w:rFonts w:ascii="Verdana" w:hAnsi="Verdana"/>
                <w:sz w:val="20"/>
              </w:rPr>
            </w:pPr>
            <w:r w:rsidRPr="0011449B">
              <w:rPr>
                <w:rFonts w:ascii="Verdana" w:hAnsi="Verdana"/>
                <w:sz w:val="20"/>
              </w:rPr>
              <w:t>7. 17.5 months after award</w:t>
            </w:r>
          </w:p>
          <w:p w14:paraId="72E86997" w14:textId="77777777" w:rsidR="008F0B24" w:rsidRPr="0011449B" w:rsidRDefault="008F0B24" w:rsidP="000049FF">
            <w:pPr>
              <w:rPr>
                <w:rFonts w:ascii="Verdana" w:hAnsi="Verdana"/>
                <w:sz w:val="20"/>
              </w:rPr>
            </w:pPr>
          </w:p>
        </w:tc>
      </w:tr>
      <w:tr w:rsidR="008F0B24" w:rsidRPr="0011449B" w14:paraId="40807778" w14:textId="77777777" w:rsidTr="000049FF">
        <w:tc>
          <w:tcPr>
            <w:tcW w:w="3420" w:type="dxa"/>
          </w:tcPr>
          <w:p w14:paraId="63483D41" w14:textId="77777777" w:rsidR="008F0B24" w:rsidRPr="0011449B" w:rsidRDefault="008F0B24" w:rsidP="000049FF">
            <w:pPr>
              <w:pStyle w:val="ListParagraph"/>
              <w:tabs>
                <w:tab w:val="left" w:pos="312"/>
              </w:tabs>
              <w:spacing w:after="200" w:line="276" w:lineRule="auto"/>
              <w:ind w:left="0"/>
              <w:rPr>
                <w:rFonts w:ascii="Verdana" w:hAnsi="Verdana"/>
                <w:b/>
                <w:bCs/>
              </w:rPr>
            </w:pPr>
            <w:r w:rsidRPr="0011449B">
              <w:rPr>
                <w:rFonts w:ascii="Verdana" w:hAnsi="Verdana"/>
                <w:bCs/>
              </w:rPr>
              <w:t xml:space="preserve">2.0 Develop OPSL Software for AIT </w:t>
            </w:r>
            <w:r w:rsidRPr="0011449B">
              <w:rPr>
                <w:rFonts w:ascii="Verdana" w:hAnsi="Verdana"/>
                <w:b/>
                <w:bCs/>
              </w:rPr>
              <w:t>(F)</w:t>
            </w:r>
          </w:p>
        </w:tc>
        <w:tc>
          <w:tcPr>
            <w:tcW w:w="3240" w:type="dxa"/>
            <w:shd w:val="clear" w:color="auto" w:fill="FFFFFF" w:themeFill="background1"/>
            <w:vAlign w:val="center"/>
          </w:tcPr>
          <w:p w14:paraId="6562C120" w14:textId="77777777" w:rsidR="008F0B24" w:rsidRPr="0011449B" w:rsidRDefault="008F0B24" w:rsidP="000049FF">
            <w:pPr>
              <w:rPr>
                <w:rFonts w:ascii="Verdana" w:hAnsi="Verdana"/>
                <w:sz w:val="20"/>
              </w:rPr>
            </w:pPr>
            <w:r w:rsidRPr="0011449B">
              <w:rPr>
                <w:rFonts w:ascii="Verdana" w:hAnsi="Verdana"/>
                <w:sz w:val="20"/>
              </w:rPr>
              <w:t>1. OPSL-AIT Draft Requirements Document</w:t>
            </w:r>
          </w:p>
          <w:p w14:paraId="1897D2A7" w14:textId="77777777" w:rsidR="008F0B24" w:rsidRPr="0011449B" w:rsidRDefault="008F0B24" w:rsidP="000049FF">
            <w:pPr>
              <w:rPr>
                <w:rFonts w:ascii="Verdana" w:hAnsi="Verdana"/>
                <w:sz w:val="20"/>
              </w:rPr>
            </w:pPr>
            <w:r w:rsidRPr="0011449B">
              <w:rPr>
                <w:rFonts w:ascii="Verdana" w:hAnsi="Verdana"/>
                <w:sz w:val="20"/>
              </w:rPr>
              <w:t>2. OPSL-AIT API</w:t>
            </w:r>
          </w:p>
          <w:p w14:paraId="137904F9" w14:textId="77777777" w:rsidR="008F0B24" w:rsidRPr="0011449B" w:rsidRDefault="008F0B24" w:rsidP="000049FF">
            <w:pPr>
              <w:rPr>
                <w:rFonts w:ascii="Verdana" w:hAnsi="Verdana"/>
                <w:sz w:val="20"/>
              </w:rPr>
            </w:pPr>
            <w:r w:rsidRPr="0011449B">
              <w:rPr>
                <w:rFonts w:ascii="Verdana" w:hAnsi="Verdana"/>
                <w:sz w:val="20"/>
              </w:rPr>
              <w:t>3. OPSL-AIT Demo</w:t>
            </w:r>
          </w:p>
          <w:p w14:paraId="24C06FB1" w14:textId="77777777" w:rsidR="008F0B24" w:rsidRPr="0011449B" w:rsidRDefault="008F0B24" w:rsidP="000049FF">
            <w:pPr>
              <w:rPr>
                <w:rFonts w:ascii="Verdana" w:hAnsi="Verdana"/>
                <w:sz w:val="20"/>
              </w:rPr>
            </w:pPr>
            <w:r w:rsidRPr="0011449B">
              <w:rPr>
                <w:rFonts w:ascii="Verdana" w:hAnsi="Verdana"/>
                <w:sz w:val="20"/>
              </w:rPr>
              <w:t>4. OPSL-AIT Code Package for Distribution</w:t>
            </w:r>
          </w:p>
          <w:p w14:paraId="0589ABBA" w14:textId="77777777" w:rsidR="008F0B24" w:rsidRPr="0011449B" w:rsidRDefault="008F0B24" w:rsidP="000049FF">
            <w:pPr>
              <w:rPr>
                <w:rFonts w:ascii="Verdana" w:hAnsi="Verdana"/>
                <w:sz w:val="20"/>
              </w:rPr>
            </w:pPr>
            <w:r w:rsidRPr="0011449B">
              <w:rPr>
                <w:rFonts w:ascii="Verdana" w:hAnsi="Verdana"/>
                <w:sz w:val="20"/>
              </w:rPr>
              <w:t>5. Other source code developed under this task</w:t>
            </w:r>
          </w:p>
        </w:tc>
        <w:tc>
          <w:tcPr>
            <w:tcW w:w="2808" w:type="dxa"/>
            <w:shd w:val="clear" w:color="auto" w:fill="FFFFFF" w:themeFill="background1"/>
            <w:vAlign w:val="center"/>
          </w:tcPr>
          <w:p w14:paraId="0D8DAA8E" w14:textId="77777777" w:rsidR="008F0B24" w:rsidRPr="0011449B" w:rsidRDefault="008F0B24" w:rsidP="000049FF">
            <w:pPr>
              <w:rPr>
                <w:rFonts w:ascii="Verdana" w:hAnsi="Verdana"/>
                <w:sz w:val="20"/>
              </w:rPr>
            </w:pPr>
            <w:r w:rsidRPr="0011449B">
              <w:rPr>
                <w:rFonts w:ascii="Verdana" w:hAnsi="Verdana"/>
                <w:sz w:val="20"/>
              </w:rPr>
              <w:t>1. 4 months after award</w:t>
            </w:r>
          </w:p>
          <w:p w14:paraId="0ED4D4F8" w14:textId="77777777" w:rsidR="008F0B24" w:rsidRPr="0011449B" w:rsidRDefault="008F0B24" w:rsidP="000049FF">
            <w:pPr>
              <w:rPr>
                <w:rFonts w:ascii="Verdana" w:hAnsi="Verdana"/>
                <w:sz w:val="20"/>
              </w:rPr>
            </w:pPr>
            <w:r w:rsidRPr="0011449B">
              <w:rPr>
                <w:rFonts w:ascii="Verdana" w:hAnsi="Verdana"/>
                <w:sz w:val="20"/>
              </w:rPr>
              <w:t>2. 12 months after award</w:t>
            </w:r>
          </w:p>
          <w:p w14:paraId="15FAD73B" w14:textId="77777777" w:rsidR="008F0B24" w:rsidRPr="0011449B" w:rsidRDefault="008F0B24" w:rsidP="000049FF">
            <w:pPr>
              <w:rPr>
                <w:rFonts w:ascii="Verdana" w:hAnsi="Verdana"/>
                <w:sz w:val="20"/>
              </w:rPr>
            </w:pPr>
            <w:r w:rsidRPr="0011449B">
              <w:rPr>
                <w:rFonts w:ascii="Verdana" w:hAnsi="Verdana"/>
                <w:sz w:val="20"/>
              </w:rPr>
              <w:t>3. 18 months after award</w:t>
            </w:r>
          </w:p>
          <w:p w14:paraId="531FC18F" w14:textId="77777777" w:rsidR="008F0B24" w:rsidRPr="0011449B" w:rsidRDefault="008F0B24" w:rsidP="000049FF">
            <w:pPr>
              <w:rPr>
                <w:rFonts w:ascii="Verdana" w:hAnsi="Verdana"/>
                <w:sz w:val="20"/>
              </w:rPr>
            </w:pPr>
            <w:r w:rsidRPr="0011449B">
              <w:rPr>
                <w:rFonts w:ascii="Verdana" w:hAnsi="Verdana"/>
                <w:sz w:val="20"/>
              </w:rPr>
              <w:t>4. 18 months after award</w:t>
            </w:r>
          </w:p>
          <w:p w14:paraId="04515D99" w14:textId="77777777" w:rsidR="008F0B24" w:rsidRPr="0011449B" w:rsidRDefault="008F0B24" w:rsidP="000049FF">
            <w:pPr>
              <w:rPr>
                <w:rFonts w:ascii="Verdana" w:hAnsi="Verdana"/>
                <w:sz w:val="20"/>
              </w:rPr>
            </w:pPr>
            <w:r w:rsidRPr="0011449B">
              <w:rPr>
                <w:rFonts w:ascii="Verdana" w:hAnsi="Verdana"/>
                <w:sz w:val="20"/>
              </w:rPr>
              <w:t>5. 18 months after award</w:t>
            </w:r>
          </w:p>
        </w:tc>
      </w:tr>
      <w:tr w:rsidR="008F0B24" w:rsidRPr="0011449B" w14:paraId="57E7F1F2" w14:textId="77777777" w:rsidTr="000049FF">
        <w:tc>
          <w:tcPr>
            <w:tcW w:w="3420" w:type="dxa"/>
          </w:tcPr>
          <w:p w14:paraId="1B741BF9" w14:textId="7CF38A99" w:rsidR="008F0B24" w:rsidRPr="0011449B" w:rsidRDefault="008F0B24" w:rsidP="000049FF">
            <w:pPr>
              <w:pStyle w:val="ListParagraph"/>
              <w:tabs>
                <w:tab w:val="left" w:pos="312"/>
              </w:tabs>
              <w:spacing w:after="200" w:line="276" w:lineRule="auto"/>
              <w:ind w:left="0"/>
              <w:rPr>
                <w:rFonts w:ascii="Verdana" w:hAnsi="Verdana"/>
                <w:b/>
                <w:bCs/>
              </w:rPr>
            </w:pPr>
            <w:r w:rsidRPr="0011449B">
              <w:rPr>
                <w:rFonts w:ascii="Verdana" w:hAnsi="Verdana"/>
                <w:bCs/>
              </w:rPr>
              <w:t xml:space="preserve">3.0 Develop a standardized data format to structure “raw” data from AIT scans </w:t>
            </w:r>
            <w:r w:rsidRPr="0011449B">
              <w:rPr>
                <w:rFonts w:ascii="Verdana" w:hAnsi="Verdana"/>
                <w:b/>
                <w:bCs/>
              </w:rPr>
              <w:t>(F)</w:t>
            </w:r>
          </w:p>
        </w:tc>
        <w:tc>
          <w:tcPr>
            <w:tcW w:w="3240" w:type="dxa"/>
            <w:shd w:val="clear" w:color="auto" w:fill="FFFFFF" w:themeFill="background1"/>
            <w:vAlign w:val="center"/>
          </w:tcPr>
          <w:p w14:paraId="5061F014" w14:textId="77777777" w:rsidR="008F0B24" w:rsidRPr="0011449B" w:rsidRDefault="008F0B24" w:rsidP="000049FF">
            <w:pPr>
              <w:rPr>
                <w:rFonts w:ascii="Verdana" w:hAnsi="Verdana"/>
                <w:sz w:val="20"/>
              </w:rPr>
            </w:pPr>
            <w:r w:rsidRPr="0011449B">
              <w:rPr>
                <w:rFonts w:ascii="Verdana" w:hAnsi="Verdana"/>
                <w:sz w:val="20"/>
              </w:rPr>
              <w:t>1. Quick Look Report from meetings with manufacturers</w:t>
            </w:r>
          </w:p>
          <w:p w14:paraId="58441A30" w14:textId="77777777" w:rsidR="008F0B24" w:rsidRPr="0011449B" w:rsidRDefault="008F0B24" w:rsidP="000049FF">
            <w:pPr>
              <w:rPr>
                <w:rFonts w:ascii="Verdana" w:hAnsi="Verdana"/>
                <w:sz w:val="20"/>
              </w:rPr>
            </w:pPr>
            <w:r w:rsidRPr="0011449B">
              <w:rPr>
                <w:rFonts w:ascii="Verdana" w:hAnsi="Verdana"/>
                <w:sz w:val="20"/>
              </w:rPr>
              <w:t>2. Draft specification document</w:t>
            </w:r>
          </w:p>
          <w:p w14:paraId="47AD84FE" w14:textId="77777777" w:rsidR="008F0B24" w:rsidRPr="0011449B" w:rsidRDefault="008F0B24" w:rsidP="000049FF">
            <w:pPr>
              <w:rPr>
                <w:rFonts w:ascii="Verdana" w:hAnsi="Verdana"/>
                <w:sz w:val="20"/>
              </w:rPr>
            </w:pPr>
            <w:r w:rsidRPr="0011449B">
              <w:rPr>
                <w:rFonts w:ascii="Verdana" w:hAnsi="Verdana"/>
                <w:sz w:val="20"/>
              </w:rPr>
              <w:t>3. SDK code package with documentation and example code</w:t>
            </w:r>
          </w:p>
          <w:p w14:paraId="66D3F124" w14:textId="77777777" w:rsidR="008F0B24" w:rsidRPr="0011449B" w:rsidRDefault="008F0B24" w:rsidP="000049FF">
            <w:pPr>
              <w:rPr>
                <w:rFonts w:ascii="Verdana" w:hAnsi="Verdana"/>
                <w:sz w:val="20"/>
              </w:rPr>
            </w:pPr>
            <w:r w:rsidRPr="0011449B">
              <w:rPr>
                <w:rFonts w:ascii="Verdana" w:hAnsi="Verdana"/>
                <w:sz w:val="20"/>
              </w:rPr>
              <w:t>4. ATR that uses the data format</w:t>
            </w:r>
          </w:p>
          <w:p w14:paraId="6BD6EF5B" w14:textId="77777777" w:rsidR="008F0B24" w:rsidRPr="0011449B" w:rsidRDefault="008F0B24" w:rsidP="000049FF">
            <w:pPr>
              <w:rPr>
                <w:rFonts w:ascii="Verdana" w:hAnsi="Verdana"/>
                <w:sz w:val="20"/>
              </w:rPr>
            </w:pPr>
            <w:r w:rsidRPr="0011449B">
              <w:rPr>
                <w:rFonts w:ascii="Verdana" w:hAnsi="Verdana"/>
                <w:sz w:val="20"/>
              </w:rPr>
              <w:t>5. Demonstration of ATR on an AIT using the data format</w:t>
            </w:r>
          </w:p>
          <w:p w14:paraId="2FA96AE0" w14:textId="77777777" w:rsidR="008F0B24" w:rsidRPr="0011449B" w:rsidRDefault="008F0B24" w:rsidP="000049FF">
            <w:pPr>
              <w:rPr>
                <w:rFonts w:ascii="Verdana" w:hAnsi="Verdana"/>
                <w:sz w:val="20"/>
              </w:rPr>
            </w:pPr>
            <w:r w:rsidRPr="0011449B">
              <w:rPr>
                <w:rFonts w:ascii="Verdana" w:hAnsi="Verdana"/>
                <w:sz w:val="20"/>
              </w:rPr>
              <w:lastRenderedPageBreak/>
              <w:t>6. Code package with final SDK, documentation, user guide, and example code</w:t>
            </w:r>
          </w:p>
        </w:tc>
        <w:tc>
          <w:tcPr>
            <w:tcW w:w="2808" w:type="dxa"/>
            <w:shd w:val="clear" w:color="auto" w:fill="FFFFFF" w:themeFill="background1"/>
            <w:vAlign w:val="center"/>
          </w:tcPr>
          <w:p w14:paraId="1175CDBF" w14:textId="77777777" w:rsidR="008F0B24" w:rsidRPr="0011449B" w:rsidRDefault="008F0B24" w:rsidP="000049FF">
            <w:pPr>
              <w:rPr>
                <w:rFonts w:ascii="Verdana" w:hAnsi="Verdana"/>
                <w:sz w:val="20"/>
              </w:rPr>
            </w:pPr>
            <w:r w:rsidRPr="0011449B">
              <w:rPr>
                <w:rFonts w:ascii="Verdana" w:hAnsi="Verdana"/>
                <w:sz w:val="20"/>
              </w:rPr>
              <w:lastRenderedPageBreak/>
              <w:t>1. 3 months after award</w:t>
            </w:r>
          </w:p>
          <w:p w14:paraId="6F62DEF7" w14:textId="77777777" w:rsidR="008F0B24" w:rsidRPr="0011449B" w:rsidRDefault="008F0B24" w:rsidP="000049FF">
            <w:pPr>
              <w:rPr>
                <w:rFonts w:ascii="Verdana" w:hAnsi="Verdana"/>
                <w:sz w:val="20"/>
              </w:rPr>
            </w:pPr>
            <w:r w:rsidRPr="0011449B">
              <w:rPr>
                <w:rFonts w:ascii="Verdana" w:hAnsi="Verdana"/>
                <w:sz w:val="20"/>
              </w:rPr>
              <w:t>2. 6 months after award</w:t>
            </w:r>
          </w:p>
          <w:p w14:paraId="3F10ADFB" w14:textId="77777777" w:rsidR="008F0B24" w:rsidRPr="0011449B" w:rsidRDefault="008F0B24" w:rsidP="000049FF">
            <w:pPr>
              <w:rPr>
                <w:rFonts w:ascii="Verdana" w:hAnsi="Verdana"/>
                <w:sz w:val="20"/>
              </w:rPr>
            </w:pPr>
            <w:r w:rsidRPr="0011449B">
              <w:rPr>
                <w:rFonts w:ascii="Verdana" w:hAnsi="Verdana"/>
                <w:sz w:val="20"/>
              </w:rPr>
              <w:t>3. 8 months after award</w:t>
            </w:r>
          </w:p>
          <w:p w14:paraId="7DEF4095" w14:textId="77777777" w:rsidR="008F0B24" w:rsidRPr="0011449B" w:rsidRDefault="008F0B24" w:rsidP="000049FF">
            <w:pPr>
              <w:rPr>
                <w:rFonts w:ascii="Verdana" w:hAnsi="Verdana"/>
                <w:sz w:val="20"/>
              </w:rPr>
            </w:pPr>
            <w:r w:rsidRPr="0011449B">
              <w:rPr>
                <w:rFonts w:ascii="Verdana" w:hAnsi="Verdana"/>
                <w:sz w:val="20"/>
              </w:rPr>
              <w:t>4. 12 months after award</w:t>
            </w:r>
          </w:p>
          <w:p w14:paraId="5E8DA27E" w14:textId="77777777" w:rsidR="008F0B24" w:rsidRPr="0011449B" w:rsidRDefault="008F0B24" w:rsidP="000049FF">
            <w:pPr>
              <w:rPr>
                <w:rFonts w:ascii="Verdana" w:hAnsi="Verdana"/>
                <w:sz w:val="20"/>
              </w:rPr>
            </w:pPr>
            <w:r w:rsidRPr="0011449B">
              <w:rPr>
                <w:rFonts w:ascii="Verdana" w:hAnsi="Verdana"/>
                <w:sz w:val="20"/>
              </w:rPr>
              <w:t>5. 16 months after award</w:t>
            </w:r>
          </w:p>
          <w:p w14:paraId="7A9F9A1B" w14:textId="77777777" w:rsidR="008F0B24" w:rsidRPr="0011449B" w:rsidRDefault="008F0B24" w:rsidP="000049FF">
            <w:pPr>
              <w:rPr>
                <w:rFonts w:ascii="Verdana" w:hAnsi="Verdana"/>
                <w:sz w:val="20"/>
              </w:rPr>
            </w:pPr>
            <w:r w:rsidRPr="0011449B">
              <w:rPr>
                <w:rFonts w:ascii="Verdana" w:hAnsi="Verdana"/>
                <w:sz w:val="20"/>
              </w:rPr>
              <w:t>6. 18 months after award</w:t>
            </w:r>
          </w:p>
        </w:tc>
      </w:tr>
      <w:tr w:rsidR="008F0B24" w:rsidRPr="0011449B" w14:paraId="70645913" w14:textId="77777777" w:rsidTr="000049FF">
        <w:tc>
          <w:tcPr>
            <w:tcW w:w="3420" w:type="dxa"/>
          </w:tcPr>
          <w:p w14:paraId="7839BF94" w14:textId="77777777" w:rsidR="008F0B24" w:rsidRPr="0011449B" w:rsidRDefault="008F0B24" w:rsidP="000049FF">
            <w:pPr>
              <w:pStyle w:val="ListParagraph"/>
              <w:tabs>
                <w:tab w:val="left" w:pos="312"/>
              </w:tabs>
              <w:spacing w:after="200" w:line="276" w:lineRule="auto"/>
              <w:ind w:left="0"/>
              <w:rPr>
                <w:rFonts w:ascii="Verdana" w:hAnsi="Verdana"/>
                <w:b/>
                <w:bCs/>
              </w:rPr>
            </w:pPr>
            <w:r w:rsidRPr="0011449B">
              <w:rPr>
                <w:rFonts w:ascii="Verdana" w:hAnsi="Verdana"/>
                <w:bCs/>
              </w:rPr>
              <w:lastRenderedPageBreak/>
              <w:t xml:space="preserve">4.0 Support further development of the OTAP MRAD algorithm development environment </w:t>
            </w:r>
            <w:r w:rsidRPr="0011449B">
              <w:rPr>
                <w:rFonts w:ascii="Verdana" w:hAnsi="Verdana"/>
                <w:b/>
                <w:bCs/>
              </w:rPr>
              <w:t>(F)</w:t>
            </w:r>
          </w:p>
        </w:tc>
        <w:tc>
          <w:tcPr>
            <w:tcW w:w="3240" w:type="dxa"/>
            <w:shd w:val="clear" w:color="auto" w:fill="FFFFFF" w:themeFill="background1"/>
            <w:vAlign w:val="center"/>
          </w:tcPr>
          <w:p w14:paraId="39A21904" w14:textId="1F0F2FB1" w:rsidR="008F0B24" w:rsidRPr="0011449B" w:rsidRDefault="008F0B24" w:rsidP="000049FF">
            <w:pPr>
              <w:rPr>
                <w:rFonts w:ascii="Verdana" w:hAnsi="Verdana"/>
                <w:sz w:val="20"/>
              </w:rPr>
            </w:pPr>
            <w:r w:rsidRPr="0011449B">
              <w:rPr>
                <w:rFonts w:ascii="Verdana" w:hAnsi="Verdana"/>
                <w:sz w:val="20"/>
              </w:rPr>
              <w:t>1. MRAD demo that shows execution of ATR using scans provided by the scan DB</w:t>
            </w:r>
          </w:p>
          <w:p w14:paraId="1AA671BE" w14:textId="74AA5E06" w:rsidR="008F0B24" w:rsidRPr="0011449B" w:rsidRDefault="00735DF5" w:rsidP="000049FF">
            <w:pPr>
              <w:rPr>
                <w:rFonts w:ascii="Verdana" w:hAnsi="Verdana"/>
                <w:sz w:val="20"/>
              </w:rPr>
            </w:pPr>
            <w:r>
              <w:rPr>
                <w:rFonts w:ascii="Verdana" w:hAnsi="Verdana"/>
                <w:sz w:val="20"/>
              </w:rPr>
              <w:t>2</w:t>
            </w:r>
            <w:r w:rsidR="008F0B24" w:rsidRPr="0011449B">
              <w:rPr>
                <w:rFonts w:ascii="Verdana" w:hAnsi="Verdana"/>
                <w:sz w:val="20"/>
              </w:rPr>
              <w:t>. Final MRAD demonstration</w:t>
            </w:r>
          </w:p>
          <w:p w14:paraId="7E663DD7" w14:textId="7EE0E686" w:rsidR="008F0B24" w:rsidRPr="0011449B" w:rsidRDefault="00735DF5" w:rsidP="000049FF">
            <w:pPr>
              <w:rPr>
                <w:rFonts w:ascii="Verdana" w:hAnsi="Verdana"/>
                <w:sz w:val="20"/>
              </w:rPr>
            </w:pPr>
            <w:r>
              <w:rPr>
                <w:rFonts w:ascii="Verdana" w:hAnsi="Verdana"/>
                <w:sz w:val="20"/>
              </w:rPr>
              <w:t>3</w:t>
            </w:r>
            <w:r w:rsidR="008F0B24" w:rsidRPr="0011449B">
              <w:rPr>
                <w:rFonts w:ascii="Verdana" w:hAnsi="Verdana"/>
                <w:sz w:val="20"/>
              </w:rPr>
              <w:t>. Final MRAD source code</w:t>
            </w:r>
          </w:p>
        </w:tc>
        <w:tc>
          <w:tcPr>
            <w:tcW w:w="2808" w:type="dxa"/>
            <w:shd w:val="clear" w:color="auto" w:fill="FFFFFF" w:themeFill="background1"/>
            <w:vAlign w:val="center"/>
          </w:tcPr>
          <w:p w14:paraId="6EFF3008" w14:textId="230618D5" w:rsidR="008F0B24" w:rsidRPr="0011449B" w:rsidRDefault="00735DF5" w:rsidP="000049FF">
            <w:pPr>
              <w:rPr>
                <w:rFonts w:ascii="Verdana" w:hAnsi="Verdana"/>
                <w:sz w:val="20"/>
              </w:rPr>
            </w:pPr>
            <w:r>
              <w:rPr>
                <w:rFonts w:ascii="Verdana" w:hAnsi="Verdana"/>
                <w:sz w:val="20"/>
              </w:rPr>
              <w:t>1</w:t>
            </w:r>
            <w:r w:rsidR="008F0B24" w:rsidRPr="0011449B">
              <w:rPr>
                <w:rFonts w:ascii="Verdana" w:hAnsi="Verdana"/>
                <w:sz w:val="20"/>
              </w:rPr>
              <w:t>. 12 months after award</w:t>
            </w:r>
          </w:p>
          <w:p w14:paraId="4EE286DC" w14:textId="069C0495" w:rsidR="008F0B24" w:rsidRPr="0011449B" w:rsidRDefault="00735DF5" w:rsidP="000049FF">
            <w:pPr>
              <w:rPr>
                <w:rFonts w:ascii="Verdana" w:hAnsi="Verdana"/>
                <w:sz w:val="20"/>
              </w:rPr>
            </w:pPr>
            <w:r>
              <w:rPr>
                <w:rFonts w:ascii="Verdana" w:hAnsi="Verdana"/>
                <w:sz w:val="20"/>
              </w:rPr>
              <w:t>2</w:t>
            </w:r>
            <w:r w:rsidR="008F0B24" w:rsidRPr="0011449B">
              <w:rPr>
                <w:rFonts w:ascii="Verdana" w:hAnsi="Verdana"/>
                <w:sz w:val="20"/>
              </w:rPr>
              <w:t>. 16 months after award</w:t>
            </w:r>
          </w:p>
          <w:p w14:paraId="635C8B99" w14:textId="0318F4FB" w:rsidR="008F0B24" w:rsidRPr="0011449B" w:rsidRDefault="00735DF5" w:rsidP="000049FF">
            <w:pPr>
              <w:rPr>
                <w:rFonts w:ascii="Verdana" w:hAnsi="Verdana"/>
                <w:sz w:val="20"/>
              </w:rPr>
            </w:pPr>
            <w:r>
              <w:rPr>
                <w:rFonts w:ascii="Verdana" w:hAnsi="Verdana"/>
                <w:sz w:val="20"/>
              </w:rPr>
              <w:t>3</w:t>
            </w:r>
            <w:r w:rsidR="008F0B24" w:rsidRPr="0011449B">
              <w:rPr>
                <w:rFonts w:ascii="Verdana" w:hAnsi="Verdana"/>
                <w:sz w:val="20"/>
              </w:rPr>
              <w:t>. 18 months after award</w:t>
            </w:r>
          </w:p>
        </w:tc>
      </w:tr>
      <w:tr w:rsidR="008F0B24" w:rsidRPr="0011449B" w14:paraId="4613DAE5" w14:textId="77777777" w:rsidTr="000049FF">
        <w:tc>
          <w:tcPr>
            <w:tcW w:w="3420" w:type="dxa"/>
          </w:tcPr>
          <w:p w14:paraId="54BA2EB4" w14:textId="7BA96902" w:rsidR="008F0B24" w:rsidRPr="0011449B" w:rsidRDefault="008F0B24" w:rsidP="002263C9">
            <w:pPr>
              <w:pStyle w:val="ListParagraph"/>
              <w:tabs>
                <w:tab w:val="left" w:pos="312"/>
              </w:tabs>
              <w:spacing w:after="200" w:line="276" w:lineRule="auto"/>
              <w:ind w:left="0"/>
              <w:rPr>
                <w:rFonts w:ascii="Verdana" w:hAnsi="Verdana"/>
                <w:bCs/>
              </w:rPr>
            </w:pPr>
            <w:r w:rsidRPr="0011449B">
              <w:rPr>
                <w:rFonts w:ascii="Verdana" w:hAnsi="Verdana"/>
                <w:bCs/>
              </w:rPr>
              <w:t xml:space="preserve">4.1 Develop AIT Dataset </w:t>
            </w:r>
            <w:r w:rsidRPr="0011449B">
              <w:rPr>
                <w:rFonts w:ascii="Verdana" w:hAnsi="Verdana"/>
                <w:b/>
                <w:bCs/>
              </w:rPr>
              <w:t>(</w:t>
            </w:r>
            <w:r w:rsidR="002263C9">
              <w:rPr>
                <w:rFonts w:ascii="Verdana" w:hAnsi="Verdana"/>
                <w:b/>
                <w:bCs/>
              </w:rPr>
              <w:t>F</w:t>
            </w:r>
            <w:r w:rsidRPr="0011449B">
              <w:rPr>
                <w:rFonts w:ascii="Verdana" w:hAnsi="Verdana"/>
                <w:b/>
                <w:bCs/>
              </w:rPr>
              <w:t>)</w:t>
            </w:r>
          </w:p>
        </w:tc>
        <w:tc>
          <w:tcPr>
            <w:tcW w:w="3240" w:type="dxa"/>
            <w:shd w:val="clear" w:color="auto" w:fill="FFFFFF" w:themeFill="background1"/>
            <w:vAlign w:val="center"/>
          </w:tcPr>
          <w:p w14:paraId="059E9286" w14:textId="77777777" w:rsidR="008F0B24" w:rsidRPr="0011449B" w:rsidRDefault="008F0B24" w:rsidP="000049FF">
            <w:pPr>
              <w:rPr>
                <w:rFonts w:ascii="Verdana" w:hAnsi="Verdana"/>
                <w:sz w:val="20"/>
              </w:rPr>
            </w:pPr>
            <w:r w:rsidRPr="0011449B">
              <w:rPr>
                <w:rFonts w:ascii="Verdana" w:hAnsi="Verdana"/>
                <w:sz w:val="20"/>
              </w:rPr>
              <w:t xml:space="preserve">1. Training and testing dataset of ground-truth AIT scans </w:t>
            </w:r>
          </w:p>
          <w:p w14:paraId="2F67DE12" w14:textId="77777777" w:rsidR="008F0B24" w:rsidRPr="0011449B" w:rsidRDefault="008F0B24" w:rsidP="000049FF">
            <w:pPr>
              <w:rPr>
                <w:rFonts w:ascii="Verdana" w:hAnsi="Verdana"/>
                <w:sz w:val="20"/>
              </w:rPr>
            </w:pPr>
          </w:p>
        </w:tc>
        <w:tc>
          <w:tcPr>
            <w:tcW w:w="2808" w:type="dxa"/>
            <w:shd w:val="clear" w:color="auto" w:fill="FFFFFF" w:themeFill="background1"/>
            <w:vAlign w:val="center"/>
          </w:tcPr>
          <w:p w14:paraId="3EBF25A4" w14:textId="77777777" w:rsidR="008F0B24" w:rsidRPr="0011449B" w:rsidRDefault="008F0B24" w:rsidP="000049FF">
            <w:pPr>
              <w:pStyle w:val="Heading3"/>
              <w:ind w:left="222" w:hanging="222"/>
              <w:rPr>
                <w:rFonts w:ascii="Verdana" w:hAnsi="Verdana"/>
                <w:sz w:val="20"/>
              </w:rPr>
            </w:pPr>
            <w:r w:rsidRPr="0011449B">
              <w:rPr>
                <w:rFonts w:ascii="Verdana" w:hAnsi="Verdana"/>
                <w:sz w:val="20"/>
              </w:rPr>
              <w:t>6 months after funding</w:t>
            </w:r>
          </w:p>
        </w:tc>
      </w:tr>
      <w:tr w:rsidR="008F0B24" w:rsidRPr="0011449B" w14:paraId="1FB645BE" w14:textId="77777777" w:rsidTr="000049FF">
        <w:tc>
          <w:tcPr>
            <w:tcW w:w="3420" w:type="dxa"/>
          </w:tcPr>
          <w:p w14:paraId="02C166A0" w14:textId="77777777" w:rsidR="008F0B24" w:rsidRPr="0011449B" w:rsidRDefault="008F0B24" w:rsidP="000049FF">
            <w:pPr>
              <w:pStyle w:val="ListParagraph"/>
              <w:tabs>
                <w:tab w:val="left" w:pos="312"/>
              </w:tabs>
              <w:spacing w:after="200" w:line="276" w:lineRule="auto"/>
              <w:ind w:left="0"/>
              <w:rPr>
                <w:rFonts w:ascii="Verdana" w:hAnsi="Verdana"/>
                <w:b/>
                <w:bCs/>
              </w:rPr>
            </w:pPr>
            <w:r w:rsidRPr="0011449B">
              <w:rPr>
                <w:rFonts w:ascii="Verdana" w:hAnsi="Verdana"/>
                <w:bCs/>
              </w:rPr>
              <w:t xml:space="preserve">5.0 Accelerate the development of an “A’-A’” data format for CT machines </w:t>
            </w:r>
            <w:r w:rsidRPr="0011449B">
              <w:rPr>
                <w:rFonts w:ascii="Verdana" w:hAnsi="Verdana"/>
                <w:b/>
                <w:bCs/>
              </w:rPr>
              <w:t>(F)</w:t>
            </w:r>
          </w:p>
        </w:tc>
        <w:tc>
          <w:tcPr>
            <w:tcW w:w="3240" w:type="dxa"/>
            <w:shd w:val="clear" w:color="auto" w:fill="FFFFFF" w:themeFill="background1"/>
            <w:vAlign w:val="center"/>
          </w:tcPr>
          <w:p w14:paraId="508ABD06" w14:textId="77777777" w:rsidR="008F0B24" w:rsidRPr="0011449B" w:rsidRDefault="008F0B24" w:rsidP="000049FF">
            <w:pPr>
              <w:rPr>
                <w:rFonts w:ascii="Verdana" w:hAnsi="Verdana"/>
                <w:sz w:val="20"/>
              </w:rPr>
            </w:pPr>
            <w:r w:rsidRPr="0011449B">
              <w:rPr>
                <w:rFonts w:ascii="Verdana" w:hAnsi="Verdana"/>
                <w:sz w:val="20"/>
              </w:rPr>
              <w:t>1. Demonstration of a basic working ATR or reconstruction from A’-A’ data</w:t>
            </w:r>
          </w:p>
          <w:p w14:paraId="75827229" w14:textId="77777777" w:rsidR="008F0B24" w:rsidRPr="0011449B" w:rsidRDefault="008F0B24" w:rsidP="000049FF">
            <w:pPr>
              <w:rPr>
                <w:rFonts w:ascii="Verdana" w:hAnsi="Verdana"/>
                <w:sz w:val="20"/>
              </w:rPr>
            </w:pPr>
            <w:r w:rsidRPr="0011449B">
              <w:rPr>
                <w:rFonts w:ascii="Verdana" w:hAnsi="Verdana"/>
                <w:sz w:val="20"/>
              </w:rPr>
              <w:t>2. Lessons learned report</w:t>
            </w:r>
          </w:p>
        </w:tc>
        <w:tc>
          <w:tcPr>
            <w:tcW w:w="2808" w:type="dxa"/>
            <w:shd w:val="clear" w:color="auto" w:fill="FFFFFF" w:themeFill="background1"/>
            <w:vAlign w:val="center"/>
          </w:tcPr>
          <w:p w14:paraId="28627DB7" w14:textId="77777777" w:rsidR="008F0B24" w:rsidRPr="0011449B" w:rsidRDefault="008F0B24" w:rsidP="000049FF">
            <w:pPr>
              <w:rPr>
                <w:rFonts w:ascii="Verdana" w:hAnsi="Verdana"/>
                <w:sz w:val="20"/>
              </w:rPr>
            </w:pPr>
            <w:r w:rsidRPr="0011449B">
              <w:rPr>
                <w:rFonts w:ascii="Verdana" w:hAnsi="Verdana"/>
                <w:sz w:val="20"/>
              </w:rPr>
              <w:t>1. 6 months after award</w:t>
            </w:r>
          </w:p>
          <w:p w14:paraId="657DA1D5" w14:textId="77777777" w:rsidR="008F0B24" w:rsidRPr="0011449B" w:rsidRDefault="008F0B24" w:rsidP="000049FF">
            <w:pPr>
              <w:rPr>
                <w:rFonts w:ascii="Verdana" w:hAnsi="Verdana"/>
                <w:sz w:val="20"/>
              </w:rPr>
            </w:pPr>
            <w:r w:rsidRPr="0011449B">
              <w:rPr>
                <w:rFonts w:ascii="Verdana" w:hAnsi="Verdana"/>
                <w:sz w:val="20"/>
              </w:rPr>
              <w:t>2. 6 months after award</w:t>
            </w:r>
          </w:p>
        </w:tc>
      </w:tr>
      <w:tr w:rsidR="008F0B24" w:rsidRPr="0011449B" w14:paraId="7A5446F8" w14:textId="77777777" w:rsidTr="000049FF">
        <w:tc>
          <w:tcPr>
            <w:tcW w:w="3420" w:type="dxa"/>
          </w:tcPr>
          <w:p w14:paraId="2E9E49F0" w14:textId="77777777" w:rsidR="008F0B24" w:rsidRPr="0011449B" w:rsidRDefault="008F0B24" w:rsidP="000049FF">
            <w:pPr>
              <w:pStyle w:val="ListParagraph"/>
              <w:tabs>
                <w:tab w:val="left" w:pos="312"/>
              </w:tabs>
              <w:spacing w:after="200" w:line="276" w:lineRule="auto"/>
              <w:ind w:left="0"/>
              <w:rPr>
                <w:rFonts w:ascii="Verdana" w:hAnsi="Verdana"/>
                <w:b/>
                <w:bCs/>
              </w:rPr>
            </w:pPr>
            <w:r w:rsidRPr="0011449B">
              <w:rPr>
                <w:rFonts w:ascii="Verdana" w:hAnsi="Verdana"/>
                <w:bCs/>
              </w:rPr>
              <w:t>6.0 Accelerate the development of 3</w:t>
            </w:r>
            <w:r w:rsidRPr="0011449B">
              <w:rPr>
                <w:rFonts w:ascii="Verdana" w:hAnsi="Verdana"/>
                <w:bCs/>
                <w:vertAlign w:val="superscript"/>
              </w:rPr>
              <w:t xml:space="preserve">rd </w:t>
            </w:r>
            <w:r w:rsidRPr="0011449B">
              <w:rPr>
                <w:rFonts w:ascii="Verdana" w:hAnsi="Verdana"/>
                <w:bCs/>
              </w:rPr>
              <w:t xml:space="preserve">–party CT ATR and Reconstruction Algorithms </w:t>
            </w:r>
            <w:r w:rsidRPr="0011449B">
              <w:rPr>
                <w:rFonts w:ascii="Verdana" w:hAnsi="Verdana"/>
                <w:b/>
                <w:bCs/>
              </w:rPr>
              <w:t>(F)</w:t>
            </w:r>
          </w:p>
        </w:tc>
        <w:tc>
          <w:tcPr>
            <w:tcW w:w="3240" w:type="dxa"/>
            <w:shd w:val="clear" w:color="auto" w:fill="FFFFFF" w:themeFill="background1"/>
            <w:vAlign w:val="center"/>
          </w:tcPr>
          <w:p w14:paraId="098753B5" w14:textId="77777777" w:rsidR="008F0B24" w:rsidRPr="0011449B" w:rsidRDefault="008F0B24" w:rsidP="000049FF">
            <w:pPr>
              <w:rPr>
                <w:rFonts w:ascii="Verdana" w:hAnsi="Verdana"/>
                <w:sz w:val="20"/>
              </w:rPr>
            </w:pPr>
            <w:r w:rsidRPr="0011449B">
              <w:rPr>
                <w:rFonts w:ascii="Verdana" w:hAnsi="Verdana"/>
                <w:sz w:val="20"/>
              </w:rPr>
              <w:t>1. Demonstration of a basic working ATR or reconstruction dealing with either 1 explosive or 1 prohibited item</w:t>
            </w:r>
          </w:p>
          <w:p w14:paraId="27A3003A" w14:textId="77777777" w:rsidR="008F0B24" w:rsidRPr="0011449B" w:rsidRDefault="008F0B24" w:rsidP="000049FF">
            <w:pPr>
              <w:rPr>
                <w:rFonts w:ascii="Verdana" w:hAnsi="Verdana"/>
                <w:sz w:val="20"/>
              </w:rPr>
            </w:pPr>
            <w:r w:rsidRPr="0011449B">
              <w:rPr>
                <w:rFonts w:ascii="Verdana" w:hAnsi="Verdana"/>
                <w:sz w:val="20"/>
              </w:rPr>
              <w:t>2. Lessons learned report</w:t>
            </w:r>
          </w:p>
        </w:tc>
        <w:tc>
          <w:tcPr>
            <w:tcW w:w="2808" w:type="dxa"/>
            <w:shd w:val="clear" w:color="auto" w:fill="FFFFFF" w:themeFill="background1"/>
            <w:vAlign w:val="center"/>
          </w:tcPr>
          <w:p w14:paraId="334C70C3" w14:textId="77777777" w:rsidR="008F0B24" w:rsidRPr="0011449B" w:rsidRDefault="008F0B24" w:rsidP="000049FF">
            <w:pPr>
              <w:rPr>
                <w:rFonts w:ascii="Verdana" w:hAnsi="Verdana"/>
                <w:sz w:val="20"/>
              </w:rPr>
            </w:pPr>
            <w:r w:rsidRPr="0011449B">
              <w:rPr>
                <w:rFonts w:ascii="Verdana" w:hAnsi="Verdana"/>
                <w:sz w:val="20"/>
              </w:rPr>
              <w:t>1. 6 months after award</w:t>
            </w:r>
          </w:p>
          <w:p w14:paraId="168EAB74" w14:textId="77777777" w:rsidR="008F0B24" w:rsidRPr="0011449B" w:rsidRDefault="008F0B24" w:rsidP="000049FF">
            <w:pPr>
              <w:rPr>
                <w:rFonts w:ascii="Verdana" w:hAnsi="Verdana"/>
                <w:sz w:val="20"/>
              </w:rPr>
            </w:pPr>
            <w:r w:rsidRPr="0011449B">
              <w:rPr>
                <w:rFonts w:ascii="Verdana" w:hAnsi="Verdana"/>
                <w:sz w:val="20"/>
              </w:rPr>
              <w:t>2. 6 months after award</w:t>
            </w:r>
          </w:p>
        </w:tc>
      </w:tr>
      <w:tr w:rsidR="008F0B24" w:rsidRPr="0011449B" w14:paraId="59335CFC" w14:textId="77777777" w:rsidTr="000049FF">
        <w:tc>
          <w:tcPr>
            <w:tcW w:w="3420" w:type="dxa"/>
          </w:tcPr>
          <w:p w14:paraId="0E33A364" w14:textId="77777777" w:rsidR="008F0B24" w:rsidRPr="0011449B" w:rsidRDefault="008F0B24" w:rsidP="000049FF">
            <w:pPr>
              <w:tabs>
                <w:tab w:val="left" w:pos="312"/>
              </w:tabs>
              <w:spacing w:after="200" w:line="276" w:lineRule="auto"/>
              <w:rPr>
                <w:rFonts w:ascii="Verdana" w:hAnsi="Verdana"/>
                <w:b/>
                <w:bCs/>
                <w:sz w:val="20"/>
              </w:rPr>
            </w:pPr>
            <w:r w:rsidRPr="0011449B">
              <w:rPr>
                <w:rFonts w:ascii="Verdana" w:hAnsi="Verdana"/>
                <w:bCs/>
                <w:sz w:val="20"/>
              </w:rPr>
              <w:t xml:space="preserve">7.0 Systems Engineering Analysis </w:t>
            </w:r>
            <w:r w:rsidRPr="0011449B">
              <w:rPr>
                <w:rFonts w:ascii="Verdana" w:hAnsi="Verdana"/>
                <w:b/>
                <w:bCs/>
                <w:sz w:val="20"/>
              </w:rPr>
              <w:t>(F)</w:t>
            </w:r>
          </w:p>
        </w:tc>
        <w:tc>
          <w:tcPr>
            <w:tcW w:w="3240" w:type="dxa"/>
            <w:shd w:val="clear" w:color="auto" w:fill="FFFFFF" w:themeFill="background1"/>
            <w:vAlign w:val="center"/>
          </w:tcPr>
          <w:p w14:paraId="6E0FDA37" w14:textId="77777777" w:rsidR="008F0B24" w:rsidRPr="0011449B" w:rsidRDefault="008F0B24" w:rsidP="000049FF">
            <w:pPr>
              <w:rPr>
                <w:rFonts w:ascii="Verdana" w:hAnsi="Verdana"/>
                <w:sz w:val="20"/>
              </w:rPr>
            </w:pPr>
            <w:r w:rsidRPr="0011449B">
              <w:rPr>
                <w:rFonts w:ascii="Verdana" w:hAnsi="Verdana"/>
                <w:sz w:val="20"/>
              </w:rPr>
              <w:t>1. Final Report</w:t>
            </w:r>
          </w:p>
        </w:tc>
        <w:tc>
          <w:tcPr>
            <w:tcW w:w="2808" w:type="dxa"/>
            <w:shd w:val="clear" w:color="auto" w:fill="FFFFFF" w:themeFill="background1"/>
            <w:vAlign w:val="center"/>
          </w:tcPr>
          <w:p w14:paraId="7133543B" w14:textId="77777777" w:rsidR="008F0B24" w:rsidRPr="0011449B" w:rsidRDefault="008F0B24" w:rsidP="000049FF">
            <w:pPr>
              <w:rPr>
                <w:rFonts w:ascii="Verdana" w:hAnsi="Verdana"/>
                <w:sz w:val="20"/>
              </w:rPr>
            </w:pPr>
            <w:r w:rsidRPr="0011449B">
              <w:rPr>
                <w:rFonts w:ascii="Verdana" w:hAnsi="Verdana"/>
                <w:sz w:val="20"/>
              </w:rPr>
              <w:t>1. 17.5 months after award</w:t>
            </w:r>
          </w:p>
        </w:tc>
      </w:tr>
    </w:tbl>
    <w:p w14:paraId="08A49F1B" w14:textId="77777777" w:rsidR="00232673" w:rsidRPr="0011449B" w:rsidRDefault="00232673" w:rsidP="00C71240">
      <w:pPr>
        <w:rPr>
          <w:rFonts w:ascii="Verdana" w:hAnsi="Verdana"/>
          <w:b/>
          <w:i/>
          <w:color w:val="FF0000"/>
          <w:sz w:val="20"/>
        </w:rPr>
      </w:pPr>
    </w:p>
    <w:p w14:paraId="08A49F1E" w14:textId="77777777" w:rsidR="001B71A7" w:rsidRPr="0011449B" w:rsidRDefault="00865EB8" w:rsidP="00B026F5">
      <w:pPr>
        <w:pStyle w:val="StyleHeading1NotItalic"/>
        <w:numPr>
          <w:ilvl w:val="0"/>
          <w:numId w:val="0"/>
        </w:numPr>
        <w:tabs>
          <w:tab w:val="clear" w:pos="720"/>
          <w:tab w:val="left" w:pos="0"/>
        </w:tabs>
        <w:rPr>
          <w:rFonts w:ascii="Verdana" w:hAnsi="Verdana"/>
          <w:bCs w:val="0"/>
          <w:sz w:val="20"/>
        </w:rPr>
      </w:pPr>
      <w:r w:rsidRPr="0011449B">
        <w:rPr>
          <w:rFonts w:ascii="Verdana" w:hAnsi="Verdana"/>
          <w:bCs w:val="0"/>
          <w:sz w:val="20"/>
        </w:rPr>
        <w:t xml:space="preserve">V. </w:t>
      </w:r>
      <w:r w:rsidR="001B71A7" w:rsidRPr="0011449B">
        <w:rPr>
          <w:rFonts w:ascii="Verdana" w:hAnsi="Verdana"/>
          <w:bCs w:val="0"/>
          <w:sz w:val="20"/>
        </w:rPr>
        <w:t xml:space="preserve">      Project Timeline</w:t>
      </w:r>
    </w:p>
    <w:p w14:paraId="08A49F1F" w14:textId="77777777" w:rsidR="001B71A7" w:rsidRPr="0011449B" w:rsidRDefault="001B71A7" w:rsidP="00B026F5">
      <w:pPr>
        <w:pStyle w:val="StyleHeading1NotItalic"/>
        <w:numPr>
          <w:ilvl w:val="0"/>
          <w:numId w:val="0"/>
        </w:numPr>
        <w:tabs>
          <w:tab w:val="clear" w:pos="720"/>
          <w:tab w:val="left" w:pos="0"/>
        </w:tabs>
        <w:rPr>
          <w:rFonts w:ascii="Verdana" w:hAnsi="Verdana"/>
          <w:b w:val="0"/>
          <w:bCs w:val="0"/>
          <w:sz w:val="20"/>
        </w:rPr>
      </w:pPr>
    </w:p>
    <w:p w14:paraId="08A49F20" w14:textId="77777777" w:rsidR="00B026F5" w:rsidRPr="0011449B" w:rsidRDefault="009658C7" w:rsidP="00B026F5">
      <w:pPr>
        <w:pStyle w:val="StyleHeading1NotItalic"/>
        <w:numPr>
          <w:ilvl w:val="0"/>
          <w:numId w:val="0"/>
        </w:numPr>
        <w:tabs>
          <w:tab w:val="clear" w:pos="720"/>
          <w:tab w:val="left" w:pos="0"/>
        </w:tabs>
        <w:rPr>
          <w:rFonts w:ascii="Verdana" w:hAnsi="Verdana"/>
          <w:b w:val="0"/>
          <w:bCs w:val="0"/>
          <w:sz w:val="20"/>
        </w:rPr>
      </w:pPr>
      <w:r w:rsidRPr="0011449B">
        <w:rPr>
          <w:rFonts w:ascii="Verdana" w:hAnsi="Verdana"/>
          <w:b w:val="0"/>
          <w:bCs w:val="0"/>
          <w:sz w:val="20"/>
        </w:rPr>
        <w:t>Below is a summary of the tas</w:t>
      </w:r>
      <w:r w:rsidR="001911E5" w:rsidRPr="0011449B">
        <w:rPr>
          <w:rFonts w:ascii="Verdana" w:hAnsi="Verdana"/>
          <w:b w:val="0"/>
          <w:bCs w:val="0"/>
          <w:sz w:val="20"/>
        </w:rPr>
        <w:t xml:space="preserve">king timeline </w:t>
      </w:r>
      <w:r w:rsidRPr="0011449B">
        <w:rPr>
          <w:rFonts w:ascii="Verdana" w:hAnsi="Verdana"/>
          <w:b w:val="0"/>
          <w:bCs w:val="0"/>
          <w:sz w:val="20"/>
        </w:rPr>
        <w:t xml:space="preserve">for this effort: </w:t>
      </w:r>
      <w:r w:rsidR="00B026F5" w:rsidRPr="0011449B">
        <w:rPr>
          <w:rFonts w:ascii="Verdana" w:hAnsi="Verdana"/>
          <w:b w:val="0"/>
          <w:bCs w:val="0"/>
          <w:sz w:val="20"/>
        </w:rPr>
        <w:tab/>
      </w:r>
    </w:p>
    <w:p w14:paraId="08A49F21" w14:textId="77777777" w:rsidR="001B71A7" w:rsidRPr="0011449B" w:rsidRDefault="001B71A7" w:rsidP="00B026F5">
      <w:pPr>
        <w:pStyle w:val="StyleHeading1NotItalic"/>
        <w:numPr>
          <w:ilvl w:val="0"/>
          <w:numId w:val="0"/>
        </w:numPr>
        <w:tabs>
          <w:tab w:val="clear" w:pos="720"/>
          <w:tab w:val="left" w:pos="0"/>
        </w:tabs>
        <w:rPr>
          <w:rFonts w:ascii="Verdana" w:hAnsi="Verdana"/>
          <w:b w:val="0"/>
          <w:bCs w:val="0"/>
          <w:sz w:val="20"/>
        </w:rPr>
      </w:pPr>
    </w:p>
    <w:p w14:paraId="08A49F22" w14:textId="77777777" w:rsidR="001B71A7" w:rsidRPr="0011449B" w:rsidRDefault="001B71A7" w:rsidP="00B026F5">
      <w:pPr>
        <w:pStyle w:val="StyleHeading1NotItalic"/>
        <w:numPr>
          <w:ilvl w:val="0"/>
          <w:numId w:val="0"/>
        </w:numPr>
        <w:tabs>
          <w:tab w:val="clear" w:pos="720"/>
          <w:tab w:val="left" w:pos="0"/>
        </w:tabs>
        <w:rPr>
          <w:rFonts w:ascii="Verdana" w:hAnsi="Verdana"/>
          <w:b w:val="0"/>
          <w:bCs w:val="0"/>
          <w:i/>
          <w:sz w:val="20"/>
        </w:rPr>
      </w:pPr>
      <w:r w:rsidRPr="0011449B">
        <w:rPr>
          <w:rFonts w:ascii="Verdana" w:hAnsi="Verdana"/>
          <w:b w:val="0"/>
          <w:bCs w:val="0"/>
          <w:i/>
          <w:sz w:val="20"/>
        </w:rPr>
        <w:t>Table 2</w:t>
      </w:r>
    </w:p>
    <w:p w14:paraId="08A49F23" w14:textId="77777777" w:rsidR="001B71A7" w:rsidRPr="0011449B" w:rsidRDefault="001B71A7" w:rsidP="00B026F5">
      <w:pPr>
        <w:pStyle w:val="StyleHeading1NotItalic"/>
        <w:numPr>
          <w:ilvl w:val="0"/>
          <w:numId w:val="0"/>
        </w:numPr>
        <w:tabs>
          <w:tab w:val="clear" w:pos="720"/>
          <w:tab w:val="left" w:pos="0"/>
        </w:tabs>
        <w:rPr>
          <w:rFonts w:ascii="Verdana" w:hAnsi="Verdana"/>
          <w:b w:val="0"/>
          <w:bCs w:val="0"/>
          <w:i/>
          <w:sz w:val="20"/>
        </w:rPr>
      </w:pPr>
    </w:p>
    <w:tbl>
      <w:tblPr>
        <w:tblW w:w="10517" w:type="dxa"/>
        <w:tblInd w:w="93" w:type="dxa"/>
        <w:tblLayout w:type="fixed"/>
        <w:tblLook w:val="0000" w:firstRow="0" w:lastRow="0" w:firstColumn="0" w:lastColumn="0" w:noHBand="0" w:noVBand="0"/>
      </w:tblPr>
      <w:tblGrid>
        <w:gridCol w:w="3137"/>
        <w:gridCol w:w="403"/>
        <w:gridCol w:w="403"/>
        <w:gridCol w:w="403"/>
        <w:gridCol w:w="403"/>
        <w:gridCol w:w="403"/>
        <w:gridCol w:w="403"/>
        <w:gridCol w:w="403"/>
        <w:gridCol w:w="403"/>
        <w:gridCol w:w="403"/>
        <w:gridCol w:w="403"/>
        <w:gridCol w:w="403"/>
        <w:gridCol w:w="403"/>
        <w:gridCol w:w="403"/>
        <w:gridCol w:w="403"/>
        <w:gridCol w:w="403"/>
        <w:gridCol w:w="403"/>
        <w:gridCol w:w="462"/>
        <w:gridCol w:w="462"/>
        <w:gridCol w:w="8"/>
      </w:tblGrid>
      <w:tr w:rsidR="008F0B24" w:rsidRPr="0011449B" w14:paraId="75414809" w14:textId="77777777" w:rsidTr="000049FF">
        <w:trPr>
          <w:trHeight w:val="270"/>
          <w:tblHeader/>
        </w:trPr>
        <w:tc>
          <w:tcPr>
            <w:tcW w:w="3137"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A4C242" w14:textId="77777777" w:rsidR="008F0B24" w:rsidRPr="0011449B" w:rsidRDefault="008F0B24" w:rsidP="000049FF">
            <w:pPr>
              <w:rPr>
                <w:rFonts w:ascii="Verdana" w:hAnsi="Verdana"/>
                <w:i/>
                <w:iCs/>
                <w:color w:val="000000"/>
                <w:sz w:val="20"/>
              </w:rPr>
            </w:pPr>
            <w:r w:rsidRPr="0011449B">
              <w:rPr>
                <w:rFonts w:ascii="Verdana" w:hAnsi="Verdana"/>
                <w:i/>
                <w:iCs/>
                <w:color w:val="000000"/>
                <w:sz w:val="20"/>
              </w:rPr>
              <w:t> </w:t>
            </w:r>
          </w:p>
        </w:tc>
        <w:tc>
          <w:tcPr>
            <w:tcW w:w="7380" w:type="dxa"/>
            <w:gridSpan w:val="19"/>
            <w:tcBorders>
              <w:top w:val="single" w:sz="8" w:space="0" w:color="auto"/>
              <w:left w:val="nil"/>
              <w:bottom w:val="single" w:sz="8" w:space="0" w:color="auto"/>
              <w:right w:val="single" w:sz="4" w:space="0" w:color="000000"/>
            </w:tcBorders>
            <w:shd w:val="clear" w:color="auto" w:fill="FFFF99"/>
          </w:tcPr>
          <w:p w14:paraId="00BD325A" w14:textId="77777777" w:rsidR="008F0B24" w:rsidRPr="0011449B" w:rsidRDefault="008F0B24" w:rsidP="000049FF">
            <w:pPr>
              <w:jc w:val="center"/>
              <w:rPr>
                <w:rFonts w:ascii="Verdana" w:hAnsi="Verdana"/>
                <w:b/>
                <w:bCs/>
                <w:color w:val="000000"/>
                <w:sz w:val="20"/>
              </w:rPr>
            </w:pPr>
            <w:r w:rsidRPr="0011449B">
              <w:rPr>
                <w:rFonts w:ascii="Verdana" w:hAnsi="Verdana"/>
                <w:b/>
                <w:bCs/>
                <w:sz w:val="20"/>
              </w:rPr>
              <w:t>Month Deliverable is due after Award or Services are to be completed</w:t>
            </w:r>
            <w:r w:rsidRPr="0011449B">
              <w:rPr>
                <w:rFonts w:ascii="Verdana" w:hAnsi="Verdana"/>
                <w:b/>
                <w:bCs/>
                <w:color w:val="000000"/>
                <w:sz w:val="20"/>
              </w:rPr>
              <w:t xml:space="preserve"> </w:t>
            </w:r>
          </w:p>
        </w:tc>
      </w:tr>
      <w:tr w:rsidR="008F0B24" w:rsidRPr="0011449B" w14:paraId="36260F9A" w14:textId="77777777" w:rsidTr="0011449B">
        <w:trPr>
          <w:gridAfter w:val="1"/>
          <w:wAfter w:w="8" w:type="dxa"/>
          <w:trHeight w:val="430"/>
        </w:trPr>
        <w:tc>
          <w:tcPr>
            <w:tcW w:w="3137" w:type="dxa"/>
            <w:tcBorders>
              <w:top w:val="nil"/>
              <w:left w:val="single" w:sz="8" w:space="0" w:color="auto"/>
              <w:bottom w:val="single" w:sz="8" w:space="0" w:color="auto"/>
              <w:right w:val="single" w:sz="8" w:space="0" w:color="auto"/>
            </w:tcBorders>
            <w:shd w:val="clear" w:color="auto" w:fill="auto"/>
            <w:noWrap/>
            <w:vAlign w:val="bottom"/>
          </w:tcPr>
          <w:p w14:paraId="64757AF4" w14:textId="77777777" w:rsidR="008F0B24" w:rsidRPr="0011449B" w:rsidRDefault="008F0B24" w:rsidP="000049FF">
            <w:pPr>
              <w:rPr>
                <w:rFonts w:ascii="Verdana" w:hAnsi="Verdana"/>
                <w:b/>
                <w:bCs/>
                <w:color w:val="000000"/>
                <w:sz w:val="20"/>
              </w:rPr>
            </w:pPr>
          </w:p>
        </w:tc>
        <w:tc>
          <w:tcPr>
            <w:tcW w:w="403" w:type="dxa"/>
            <w:tcBorders>
              <w:top w:val="nil"/>
              <w:left w:val="nil"/>
              <w:bottom w:val="single" w:sz="8" w:space="0" w:color="auto"/>
              <w:right w:val="single" w:sz="8" w:space="0" w:color="auto"/>
            </w:tcBorders>
            <w:shd w:val="clear" w:color="auto" w:fill="auto"/>
            <w:noWrap/>
            <w:vAlign w:val="center"/>
          </w:tcPr>
          <w:p w14:paraId="09FAC76C"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1</w:t>
            </w:r>
          </w:p>
        </w:tc>
        <w:tc>
          <w:tcPr>
            <w:tcW w:w="403" w:type="dxa"/>
            <w:tcBorders>
              <w:top w:val="nil"/>
              <w:left w:val="nil"/>
              <w:bottom w:val="single" w:sz="8" w:space="0" w:color="auto"/>
              <w:right w:val="single" w:sz="8" w:space="0" w:color="auto"/>
            </w:tcBorders>
            <w:shd w:val="clear" w:color="auto" w:fill="auto"/>
            <w:noWrap/>
            <w:vAlign w:val="center"/>
          </w:tcPr>
          <w:p w14:paraId="74C13979"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2</w:t>
            </w:r>
          </w:p>
        </w:tc>
        <w:tc>
          <w:tcPr>
            <w:tcW w:w="403" w:type="dxa"/>
            <w:tcBorders>
              <w:top w:val="nil"/>
              <w:left w:val="nil"/>
              <w:bottom w:val="single" w:sz="8" w:space="0" w:color="auto"/>
              <w:right w:val="single" w:sz="8" w:space="0" w:color="auto"/>
            </w:tcBorders>
            <w:shd w:val="clear" w:color="auto" w:fill="auto"/>
            <w:noWrap/>
            <w:vAlign w:val="center"/>
          </w:tcPr>
          <w:p w14:paraId="33C6BC7C"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3</w:t>
            </w:r>
          </w:p>
        </w:tc>
        <w:tc>
          <w:tcPr>
            <w:tcW w:w="403" w:type="dxa"/>
            <w:tcBorders>
              <w:top w:val="nil"/>
              <w:left w:val="nil"/>
              <w:bottom w:val="single" w:sz="8" w:space="0" w:color="auto"/>
              <w:right w:val="single" w:sz="8" w:space="0" w:color="auto"/>
            </w:tcBorders>
            <w:shd w:val="clear" w:color="auto" w:fill="auto"/>
            <w:noWrap/>
            <w:vAlign w:val="center"/>
          </w:tcPr>
          <w:p w14:paraId="6A39BFAE"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4</w:t>
            </w:r>
          </w:p>
        </w:tc>
        <w:tc>
          <w:tcPr>
            <w:tcW w:w="403" w:type="dxa"/>
            <w:tcBorders>
              <w:top w:val="nil"/>
              <w:left w:val="nil"/>
              <w:bottom w:val="single" w:sz="8" w:space="0" w:color="auto"/>
              <w:right w:val="single" w:sz="8" w:space="0" w:color="auto"/>
            </w:tcBorders>
            <w:shd w:val="clear" w:color="auto" w:fill="auto"/>
            <w:noWrap/>
            <w:vAlign w:val="center"/>
          </w:tcPr>
          <w:p w14:paraId="037C4704"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5</w:t>
            </w:r>
          </w:p>
        </w:tc>
        <w:tc>
          <w:tcPr>
            <w:tcW w:w="403" w:type="dxa"/>
            <w:tcBorders>
              <w:top w:val="nil"/>
              <w:left w:val="nil"/>
              <w:bottom w:val="single" w:sz="8" w:space="0" w:color="auto"/>
              <w:right w:val="single" w:sz="8" w:space="0" w:color="auto"/>
            </w:tcBorders>
            <w:shd w:val="clear" w:color="auto" w:fill="auto"/>
            <w:noWrap/>
            <w:vAlign w:val="center"/>
          </w:tcPr>
          <w:p w14:paraId="346DC24D" w14:textId="10E13744" w:rsidR="008F0B24" w:rsidRPr="0011449B" w:rsidRDefault="0011449B" w:rsidP="0011449B">
            <w:pPr>
              <w:rPr>
                <w:rFonts w:ascii="Verdana" w:hAnsi="Verdana"/>
                <w:color w:val="000000"/>
                <w:sz w:val="16"/>
              </w:rPr>
            </w:pPr>
            <w:r>
              <w:rPr>
                <w:rFonts w:ascii="Verdana" w:hAnsi="Verdana"/>
                <w:color w:val="000000"/>
                <w:sz w:val="16"/>
              </w:rPr>
              <w:t>6</w:t>
            </w:r>
          </w:p>
        </w:tc>
        <w:tc>
          <w:tcPr>
            <w:tcW w:w="403" w:type="dxa"/>
            <w:tcBorders>
              <w:top w:val="nil"/>
              <w:left w:val="nil"/>
              <w:bottom w:val="single" w:sz="8" w:space="0" w:color="auto"/>
              <w:right w:val="single" w:sz="8" w:space="0" w:color="auto"/>
            </w:tcBorders>
            <w:shd w:val="clear" w:color="auto" w:fill="auto"/>
            <w:noWrap/>
            <w:vAlign w:val="center"/>
          </w:tcPr>
          <w:p w14:paraId="07397C05" w14:textId="200E1E91" w:rsidR="008F0B24" w:rsidRPr="0011449B" w:rsidRDefault="008F0B24" w:rsidP="0011449B">
            <w:pPr>
              <w:rPr>
                <w:rFonts w:ascii="Verdana" w:hAnsi="Verdana"/>
                <w:color w:val="000000"/>
                <w:sz w:val="16"/>
              </w:rPr>
            </w:pPr>
            <w:r w:rsidRPr="0011449B">
              <w:rPr>
                <w:rFonts w:ascii="Verdana" w:hAnsi="Verdana"/>
                <w:color w:val="000000"/>
                <w:sz w:val="16"/>
              </w:rPr>
              <w:t>7</w:t>
            </w:r>
          </w:p>
        </w:tc>
        <w:tc>
          <w:tcPr>
            <w:tcW w:w="403" w:type="dxa"/>
            <w:tcBorders>
              <w:top w:val="nil"/>
              <w:left w:val="nil"/>
              <w:bottom w:val="single" w:sz="8" w:space="0" w:color="auto"/>
              <w:right w:val="single" w:sz="8" w:space="0" w:color="auto"/>
            </w:tcBorders>
            <w:shd w:val="clear" w:color="auto" w:fill="auto"/>
            <w:noWrap/>
            <w:vAlign w:val="center"/>
          </w:tcPr>
          <w:p w14:paraId="10871D3B" w14:textId="7A94912D" w:rsidR="008F0B24" w:rsidRPr="0011449B" w:rsidRDefault="008F0B24" w:rsidP="0011449B">
            <w:pPr>
              <w:rPr>
                <w:rFonts w:ascii="Verdana" w:hAnsi="Verdana"/>
                <w:color w:val="000000"/>
                <w:sz w:val="16"/>
              </w:rPr>
            </w:pPr>
            <w:r w:rsidRPr="0011449B">
              <w:rPr>
                <w:rFonts w:ascii="Verdana" w:hAnsi="Verdana"/>
                <w:color w:val="000000"/>
                <w:sz w:val="16"/>
              </w:rPr>
              <w:t>8</w:t>
            </w:r>
          </w:p>
        </w:tc>
        <w:tc>
          <w:tcPr>
            <w:tcW w:w="403" w:type="dxa"/>
            <w:tcBorders>
              <w:top w:val="nil"/>
              <w:left w:val="nil"/>
              <w:bottom w:val="single" w:sz="8" w:space="0" w:color="auto"/>
              <w:right w:val="single" w:sz="8" w:space="0" w:color="auto"/>
            </w:tcBorders>
            <w:shd w:val="clear" w:color="auto" w:fill="auto"/>
            <w:noWrap/>
            <w:vAlign w:val="center"/>
          </w:tcPr>
          <w:p w14:paraId="0A6102F9" w14:textId="77777777" w:rsidR="008F0B24" w:rsidRPr="0011449B" w:rsidRDefault="008F0B24" w:rsidP="0011449B">
            <w:pPr>
              <w:rPr>
                <w:rFonts w:ascii="Verdana" w:hAnsi="Verdana"/>
                <w:color w:val="000000"/>
                <w:sz w:val="16"/>
              </w:rPr>
            </w:pPr>
            <w:r w:rsidRPr="0011449B">
              <w:rPr>
                <w:rFonts w:ascii="Verdana" w:hAnsi="Verdana"/>
                <w:color w:val="000000"/>
                <w:sz w:val="16"/>
              </w:rPr>
              <w:t>9</w:t>
            </w:r>
          </w:p>
        </w:tc>
        <w:tc>
          <w:tcPr>
            <w:tcW w:w="403" w:type="dxa"/>
            <w:tcBorders>
              <w:top w:val="nil"/>
              <w:left w:val="nil"/>
              <w:bottom w:val="single" w:sz="8" w:space="0" w:color="auto"/>
              <w:right w:val="single" w:sz="8" w:space="0" w:color="auto"/>
            </w:tcBorders>
            <w:shd w:val="clear" w:color="auto" w:fill="auto"/>
            <w:noWrap/>
            <w:vAlign w:val="center"/>
          </w:tcPr>
          <w:p w14:paraId="29BA8AC9" w14:textId="77777777" w:rsidR="008F0B24" w:rsidRPr="0011449B" w:rsidRDefault="008F0B24" w:rsidP="0011449B">
            <w:pPr>
              <w:rPr>
                <w:rFonts w:ascii="Verdana" w:hAnsi="Verdana"/>
                <w:color w:val="000000"/>
                <w:sz w:val="16"/>
              </w:rPr>
            </w:pPr>
          </w:p>
          <w:p w14:paraId="746B1370"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10</w:t>
            </w:r>
          </w:p>
        </w:tc>
        <w:tc>
          <w:tcPr>
            <w:tcW w:w="403" w:type="dxa"/>
            <w:tcBorders>
              <w:top w:val="nil"/>
              <w:left w:val="nil"/>
              <w:bottom w:val="single" w:sz="8" w:space="0" w:color="auto"/>
              <w:right w:val="single" w:sz="4" w:space="0" w:color="auto"/>
            </w:tcBorders>
            <w:shd w:val="clear" w:color="auto" w:fill="auto"/>
            <w:noWrap/>
            <w:vAlign w:val="center"/>
          </w:tcPr>
          <w:p w14:paraId="01AA1C83" w14:textId="77777777" w:rsidR="008F0B24" w:rsidRPr="0011449B" w:rsidRDefault="008F0B24" w:rsidP="0011449B">
            <w:pPr>
              <w:rPr>
                <w:rFonts w:ascii="Verdana" w:hAnsi="Verdana"/>
                <w:color w:val="000000"/>
                <w:sz w:val="16"/>
              </w:rPr>
            </w:pPr>
          </w:p>
          <w:p w14:paraId="76147DB1"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11</w:t>
            </w:r>
          </w:p>
        </w:tc>
        <w:tc>
          <w:tcPr>
            <w:tcW w:w="403" w:type="dxa"/>
            <w:tcBorders>
              <w:top w:val="nil"/>
              <w:left w:val="nil"/>
              <w:bottom w:val="single" w:sz="8" w:space="0" w:color="auto"/>
              <w:right w:val="single" w:sz="4" w:space="0" w:color="auto"/>
            </w:tcBorders>
            <w:vAlign w:val="center"/>
          </w:tcPr>
          <w:p w14:paraId="6D85DE9A" w14:textId="77777777" w:rsidR="008F0B24" w:rsidRPr="0011449B" w:rsidRDefault="008F0B24" w:rsidP="0011449B">
            <w:pPr>
              <w:rPr>
                <w:rFonts w:ascii="Verdana" w:hAnsi="Verdana"/>
                <w:color w:val="000000"/>
                <w:sz w:val="16"/>
              </w:rPr>
            </w:pPr>
          </w:p>
          <w:p w14:paraId="43B9BC05"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12</w:t>
            </w:r>
          </w:p>
        </w:tc>
        <w:tc>
          <w:tcPr>
            <w:tcW w:w="403" w:type="dxa"/>
            <w:tcBorders>
              <w:top w:val="nil"/>
              <w:left w:val="nil"/>
              <w:bottom w:val="single" w:sz="8" w:space="0" w:color="auto"/>
              <w:right w:val="single" w:sz="4" w:space="0" w:color="auto"/>
            </w:tcBorders>
            <w:vAlign w:val="center"/>
          </w:tcPr>
          <w:p w14:paraId="309274EB" w14:textId="77777777" w:rsidR="0011449B" w:rsidRDefault="0011449B" w:rsidP="0011449B">
            <w:pPr>
              <w:rPr>
                <w:rFonts w:ascii="Verdana" w:hAnsi="Verdana"/>
                <w:color w:val="000000"/>
                <w:sz w:val="16"/>
              </w:rPr>
            </w:pPr>
          </w:p>
          <w:p w14:paraId="476EF23E" w14:textId="77777777" w:rsidR="008F0B24" w:rsidRPr="0011449B" w:rsidRDefault="008F0B24" w:rsidP="0011449B">
            <w:pPr>
              <w:rPr>
                <w:rFonts w:ascii="Verdana" w:hAnsi="Verdana"/>
                <w:color w:val="000000"/>
                <w:sz w:val="16"/>
              </w:rPr>
            </w:pPr>
            <w:r w:rsidRPr="0011449B">
              <w:rPr>
                <w:rFonts w:ascii="Verdana" w:hAnsi="Verdana"/>
                <w:color w:val="000000"/>
                <w:sz w:val="16"/>
              </w:rPr>
              <w:t>13</w:t>
            </w:r>
          </w:p>
        </w:tc>
        <w:tc>
          <w:tcPr>
            <w:tcW w:w="403" w:type="dxa"/>
            <w:tcBorders>
              <w:top w:val="nil"/>
              <w:left w:val="nil"/>
              <w:bottom w:val="single" w:sz="8" w:space="0" w:color="auto"/>
              <w:right w:val="single" w:sz="4" w:space="0" w:color="auto"/>
            </w:tcBorders>
            <w:vAlign w:val="center"/>
          </w:tcPr>
          <w:p w14:paraId="7D9C21BA" w14:textId="77777777" w:rsidR="0011449B" w:rsidRDefault="0011449B" w:rsidP="0011449B">
            <w:pPr>
              <w:jc w:val="center"/>
              <w:rPr>
                <w:rFonts w:ascii="Verdana" w:hAnsi="Verdana"/>
                <w:color w:val="000000"/>
                <w:sz w:val="16"/>
              </w:rPr>
            </w:pPr>
          </w:p>
          <w:p w14:paraId="065019FB"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14</w:t>
            </w:r>
          </w:p>
        </w:tc>
        <w:tc>
          <w:tcPr>
            <w:tcW w:w="403" w:type="dxa"/>
            <w:tcBorders>
              <w:top w:val="nil"/>
              <w:left w:val="nil"/>
              <w:bottom w:val="single" w:sz="8" w:space="0" w:color="auto"/>
              <w:right w:val="single" w:sz="4" w:space="0" w:color="auto"/>
            </w:tcBorders>
            <w:vAlign w:val="center"/>
          </w:tcPr>
          <w:p w14:paraId="4A016369" w14:textId="0A89A6B4" w:rsidR="008F0B24" w:rsidRPr="0011449B" w:rsidRDefault="0011449B" w:rsidP="0011449B">
            <w:pPr>
              <w:jc w:val="center"/>
              <w:rPr>
                <w:rFonts w:ascii="Verdana" w:hAnsi="Verdana"/>
                <w:color w:val="000000"/>
                <w:sz w:val="16"/>
              </w:rPr>
            </w:pPr>
            <w:r>
              <w:rPr>
                <w:rFonts w:ascii="Verdana" w:hAnsi="Verdana"/>
                <w:color w:val="000000"/>
                <w:sz w:val="16"/>
              </w:rPr>
              <w:br/>
            </w:r>
            <w:r w:rsidR="008F0B24" w:rsidRPr="0011449B">
              <w:rPr>
                <w:rFonts w:ascii="Verdana" w:hAnsi="Verdana"/>
                <w:color w:val="000000"/>
                <w:sz w:val="16"/>
              </w:rPr>
              <w:t>15</w:t>
            </w:r>
          </w:p>
        </w:tc>
        <w:tc>
          <w:tcPr>
            <w:tcW w:w="403" w:type="dxa"/>
            <w:tcBorders>
              <w:top w:val="nil"/>
              <w:left w:val="nil"/>
              <w:bottom w:val="single" w:sz="8" w:space="0" w:color="auto"/>
              <w:right w:val="single" w:sz="4" w:space="0" w:color="auto"/>
            </w:tcBorders>
            <w:vAlign w:val="center"/>
          </w:tcPr>
          <w:p w14:paraId="36E4EC53" w14:textId="77777777" w:rsidR="0011449B" w:rsidRDefault="0011449B" w:rsidP="0011449B">
            <w:pPr>
              <w:rPr>
                <w:rFonts w:ascii="Verdana" w:hAnsi="Verdana"/>
                <w:color w:val="000000"/>
                <w:sz w:val="16"/>
              </w:rPr>
            </w:pPr>
          </w:p>
          <w:p w14:paraId="324F99F3" w14:textId="1CA9BDD9" w:rsidR="008F0B24" w:rsidRPr="0011449B" w:rsidRDefault="0011449B" w:rsidP="0011449B">
            <w:pPr>
              <w:rPr>
                <w:rFonts w:ascii="Verdana" w:hAnsi="Verdana"/>
                <w:color w:val="000000"/>
                <w:sz w:val="16"/>
              </w:rPr>
            </w:pPr>
            <w:r>
              <w:rPr>
                <w:rFonts w:ascii="Verdana" w:hAnsi="Verdana"/>
                <w:color w:val="000000"/>
                <w:sz w:val="16"/>
              </w:rPr>
              <w:t>1</w:t>
            </w:r>
            <w:r w:rsidR="008F0B24" w:rsidRPr="0011449B">
              <w:rPr>
                <w:rFonts w:ascii="Verdana" w:hAnsi="Verdana"/>
                <w:color w:val="000000"/>
                <w:sz w:val="16"/>
              </w:rPr>
              <w:t>6</w:t>
            </w:r>
          </w:p>
        </w:tc>
        <w:tc>
          <w:tcPr>
            <w:tcW w:w="462" w:type="dxa"/>
            <w:tcBorders>
              <w:top w:val="nil"/>
              <w:left w:val="nil"/>
              <w:bottom w:val="single" w:sz="8" w:space="0" w:color="auto"/>
              <w:right w:val="single" w:sz="4" w:space="0" w:color="auto"/>
            </w:tcBorders>
            <w:vAlign w:val="center"/>
          </w:tcPr>
          <w:p w14:paraId="32D1BAD9"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17</w:t>
            </w:r>
          </w:p>
        </w:tc>
        <w:tc>
          <w:tcPr>
            <w:tcW w:w="462" w:type="dxa"/>
            <w:tcBorders>
              <w:top w:val="nil"/>
              <w:left w:val="nil"/>
              <w:bottom w:val="single" w:sz="8" w:space="0" w:color="auto"/>
              <w:right w:val="single" w:sz="4" w:space="0" w:color="auto"/>
            </w:tcBorders>
            <w:vAlign w:val="center"/>
          </w:tcPr>
          <w:p w14:paraId="32F9D9D2"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18</w:t>
            </w:r>
          </w:p>
        </w:tc>
      </w:tr>
      <w:tr w:rsidR="008F0B24" w:rsidRPr="0011449B" w14:paraId="4BDAE550" w14:textId="77777777" w:rsidTr="0011449B">
        <w:trPr>
          <w:gridAfter w:val="1"/>
          <w:wAfter w:w="8" w:type="dxa"/>
          <w:trHeight w:val="499"/>
        </w:trPr>
        <w:tc>
          <w:tcPr>
            <w:tcW w:w="3137" w:type="dxa"/>
            <w:tcBorders>
              <w:top w:val="single" w:sz="4" w:space="0" w:color="auto"/>
              <w:left w:val="single" w:sz="4" w:space="0" w:color="auto"/>
              <w:bottom w:val="single" w:sz="4" w:space="0" w:color="auto"/>
              <w:right w:val="single" w:sz="8" w:space="0" w:color="auto"/>
            </w:tcBorders>
          </w:tcPr>
          <w:p w14:paraId="6D315744" w14:textId="77777777" w:rsidR="008F0B24" w:rsidRPr="0011449B" w:rsidRDefault="008F0B24" w:rsidP="000049FF">
            <w:pPr>
              <w:rPr>
                <w:rFonts w:ascii="Verdana" w:hAnsi="Verdana"/>
                <w:sz w:val="20"/>
              </w:rPr>
            </w:pPr>
            <w:r w:rsidRPr="0011449B">
              <w:rPr>
                <w:rFonts w:ascii="Verdana" w:hAnsi="Verdana"/>
                <w:bCs/>
                <w:sz w:val="20"/>
              </w:rPr>
              <w:t>1.0 Project Management</w:t>
            </w:r>
          </w:p>
        </w:tc>
        <w:tc>
          <w:tcPr>
            <w:tcW w:w="40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8EDC11E"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0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41667A6"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1A933DA6"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1DB0C3D3"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21554A2C"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600B4FA0"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2CFA9E91"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25A1FAAB"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521A2B5E"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50FE864C"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03" w:type="dxa"/>
            <w:tcBorders>
              <w:top w:val="single" w:sz="8" w:space="0" w:color="auto"/>
              <w:left w:val="nil"/>
              <w:bottom w:val="single" w:sz="8" w:space="0" w:color="auto"/>
              <w:right w:val="single" w:sz="4" w:space="0" w:color="auto"/>
            </w:tcBorders>
            <w:shd w:val="clear" w:color="auto" w:fill="auto"/>
            <w:noWrap/>
            <w:vAlign w:val="center"/>
          </w:tcPr>
          <w:p w14:paraId="4F72E095"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03" w:type="dxa"/>
            <w:tcBorders>
              <w:top w:val="single" w:sz="8" w:space="0" w:color="auto"/>
              <w:left w:val="nil"/>
              <w:bottom w:val="single" w:sz="8" w:space="0" w:color="auto"/>
              <w:right w:val="single" w:sz="4" w:space="0" w:color="auto"/>
            </w:tcBorders>
            <w:shd w:val="clear" w:color="auto" w:fill="auto"/>
            <w:vAlign w:val="center"/>
          </w:tcPr>
          <w:p w14:paraId="051E9F35"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03" w:type="dxa"/>
            <w:tcBorders>
              <w:top w:val="single" w:sz="8" w:space="0" w:color="auto"/>
              <w:left w:val="nil"/>
              <w:bottom w:val="single" w:sz="8" w:space="0" w:color="auto"/>
              <w:right w:val="single" w:sz="4" w:space="0" w:color="auto"/>
            </w:tcBorders>
            <w:shd w:val="clear" w:color="auto" w:fill="auto"/>
            <w:vAlign w:val="center"/>
          </w:tcPr>
          <w:p w14:paraId="02CE5706"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03" w:type="dxa"/>
            <w:tcBorders>
              <w:top w:val="single" w:sz="8" w:space="0" w:color="auto"/>
              <w:left w:val="nil"/>
              <w:bottom w:val="single" w:sz="8" w:space="0" w:color="auto"/>
              <w:right w:val="single" w:sz="4" w:space="0" w:color="auto"/>
            </w:tcBorders>
            <w:shd w:val="clear" w:color="auto" w:fill="auto"/>
            <w:vAlign w:val="center"/>
          </w:tcPr>
          <w:p w14:paraId="40ED3F72"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03" w:type="dxa"/>
            <w:tcBorders>
              <w:top w:val="single" w:sz="8" w:space="0" w:color="auto"/>
              <w:left w:val="nil"/>
              <w:bottom w:val="single" w:sz="8" w:space="0" w:color="auto"/>
              <w:right w:val="single" w:sz="4" w:space="0" w:color="auto"/>
            </w:tcBorders>
            <w:shd w:val="clear" w:color="auto" w:fill="auto"/>
            <w:vAlign w:val="center"/>
          </w:tcPr>
          <w:p w14:paraId="68A7D015"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03" w:type="dxa"/>
            <w:tcBorders>
              <w:top w:val="single" w:sz="8" w:space="0" w:color="auto"/>
              <w:left w:val="nil"/>
              <w:bottom w:val="single" w:sz="8" w:space="0" w:color="auto"/>
              <w:right w:val="single" w:sz="4" w:space="0" w:color="auto"/>
            </w:tcBorders>
            <w:vAlign w:val="center"/>
          </w:tcPr>
          <w:p w14:paraId="08E6940B"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62" w:type="dxa"/>
            <w:tcBorders>
              <w:top w:val="single" w:sz="8" w:space="0" w:color="auto"/>
              <w:left w:val="nil"/>
              <w:bottom w:val="single" w:sz="8" w:space="0" w:color="auto"/>
              <w:right w:val="single" w:sz="4" w:space="0" w:color="auto"/>
            </w:tcBorders>
            <w:vAlign w:val="center"/>
          </w:tcPr>
          <w:p w14:paraId="10CA1861"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62" w:type="dxa"/>
            <w:tcBorders>
              <w:top w:val="single" w:sz="8" w:space="0" w:color="auto"/>
              <w:left w:val="nil"/>
              <w:bottom w:val="single" w:sz="8" w:space="0" w:color="auto"/>
              <w:right w:val="single" w:sz="4" w:space="0" w:color="auto"/>
            </w:tcBorders>
            <w:vAlign w:val="center"/>
          </w:tcPr>
          <w:p w14:paraId="3416056D"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r>
      <w:tr w:rsidR="008F0B24" w:rsidRPr="0011449B" w14:paraId="3ED79207" w14:textId="77777777" w:rsidTr="0011449B">
        <w:trPr>
          <w:gridAfter w:val="1"/>
          <w:wAfter w:w="8" w:type="dxa"/>
          <w:trHeight w:val="499"/>
        </w:trPr>
        <w:tc>
          <w:tcPr>
            <w:tcW w:w="3137" w:type="dxa"/>
            <w:tcBorders>
              <w:top w:val="single" w:sz="4" w:space="0" w:color="auto"/>
              <w:left w:val="single" w:sz="4" w:space="0" w:color="auto"/>
              <w:bottom w:val="single" w:sz="4" w:space="0" w:color="auto"/>
              <w:right w:val="single" w:sz="8" w:space="0" w:color="auto"/>
            </w:tcBorders>
          </w:tcPr>
          <w:p w14:paraId="279C092D" w14:textId="77777777" w:rsidR="008F0B24" w:rsidRPr="0011449B" w:rsidRDefault="008F0B24" w:rsidP="000049FF">
            <w:pPr>
              <w:rPr>
                <w:rFonts w:ascii="Verdana" w:hAnsi="Verdana"/>
                <w:bCs/>
                <w:sz w:val="20"/>
              </w:rPr>
            </w:pPr>
            <w:r w:rsidRPr="0011449B">
              <w:rPr>
                <w:rFonts w:ascii="Verdana" w:hAnsi="Verdana"/>
                <w:bCs/>
                <w:sz w:val="20"/>
              </w:rPr>
              <w:t>2.0 Develop OPSL Software for AIT</w:t>
            </w:r>
          </w:p>
        </w:tc>
        <w:tc>
          <w:tcPr>
            <w:tcW w:w="40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818D865"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C325463"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11DC2E90"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46F3008F"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73695B44"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2BDF406E"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2EB7980D"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5450E744"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3EC4EC8D"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23B3B6B0"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shd w:val="clear" w:color="auto" w:fill="auto"/>
            <w:noWrap/>
            <w:vAlign w:val="center"/>
          </w:tcPr>
          <w:p w14:paraId="40745322"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shd w:val="clear" w:color="auto" w:fill="auto"/>
            <w:vAlign w:val="center"/>
          </w:tcPr>
          <w:p w14:paraId="49A606FC"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03" w:type="dxa"/>
            <w:tcBorders>
              <w:top w:val="single" w:sz="8" w:space="0" w:color="auto"/>
              <w:left w:val="nil"/>
              <w:bottom w:val="single" w:sz="8" w:space="0" w:color="auto"/>
              <w:right w:val="single" w:sz="4" w:space="0" w:color="auto"/>
            </w:tcBorders>
            <w:shd w:val="clear" w:color="auto" w:fill="auto"/>
            <w:vAlign w:val="center"/>
          </w:tcPr>
          <w:p w14:paraId="0166BDE7"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shd w:val="clear" w:color="auto" w:fill="auto"/>
            <w:vAlign w:val="center"/>
          </w:tcPr>
          <w:p w14:paraId="5D8FFDEA"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shd w:val="clear" w:color="auto" w:fill="auto"/>
            <w:vAlign w:val="center"/>
          </w:tcPr>
          <w:p w14:paraId="780CE048"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vAlign w:val="center"/>
          </w:tcPr>
          <w:p w14:paraId="21053381" w14:textId="77777777" w:rsidR="008F0B24" w:rsidRPr="0011449B" w:rsidRDefault="008F0B24" w:rsidP="0011449B">
            <w:pPr>
              <w:jc w:val="center"/>
              <w:rPr>
                <w:rFonts w:ascii="Verdana" w:hAnsi="Verdana"/>
                <w:color w:val="000000"/>
                <w:sz w:val="16"/>
              </w:rPr>
            </w:pPr>
          </w:p>
        </w:tc>
        <w:tc>
          <w:tcPr>
            <w:tcW w:w="462" w:type="dxa"/>
            <w:tcBorders>
              <w:top w:val="single" w:sz="8" w:space="0" w:color="auto"/>
              <w:left w:val="nil"/>
              <w:bottom w:val="single" w:sz="8" w:space="0" w:color="auto"/>
              <w:right w:val="single" w:sz="4" w:space="0" w:color="auto"/>
            </w:tcBorders>
            <w:vAlign w:val="center"/>
          </w:tcPr>
          <w:p w14:paraId="5F958D64" w14:textId="77777777" w:rsidR="008F0B24" w:rsidRPr="0011449B" w:rsidRDefault="008F0B24" w:rsidP="0011449B">
            <w:pPr>
              <w:jc w:val="center"/>
              <w:rPr>
                <w:rFonts w:ascii="Verdana" w:hAnsi="Verdana"/>
                <w:color w:val="000000"/>
                <w:sz w:val="16"/>
              </w:rPr>
            </w:pPr>
          </w:p>
        </w:tc>
        <w:tc>
          <w:tcPr>
            <w:tcW w:w="462" w:type="dxa"/>
            <w:tcBorders>
              <w:top w:val="single" w:sz="8" w:space="0" w:color="auto"/>
              <w:left w:val="nil"/>
              <w:bottom w:val="single" w:sz="8" w:space="0" w:color="auto"/>
              <w:right w:val="single" w:sz="4" w:space="0" w:color="auto"/>
            </w:tcBorders>
            <w:vAlign w:val="center"/>
          </w:tcPr>
          <w:p w14:paraId="075E11A5"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r>
      <w:tr w:rsidR="008F0B24" w:rsidRPr="0011449B" w14:paraId="76821CD7" w14:textId="77777777" w:rsidTr="0011449B">
        <w:trPr>
          <w:gridAfter w:val="1"/>
          <w:wAfter w:w="8" w:type="dxa"/>
          <w:trHeight w:val="499"/>
        </w:trPr>
        <w:tc>
          <w:tcPr>
            <w:tcW w:w="3137" w:type="dxa"/>
            <w:tcBorders>
              <w:top w:val="single" w:sz="4" w:space="0" w:color="auto"/>
              <w:left w:val="single" w:sz="4" w:space="0" w:color="auto"/>
              <w:bottom w:val="single" w:sz="4" w:space="0" w:color="auto"/>
              <w:right w:val="single" w:sz="8" w:space="0" w:color="auto"/>
            </w:tcBorders>
          </w:tcPr>
          <w:p w14:paraId="6F09DB06" w14:textId="77777777" w:rsidR="008F0B24" w:rsidRPr="0011449B" w:rsidRDefault="008F0B24" w:rsidP="000049FF">
            <w:pPr>
              <w:rPr>
                <w:rFonts w:ascii="Verdana" w:hAnsi="Verdana"/>
                <w:bCs/>
                <w:sz w:val="20"/>
              </w:rPr>
            </w:pPr>
            <w:r w:rsidRPr="0011449B">
              <w:rPr>
                <w:rFonts w:ascii="Verdana" w:hAnsi="Verdana"/>
                <w:bCs/>
                <w:sz w:val="20"/>
              </w:rPr>
              <w:t xml:space="preserve">3.0 Develop a standardized data format to structure “raw” data from AIT scans </w:t>
            </w:r>
          </w:p>
        </w:tc>
        <w:tc>
          <w:tcPr>
            <w:tcW w:w="40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8247621"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9D4C10E"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51FF1398"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419FA26F"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24274B9A"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128C0D2B"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21E1E345"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71D88DD4"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1BC5EDF6"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1346B815"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shd w:val="clear" w:color="auto" w:fill="auto"/>
            <w:noWrap/>
            <w:vAlign w:val="center"/>
          </w:tcPr>
          <w:p w14:paraId="1B10BC92"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shd w:val="clear" w:color="auto" w:fill="auto"/>
            <w:vAlign w:val="center"/>
          </w:tcPr>
          <w:p w14:paraId="6C1EF6B1"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03" w:type="dxa"/>
            <w:tcBorders>
              <w:top w:val="single" w:sz="8" w:space="0" w:color="auto"/>
              <w:left w:val="nil"/>
              <w:bottom w:val="single" w:sz="8" w:space="0" w:color="auto"/>
              <w:right w:val="single" w:sz="4" w:space="0" w:color="auto"/>
            </w:tcBorders>
            <w:shd w:val="clear" w:color="auto" w:fill="auto"/>
            <w:vAlign w:val="center"/>
          </w:tcPr>
          <w:p w14:paraId="7AEAD357"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shd w:val="clear" w:color="auto" w:fill="auto"/>
            <w:vAlign w:val="center"/>
          </w:tcPr>
          <w:p w14:paraId="1DBAB827"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shd w:val="clear" w:color="auto" w:fill="auto"/>
            <w:vAlign w:val="center"/>
          </w:tcPr>
          <w:p w14:paraId="1F377A46"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vAlign w:val="center"/>
          </w:tcPr>
          <w:p w14:paraId="2E5A9B8F"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62" w:type="dxa"/>
            <w:tcBorders>
              <w:top w:val="single" w:sz="8" w:space="0" w:color="auto"/>
              <w:left w:val="nil"/>
              <w:bottom w:val="single" w:sz="8" w:space="0" w:color="auto"/>
              <w:right w:val="single" w:sz="4" w:space="0" w:color="auto"/>
            </w:tcBorders>
            <w:vAlign w:val="center"/>
          </w:tcPr>
          <w:p w14:paraId="650E8567" w14:textId="77777777" w:rsidR="008F0B24" w:rsidRPr="0011449B" w:rsidRDefault="008F0B24" w:rsidP="0011449B">
            <w:pPr>
              <w:jc w:val="center"/>
              <w:rPr>
                <w:rFonts w:ascii="Verdana" w:hAnsi="Verdana"/>
                <w:color w:val="000000"/>
                <w:sz w:val="16"/>
              </w:rPr>
            </w:pPr>
          </w:p>
        </w:tc>
        <w:tc>
          <w:tcPr>
            <w:tcW w:w="462" w:type="dxa"/>
            <w:tcBorders>
              <w:top w:val="single" w:sz="8" w:space="0" w:color="auto"/>
              <w:left w:val="nil"/>
              <w:bottom w:val="single" w:sz="8" w:space="0" w:color="auto"/>
              <w:right w:val="single" w:sz="4" w:space="0" w:color="auto"/>
            </w:tcBorders>
            <w:vAlign w:val="center"/>
          </w:tcPr>
          <w:p w14:paraId="7920B30E"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r>
      <w:tr w:rsidR="008F0B24" w:rsidRPr="0011449B" w14:paraId="6DB0CD48" w14:textId="77777777" w:rsidTr="0011449B">
        <w:trPr>
          <w:gridAfter w:val="1"/>
          <w:wAfter w:w="8" w:type="dxa"/>
          <w:trHeight w:val="499"/>
        </w:trPr>
        <w:tc>
          <w:tcPr>
            <w:tcW w:w="3137" w:type="dxa"/>
            <w:tcBorders>
              <w:top w:val="single" w:sz="4" w:space="0" w:color="auto"/>
              <w:left w:val="single" w:sz="4" w:space="0" w:color="auto"/>
              <w:bottom w:val="single" w:sz="4" w:space="0" w:color="auto"/>
              <w:right w:val="single" w:sz="8" w:space="0" w:color="auto"/>
            </w:tcBorders>
          </w:tcPr>
          <w:p w14:paraId="78994E93" w14:textId="77777777" w:rsidR="008F0B24" w:rsidRPr="0011449B" w:rsidRDefault="008F0B24" w:rsidP="000049FF">
            <w:pPr>
              <w:rPr>
                <w:rFonts w:ascii="Verdana" w:hAnsi="Verdana"/>
                <w:bCs/>
                <w:sz w:val="20"/>
              </w:rPr>
            </w:pPr>
            <w:r w:rsidRPr="0011449B">
              <w:rPr>
                <w:rFonts w:ascii="Verdana" w:hAnsi="Verdana"/>
                <w:bCs/>
                <w:sz w:val="20"/>
              </w:rPr>
              <w:t xml:space="preserve">4.0 Support further development of the OTAP </w:t>
            </w:r>
            <w:r w:rsidRPr="0011449B">
              <w:rPr>
                <w:rFonts w:ascii="Verdana" w:hAnsi="Verdana"/>
                <w:bCs/>
                <w:sz w:val="20"/>
              </w:rPr>
              <w:lastRenderedPageBreak/>
              <w:t>MRAD algorithm development environment</w:t>
            </w:r>
          </w:p>
        </w:tc>
        <w:tc>
          <w:tcPr>
            <w:tcW w:w="40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C6861F4"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B828D8E"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1A7D581B"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55A9BD47"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6BCF32D8"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06DE7172"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1EB2E853"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50877DAF"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78ED91FD"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4D069AEF"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shd w:val="clear" w:color="auto" w:fill="auto"/>
            <w:noWrap/>
            <w:vAlign w:val="center"/>
          </w:tcPr>
          <w:p w14:paraId="11729E9D"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shd w:val="clear" w:color="auto" w:fill="auto"/>
            <w:vAlign w:val="center"/>
          </w:tcPr>
          <w:p w14:paraId="753BB410"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03" w:type="dxa"/>
            <w:tcBorders>
              <w:top w:val="single" w:sz="8" w:space="0" w:color="auto"/>
              <w:left w:val="nil"/>
              <w:bottom w:val="single" w:sz="8" w:space="0" w:color="auto"/>
              <w:right w:val="single" w:sz="4" w:space="0" w:color="auto"/>
            </w:tcBorders>
            <w:shd w:val="clear" w:color="auto" w:fill="auto"/>
            <w:vAlign w:val="center"/>
          </w:tcPr>
          <w:p w14:paraId="0E77D183"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shd w:val="clear" w:color="auto" w:fill="auto"/>
            <w:vAlign w:val="center"/>
          </w:tcPr>
          <w:p w14:paraId="25AD4045"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shd w:val="clear" w:color="auto" w:fill="auto"/>
            <w:vAlign w:val="center"/>
          </w:tcPr>
          <w:p w14:paraId="02875AF5"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vAlign w:val="center"/>
          </w:tcPr>
          <w:p w14:paraId="1DB90BD9"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62" w:type="dxa"/>
            <w:tcBorders>
              <w:top w:val="single" w:sz="8" w:space="0" w:color="auto"/>
              <w:left w:val="nil"/>
              <w:bottom w:val="single" w:sz="8" w:space="0" w:color="auto"/>
              <w:right w:val="single" w:sz="4" w:space="0" w:color="auto"/>
            </w:tcBorders>
            <w:vAlign w:val="center"/>
          </w:tcPr>
          <w:p w14:paraId="5F084911" w14:textId="77777777" w:rsidR="008F0B24" w:rsidRPr="0011449B" w:rsidRDefault="008F0B24" w:rsidP="0011449B">
            <w:pPr>
              <w:jc w:val="center"/>
              <w:rPr>
                <w:rFonts w:ascii="Verdana" w:hAnsi="Verdana"/>
                <w:color w:val="000000"/>
                <w:sz w:val="16"/>
              </w:rPr>
            </w:pPr>
          </w:p>
        </w:tc>
        <w:tc>
          <w:tcPr>
            <w:tcW w:w="462" w:type="dxa"/>
            <w:tcBorders>
              <w:top w:val="single" w:sz="8" w:space="0" w:color="auto"/>
              <w:left w:val="nil"/>
              <w:bottom w:val="single" w:sz="8" w:space="0" w:color="auto"/>
              <w:right w:val="single" w:sz="4" w:space="0" w:color="auto"/>
            </w:tcBorders>
            <w:vAlign w:val="center"/>
          </w:tcPr>
          <w:p w14:paraId="5BE7FBB9"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r>
      <w:tr w:rsidR="008F0B24" w:rsidRPr="0011449B" w14:paraId="6B97494C" w14:textId="77777777" w:rsidTr="0011449B">
        <w:trPr>
          <w:gridAfter w:val="1"/>
          <w:wAfter w:w="8" w:type="dxa"/>
          <w:trHeight w:val="499"/>
        </w:trPr>
        <w:tc>
          <w:tcPr>
            <w:tcW w:w="3137" w:type="dxa"/>
            <w:tcBorders>
              <w:top w:val="single" w:sz="4" w:space="0" w:color="auto"/>
              <w:left w:val="single" w:sz="4" w:space="0" w:color="auto"/>
              <w:bottom w:val="single" w:sz="4" w:space="0" w:color="auto"/>
              <w:right w:val="single" w:sz="8" w:space="0" w:color="auto"/>
            </w:tcBorders>
          </w:tcPr>
          <w:p w14:paraId="32C044A2" w14:textId="77777777" w:rsidR="008F0B24" w:rsidRPr="0011449B" w:rsidRDefault="008F0B24" w:rsidP="000049FF">
            <w:pPr>
              <w:rPr>
                <w:rFonts w:ascii="Verdana" w:hAnsi="Verdana"/>
                <w:bCs/>
                <w:sz w:val="20"/>
              </w:rPr>
            </w:pPr>
            <w:r w:rsidRPr="0011449B">
              <w:rPr>
                <w:rFonts w:ascii="Verdana" w:hAnsi="Verdana"/>
                <w:bCs/>
                <w:sz w:val="20"/>
              </w:rPr>
              <w:lastRenderedPageBreak/>
              <w:t>5.0 Accelerate the development of an “A’-A’” data format for CT machines</w:t>
            </w:r>
          </w:p>
        </w:tc>
        <w:tc>
          <w:tcPr>
            <w:tcW w:w="40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515CFE6"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0D56441"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1573BFD9"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14939E16"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7E245E16"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543A5B01"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5DC211E6"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79358AE7"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161EC4C5"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356F6EFE"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shd w:val="clear" w:color="auto" w:fill="auto"/>
            <w:noWrap/>
            <w:vAlign w:val="center"/>
          </w:tcPr>
          <w:p w14:paraId="0F01CD4F"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shd w:val="clear" w:color="auto" w:fill="auto"/>
            <w:vAlign w:val="center"/>
          </w:tcPr>
          <w:p w14:paraId="532E0AAB"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shd w:val="clear" w:color="auto" w:fill="auto"/>
            <w:vAlign w:val="center"/>
          </w:tcPr>
          <w:p w14:paraId="285C1A17"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shd w:val="clear" w:color="auto" w:fill="auto"/>
            <w:vAlign w:val="center"/>
          </w:tcPr>
          <w:p w14:paraId="7061A145"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shd w:val="clear" w:color="auto" w:fill="auto"/>
            <w:vAlign w:val="center"/>
          </w:tcPr>
          <w:p w14:paraId="6C74C7C1"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vAlign w:val="center"/>
          </w:tcPr>
          <w:p w14:paraId="57202256" w14:textId="77777777" w:rsidR="008F0B24" w:rsidRPr="0011449B" w:rsidRDefault="008F0B24" w:rsidP="0011449B">
            <w:pPr>
              <w:jc w:val="center"/>
              <w:rPr>
                <w:rFonts w:ascii="Verdana" w:hAnsi="Verdana"/>
                <w:color w:val="000000"/>
                <w:sz w:val="16"/>
              </w:rPr>
            </w:pPr>
          </w:p>
        </w:tc>
        <w:tc>
          <w:tcPr>
            <w:tcW w:w="462" w:type="dxa"/>
            <w:tcBorders>
              <w:top w:val="single" w:sz="8" w:space="0" w:color="auto"/>
              <w:left w:val="nil"/>
              <w:bottom w:val="single" w:sz="8" w:space="0" w:color="auto"/>
              <w:right w:val="single" w:sz="4" w:space="0" w:color="auto"/>
            </w:tcBorders>
            <w:vAlign w:val="center"/>
          </w:tcPr>
          <w:p w14:paraId="06D21463" w14:textId="77777777" w:rsidR="008F0B24" w:rsidRPr="0011449B" w:rsidRDefault="008F0B24" w:rsidP="0011449B">
            <w:pPr>
              <w:jc w:val="center"/>
              <w:rPr>
                <w:rFonts w:ascii="Verdana" w:hAnsi="Verdana"/>
                <w:color w:val="000000"/>
                <w:sz w:val="16"/>
              </w:rPr>
            </w:pPr>
          </w:p>
        </w:tc>
        <w:tc>
          <w:tcPr>
            <w:tcW w:w="462" w:type="dxa"/>
            <w:tcBorders>
              <w:top w:val="single" w:sz="8" w:space="0" w:color="auto"/>
              <w:left w:val="nil"/>
              <w:bottom w:val="single" w:sz="8" w:space="0" w:color="auto"/>
              <w:right w:val="single" w:sz="4" w:space="0" w:color="auto"/>
            </w:tcBorders>
            <w:vAlign w:val="center"/>
          </w:tcPr>
          <w:p w14:paraId="4464D6F5" w14:textId="77777777" w:rsidR="008F0B24" w:rsidRPr="0011449B" w:rsidRDefault="008F0B24" w:rsidP="0011449B">
            <w:pPr>
              <w:jc w:val="center"/>
              <w:rPr>
                <w:rFonts w:ascii="Verdana" w:hAnsi="Verdana"/>
                <w:color w:val="000000"/>
                <w:sz w:val="16"/>
              </w:rPr>
            </w:pPr>
          </w:p>
        </w:tc>
      </w:tr>
      <w:tr w:rsidR="008F0B24" w:rsidRPr="0011449B" w14:paraId="69ABA42C" w14:textId="77777777" w:rsidTr="0011449B">
        <w:trPr>
          <w:gridAfter w:val="1"/>
          <w:wAfter w:w="8" w:type="dxa"/>
          <w:trHeight w:val="499"/>
        </w:trPr>
        <w:tc>
          <w:tcPr>
            <w:tcW w:w="3137" w:type="dxa"/>
            <w:tcBorders>
              <w:top w:val="single" w:sz="4" w:space="0" w:color="auto"/>
              <w:left w:val="single" w:sz="4" w:space="0" w:color="auto"/>
              <w:bottom w:val="single" w:sz="4" w:space="0" w:color="auto"/>
              <w:right w:val="single" w:sz="8" w:space="0" w:color="auto"/>
            </w:tcBorders>
          </w:tcPr>
          <w:p w14:paraId="25E3CFB6" w14:textId="77777777" w:rsidR="008F0B24" w:rsidRPr="0011449B" w:rsidRDefault="008F0B24" w:rsidP="000049FF">
            <w:pPr>
              <w:rPr>
                <w:rFonts w:ascii="Verdana" w:hAnsi="Verdana"/>
                <w:bCs/>
                <w:sz w:val="20"/>
              </w:rPr>
            </w:pPr>
            <w:r w:rsidRPr="0011449B">
              <w:rPr>
                <w:rFonts w:ascii="Verdana" w:hAnsi="Verdana"/>
                <w:bCs/>
                <w:sz w:val="20"/>
              </w:rPr>
              <w:t>6.0 Accelerate the development of 3</w:t>
            </w:r>
            <w:r w:rsidRPr="0011449B">
              <w:rPr>
                <w:rFonts w:ascii="Verdana" w:hAnsi="Verdana"/>
                <w:bCs/>
                <w:sz w:val="20"/>
                <w:vertAlign w:val="superscript"/>
              </w:rPr>
              <w:t>rd</w:t>
            </w:r>
            <w:r w:rsidRPr="0011449B">
              <w:rPr>
                <w:rFonts w:ascii="Verdana" w:hAnsi="Verdana"/>
                <w:bCs/>
                <w:sz w:val="20"/>
              </w:rPr>
              <w:t xml:space="preserve">-party CT ATR and reconstruction algorithms </w:t>
            </w:r>
          </w:p>
        </w:tc>
        <w:tc>
          <w:tcPr>
            <w:tcW w:w="40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FA4508F"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DB356D0"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741653BC"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17973BE6"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1FE1AFE9"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302650D1"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48F72D3A"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4D8EF8F7"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00F1EEFB"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5C69BF17"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shd w:val="clear" w:color="auto" w:fill="auto"/>
            <w:noWrap/>
            <w:vAlign w:val="center"/>
          </w:tcPr>
          <w:p w14:paraId="5FD4C021"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shd w:val="clear" w:color="auto" w:fill="auto"/>
            <w:vAlign w:val="center"/>
          </w:tcPr>
          <w:p w14:paraId="7FDB9112"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shd w:val="clear" w:color="auto" w:fill="auto"/>
            <w:vAlign w:val="center"/>
          </w:tcPr>
          <w:p w14:paraId="25594CA3"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shd w:val="clear" w:color="auto" w:fill="auto"/>
            <w:vAlign w:val="center"/>
          </w:tcPr>
          <w:p w14:paraId="6DDDCEAC"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shd w:val="clear" w:color="auto" w:fill="auto"/>
            <w:vAlign w:val="center"/>
          </w:tcPr>
          <w:p w14:paraId="714E84EF"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vAlign w:val="center"/>
          </w:tcPr>
          <w:p w14:paraId="6C4EA69A" w14:textId="77777777" w:rsidR="008F0B24" w:rsidRPr="0011449B" w:rsidRDefault="008F0B24" w:rsidP="0011449B">
            <w:pPr>
              <w:jc w:val="center"/>
              <w:rPr>
                <w:rFonts w:ascii="Verdana" w:hAnsi="Verdana"/>
                <w:color w:val="000000"/>
                <w:sz w:val="16"/>
              </w:rPr>
            </w:pPr>
          </w:p>
        </w:tc>
        <w:tc>
          <w:tcPr>
            <w:tcW w:w="462" w:type="dxa"/>
            <w:tcBorders>
              <w:top w:val="single" w:sz="8" w:space="0" w:color="auto"/>
              <w:left w:val="nil"/>
              <w:bottom w:val="single" w:sz="8" w:space="0" w:color="auto"/>
              <w:right w:val="single" w:sz="4" w:space="0" w:color="auto"/>
            </w:tcBorders>
            <w:vAlign w:val="center"/>
          </w:tcPr>
          <w:p w14:paraId="205A63CC" w14:textId="77777777" w:rsidR="008F0B24" w:rsidRPr="0011449B" w:rsidRDefault="008F0B24" w:rsidP="0011449B">
            <w:pPr>
              <w:jc w:val="center"/>
              <w:rPr>
                <w:rFonts w:ascii="Verdana" w:hAnsi="Verdana"/>
                <w:color w:val="000000"/>
                <w:sz w:val="16"/>
              </w:rPr>
            </w:pPr>
          </w:p>
        </w:tc>
        <w:tc>
          <w:tcPr>
            <w:tcW w:w="462" w:type="dxa"/>
            <w:tcBorders>
              <w:top w:val="single" w:sz="8" w:space="0" w:color="auto"/>
              <w:left w:val="nil"/>
              <w:bottom w:val="single" w:sz="8" w:space="0" w:color="auto"/>
              <w:right w:val="single" w:sz="4" w:space="0" w:color="auto"/>
            </w:tcBorders>
            <w:vAlign w:val="center"/>
          </w:tcPr>
          <w:p w14:paraId="46B35AB5" w14:textId="77777777" w:rsidR="008F0B24" w:rsidRPr="0011449B" w:rsidRDefault="008F0B24" w:rsidP="0011449B">
            <w:pPr>
              <w:jc w:val="center"/>
              <w:rPr>
                <w:rFonts w:ascii="Verdana" w:hAnsi="Verdana"/>
                <w:color w:val="000000"/>
                <w:sz w:val="16"/>
              </w:rPr>
            </w:pPr>
          </w:p>
        </w:tc>
      </w:tr>
      <w:tr w:rsidR="008F0B24" w:rsidRPr="0011449B" w14:paraId="547AD54B" w14:textId="77777777" w:rsidTr="0011449B">
        <w:trPr>
          <w:gridAfter w:val="1"/>
          <w:wAfter w:w="8" w:type="dxa"/>
          <w:trHeight w:val="499"/>
        </w:trPr>
        <w:tc>
          <w:tcPr>
            <w:tcW w:w="3137" w:type="dxa"/>
            <w:tcBorders>
              <w:top w:val="single" w:sz="4" w:space="0" w:color="auto"/>
              <w:left w:val="single" w:sz="4" w:space="0" w:color="auto"/>
              <w:bottom w:val="single" w:sz="4" w:space="0" w:color="auto"/>
              <w:right w:val="single" w:sz="8" w:space="0" w:color="auto"/>
            </w:tcBorders>
          </w:tcPr>
          <w:p w14:paraId="78C624B1" w14:textId="77777777" w:rsidR="008F0B24" w:rsidRPr="0011449B" w:rsidRDefault="008F0B24" w:rsidP="000049FF">
            <w:pPr>
              <w:rPr>
                <w:rFonts w:ascii="Verdana" w:hAnsi="Verdana"/>
                <w:bCs/>
                <w:sz w:val="20"/>
              </w:rPr>
            </w:pPr>
            <w:r w:rsidRPr="0011449B">
              <w:rPr>
                <w:rFonts w:ascii="Verdana" w:hAnsi="Verdana"/>
                <w:bCs/>
                <w:sz w:val="20"/>
              </w:rPr>
              <w:t>7.0 Systems Engineering Analysis</w:t>
            </w:r>
          </w:p>
        </w:tc>
        <w:tc>
          <w:tcPr>
            <w:tcW w:w="40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47A8C0A"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C5B517F"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66524442"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7D1190FB"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25F3FACD"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1BE9497D"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5FB51108"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405B4AD4"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09528893"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8" w:space="0" w:color="auto"/>
            </w:tcBorders>
            <w:shd w:val="clear" w:color="auto" w:fill="auto"/>
            <w:noWrap/>
            <w:vAlign w:val="center"/>
          </w:tcPr>
          <w:p w14:paraId="3E4E35E9"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shd w:val="clear" w:color="auto" w:fill="auto"/>
            <w:noWrap/>
            <w:vAlign w:val="center"/>
          </w:tcPr>
          <w:p w14:paraId="5977028F"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shd w:val="clear" w:color="auto" w:fill="auto"/>
            <w:vAlign w:val="center"/>
          </w:tcPr>
          <w:p w14:paraId="45AA1CC3"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shd w:val="clear" w:color="auto" w:fill="auto"/>
            <w:vAlign w:val="center"/>
          </w:tcPr>
          <w:p w14:paraId="2A1E4580"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shd w:val="clear" w:color="auto" w:fill="auto"/>
            <w:vAlign w:val="center"/>
          </w:tcPr>
          <w:p w14:paraId="665CFF1D"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shd w:val="clear" w:color="auto" w:fill="auto"/>
            <w:vAlign w:val="center"/>
          </w:tcPr>
          <w:p w14:paraId="18B3DD8B" w14:textId="77777777" w:rsidR="008F0B24" w:rsidRPr="0011449B" w:rsidRDefault="008F0B24" w:rsidP="0011449B">
            <w:pPr>
              <w:jc w:val="center"/>
              <w:rPr>
                <w:rFonts w:ascii="Verdana" w:hAnsi="Verdana"/>
                <w:color w:val="000000"/>
                <w:sz w:val="16"/>
              </w:rPr>
            </w:pPr>
          </w:p>
        </w:tc>
        <w:tc>
          <w:tcPr>
            <w:tcW w:w="403" w:type="dxa"/>
            <w:tcBorders>
              <w:top w:val="single" w:sz="8" w:space="0" w:color="auto"/>
              <w:left w:val="nil"/>
              <w:bottom w:val="single" w:sz="8" w:space="0" w:color="auto"/>
              <w:right w:val="single" w:sz="4" w:space="0" w:color="auto"/>
            </w:tcBorders>
            <w:vAlign w:val="center"/>
          </w:tcPr>
          <w:p w14:paraId="4746E773" w14:textId="77777777" w:rsidR="008F0B24" w:rsidRPr="0011449B" w:rsidRDefault="008F0B24" w:rsidP="0011449B">
            <w:pPr>
              <w:jc w:val="center"/>
              <w:rPr>
                <w:rFonts w:ascii="Verdana" w:hAnsi="Verdana"/>
                <w:color w:val="000000"/>
                <w:sz w:val="16"/>
              </w:rPr>
            </w:pPr>
          </w:p>
        </w:tc>
        <w:tc>
          <w:tcPr>
            <w:tcW w:w="462" w:type="dxa"/>
            <w:tcBorders>
              <w:top w:val="single" w:sz="8" w:space="0" w:color="auto"/>
              <w:left w:val="nil"/>
              <w:bottom w:val="single" w:sz="8" w:space="0" w:color="auto"/>
              <w:right w:val="single" w:sz="4" w:space="0" w:color="auto"/>
            </w:tcBorders>
            <w:vAlign w:val="center"/>
          </w:tcPr>
          <w:p w14:paraId="062A0B56" w14:textId="77777777" w:rsidR="008F0B24" w:rsidRPr="0011449B" w:rsidRDefault="008F0B24" w:rsidP="0011449B">
            <w:pPr>
              <w:jc w:val="center"/>
              <w:rPr>
                <w:rFonts w:ascii="Verdana" w:hAnsi="Verdana"/>
                <w:color w:val="000000"/>
                <w:sz w:val="16"/>
              </w:rPr>
            </w:pPr>
          </w:p>
        </w:tc>
        <w:tc>
          <w:tcPr>
            <w:tcW w:w="462" w:type="dxa"/>
            <w:tcBorders>
              <w:top w:val="single" w:sz="8" w:space="0" w:color="auto"/>
              <w:left w:val="nil"/>
              <w:bottom w:val="single" w:sz="8" w:space="0" w:color="auto"/>
              <w:right w:val="single" w:sz="4" w:space="0" w:color="auto"/>
            </w:tcBorders>
            <w:vAlign w:val="center"/>
          </w:tcPr>
          <w:p w14:paraId="16018C94" w14:textId="77777777" w:rsidR="008F0B24" w:rsidRPr="0011449B" w:rsidRDefault="008F0B24" w:rsidP="0011449B">
            <w:pPr>
              <w:jc w:val="center"/>
              <w:rPr>
                <w:rFonts w:ascii="Verdana" w:hAnsi="Verdana"/>
                <w:color w:val="000000"/>
                <w:sz w:val="16"/>
              </w:rPr>
            </w:pPr>
            <w:r w:rsidRPr="0011449B">
              <w:rPr>
                <w:rFonts w:ascii="Verdana" w:hAnsi="Verdana"/>
                <w:color w:val="000000"/>
                <w:sz w:val="16"/>
              </w:rPr>
              <w:t>X</w:t>
            </w:r>
          </w:p>
        </w:tc>
      </w:tr>
    </w:tbl>
    <w:p w14:paraId="08A49F99" w14:textId="77777777" w:rsidR="009D605A" w:rsidRPr="0011449B" w:rsidRDefault="001B71A7" w:rsidP="009D605A">
      <w:pPr>
        <w:spacing w:before="100" w:beforeAutospacing="1" w:after="100" w:afterAutospacing="1"/>
        <w:rPr>
          <w:rFonts w:ascii="Verdana" w:hAnsi="Verdana"/>
          <w:b/>
          <w:bCs/>
          <w:sz w:val="20"/>
        </w:rPr>
      </w:pPr>
      <w:r w:rsidRPr="0011449B">
        <w:rPr>
          <w:rFonts w:ascii="Verdana" w:hAnsi="Verdana"/>
          <w:b/>
          <w:bCs/>
          <w:sz w:val="20"/>
        </w:rPr>
        <w:t>VI.     Other IA Details</w:t>
      </w:r>
    </w:p>
    <w:bookmarkEnd w:id="0"/>
    <w:bookmarkEnd w:id="1"/>
    <w:p w14:paraId="08A49F9A" w14:textId="575BFA02" w:rsidR="00827F2A" w:rsidRPr="0011449B" w:rsidRDefault="009D605A" w:rsidP="00827F2A">
      <w:pPr>
        <w:pStyle w:val="ListParagraph"/>
        <w:numPr>
          <w:ilvl w:val="0"/>
          <w:numId w:val="3"/>
        </w:numPr>
        <w:rPr>
          <w:rFonts w:ascii="Verdana" w:hAnsi="Verdana"/>
          <w:b/>
          <w:bCs/>
        </w:rPr>
      </w:pPr>
      <w:r w:rsidRPr="0011449B">
        <w:rPr>
          <w:rFonts w:ascii="Verdana" w:hAnsi="Verdana"/>
          <w:b/>
          <w:bCs/>
        </w:rPr>
        <w:t xml:space="preserve"> </w:t>
      </w:r>
      <w:r w:rsidR="004F5F78" w:rsidRPr="0011449B">
        <w:rPr>
          <w:rStyle w:val="Heading2Char1"/>
          <w:rFonts w:ascii="Verdana" w:hAnsi="Verdana"/>
          <w:sz w:val="20"/>
          <w:u w:val="none"/>
        </w:rPr>
        <w:t>Period of Performance</w:t>
      </w:r>
      <w:r w:rsidR="004F5F78" w:rsidRPr="0011449B">
        <w:rPr>
          <w:rFonts w:ascii="Verdana" w:hAnsi="Verdana"/>
        </w:rPr>
        <w:t xml:space="preserve">.  The period of performance </w:t>
      </w:r>
      <w:r w:rsidR="00BC1A4E" w:rsidRPr="0011449B">
        <w:rPr>
          <w:rFonts w:ascii="Verdana" w:hAnsi="Verdana"/>
        </w:rPr>
        <w:t xml:space="preserve">(POP) </w:t>
      </w:r>
      <w:r w:rsidR="004F5F78" w:rsidRPr="0011449B">
        <w:rPr>
          <w:rFonts w:ascii="Verdana" w:hAnsi="Verdana"/>
        </w:rPr>
        <w:t xml:space="preserve">for this SOW is </w:t>
      </w:r>
      <w:r w:rsidR="000F7882" w:rsidRPr="0011449B">
        <w:rPr>
          <w:rFonts w:ascii="Verdana" w:hAnsi="Verdana"/>
        </w:rPr>
        <w:t>from</w:t>
      </w:r>
      <w:r w:rsidR="006D7F69" w:rsidRPr="0011449B">
        <w:rPr>
          <w:rFonts w:ascii="Verdana" w:hAnsi="Verdana"/>
        </w:rPr>
        <w:t xml:space="preserve"> </w:t>
      </w:r>
      <w:r w:rsidR="00587B16" w:rsidRPr="0011449B">
        <w:rPr>
          <w:rFonts w:ascii="Verdana" w:hAnsi="Verdana"/>
        </w:rPr>
        <w:t>the effect</w:t>
      </w:r>
      <w:r w:rsidRPr="0011449B">
        <w:rPr>
          <w:rFonts w:ascii="Verdana" w:hAnsi="Verdana"/>
        </w:rPr>
        <w:t xml:space="preserve">ive date of the </w:t>
      </w:r>
      <w:proofErr w:type="gramStart"/>
      <w:r w:rsidRPr="0011449B">
        <w:rPr>
          <w:rFonts w:ascii="Verdana" w:hAnsi="Verdana"/>
        </w:rPr>
        <w:t xml:space="preserve">IA </w:t>
      </w:r>
      <w:r w:rsidR="000F7882" w:rsidRPr="0011449B">
        <w:rPr>
          <w:rFonts w:ascii="Verdana" w:hAnsi="Verdana"/>
        </w:rPr>
        <w:t xml:space="preserve"> through</w:t>
      </w:r>
      <w:proofErr w:type="gramEnd"/>
      <w:r w:rsidR="000F7882" w:rsidRPr="0011449B">
        <w:rPr>
          <w:rFonts w:ascii="Verdana" w:hAnsi="Verdana"/>
        </w:rPr>
        <w:t xml:space="preserve"> </w:t>
      </w:r>
      <w:r w:rsidR="008F0B24" w:rsidRPr="0011449B">
        <w:rPr>
          <w:rFonts w:ascii="Verdana" w:hAnsi="Verdana"/>
        </w:rPr>
        <w:t>eighteen (18) months</w:t>
      </w:r>
      <w:r w:rsidR="00731F10" w:rsidRPr="0011449B">
        <w:rPr>
          <w:rFonts w:ascii="Verdana" w:hAnsi="Verdana"/>
        </w:rPr>
        <w:t>.</w:t>
      </w:r>
    </w:p>
    <w:p w14:paraId="08A49F9B" w14:textId="77777777" w:rsidR="00827F2A" w:rsidRPr="0011449B" w:rsidRDefault="00827F2A" w:rsidP="00827F2A">
      <w:pPr>
        <w:rPr>
          <w:rFonts w:ascii="Verdana" w:hAnsi="Verdana"/>
          <w:b/>
          <w:bCs/>
          <w:sz w:val="20"/>
        </w:rPr>
      </w:pPr>
    </w:p>
    <w:p w14:paraId="08A49F9C" w14:textId="73F97C99" w:rsidR="0021321A" w:rsidRPr="0011449B" w:rsidRDefault="00140C04" w:rsidP="001E1068">
      <w:pPr>
        <w:numPr>
          <w:ilvl w:val="0"/>
          <w:numId w:val="3"/>
        </w:numPr>
        <w:rPr>
          <w:rStyle w:val="Heading2Char1"/>
          <w:rFonts w:ascii="Verdana" w:hAnsi="Verdana"/>
          <w:sz w:val="20"/>
          <w:u w:val="none"/>
        </w:rPr>
      </w:pPr>
      <w:r w:rsidRPr="0011449B">
        <w:rPr>
          <w:rStyle w:val="Heading2Char1"/>
          <w:rFonts w:ascii="Verdana" w:hAnsi="Verdana"/>
          <w:sz w:val="20"/>
          <w:u w:val="none"/>
        </w:rPr>
        <w:t>Travel.</w:t>
      </w:r>
      <w:r w:rsidRPr="0011449B">
        <w:rPr>
          <w:rStyle w:val="Heading2Char1"/>
          <w:rFonts w:ascii="Verdana" w:hAnsi="Verdana"/>
          <w:b w:val="0"/>
          <w:sz w:val="20"/>
          <w:u w:val="none"/>
        </w:rPr>
        <w:t xml:space="preserve">  Travel </w:t>
      </w:r>
      <w:r w:rsidR="008F0B24" w:rsidRPr="0011449B">
        <w:rPr>
          <w:rStyle w:val="Heading2Char1"/>
          <w:rFonts w:ascii="Verdana" w:hAnsi="Verdana"/>
          <w:b w:val="0"/>
          <w:sz w:val="20"/>
          <w:u w:val="none"/>
        </w:rPr>
        <w:t>may</w:t>
      </w:r>
      <w:r w:rsidRPr="0011449B">
        <w:rPr>
          <w:rStyle w:val="Heading2Char1"/>
          <w:rFonts w:ascii="Verdana" w:hAnsi="Verdana"/>
          <w:b w:val="0"/>
          <w:sz w:val="20"/>
          <w:u w:val="none"/>
        </w:rPr>
        <w:t xml:space="preserve"> be required in the performance of the duties listed herein. </w:t>
      </w:r>
      <w:r w:rsidR="00587B16" w:rsidRPr="0011449B">
        <w:rPr>
          <w:rStyle w:val="Heading2Char1"/>
          <w:rFonts w:ascii="Verdana" w:hAnsi="Verdana"/>
          <w:b w:val="0"/>
          <w:sz w:val="20"/>
          <w:u w:val="none"/>
        </w:rPr>
        <w:t>T</w:t>
      </w:r>
      <w:r w:rsidRPr="0011449B">
        <w:rPr>
          <w:rStyle w:val="Heading2Char1"/>
          <w:rFonts w:ascii="Verdana" w:hAnsi="Verdana"/>
          <w:b w:val="0"/>
          <w:sz w:val="20"/>
          <w:u w:val="none"/>
        </w:rPr>
        <w:t xml:space="preserve">ravel </w:t>
      </w:r>
      <w:r w:rsidR="006D7F69" w:rsidRPr="0011449B">
        <w:rPr>
          <w:rStyle w:val="Heading2Char1"/>
          <w:rFonts w:ascii="Verdana" w:hAnsi="Verdana"/>
          <w:b w:val="0"/>
          <w:sz w:val="20"/>
          <w:u w:val="none"/>
        </w:rPr>
        <w:t>may include, but not be limit</w:t>
      </w:r>
      <w:r w:rsidR="006D7F69" w:rsidRPr="0011449B">
        <w:rPr>
          <w:rStyle w:val="Heading2Char1"/>
          <w:rFonts w:ascii="Verdana" w:hAnsi="Verdana"/>
          <w:b w:val="0"/>
          <w:bCs/>
          <w:sz w:val="20"/>
          <w:u w:val="none"/>
        </w:rPr>
        <w:t>e</w:t>
      </w:r>
      <w:r w:rsidR="006D7F69" w:rsidRPr="0011449B">
        <w:rPr>
          <w:rStyle w:val="Heading2Char1"/>
          <w:rFonts w:ascii="Verdana" w:hAnsi="Verdana"/>
          <w:b w:val="0"/>
          <w:sz w:val="20"/>
          <w:u w:val="none"/>
        </w:rPr>
        <w:t>d to</w:t>
      </w:r>
      <w:r w:rsidR="008F0B24" w:rsidRPr="0011449B">
        <w:rPr>
          <w:rStyle w:val="Heading2Char1"/>
          <w:rFonts w:ascii="Verdana" w:hAnsi="Verdana"/>
          <w:b w:val="0"/>
          <w:sz w:val="20"/>
          <w:u w:val="none"/>
        </w:rPr>
        <w:t xml:space="preserve"> CONUS</w:t>
      </w:r>
      <w:r w:rsidRPr="0011449B">
        <w:rPr>
          <w:rStyle w:val="Heading2Char1"/>
          <w:rFonts w:ascii="Verdana" w:hAnsi="Verdana"/>
          <w:b w:val="0"/>
          <w:color w:val="FF0000"/>
          <w:sz w:val="20"/>
          <w:u w:val="none"/>
        </w:rPr>
        <w:t>.</w:t>
      </w:r>
    </w:p>
    <w:p w14:paraId="08A49F9D" w14:textId="77777777" w:rsidR="00C200B6" w:rsidRPr="0011449B" w:rsidRDefault="00C200B6" w:rsidP="00C200B6">
      <w:pPr>
        <w:pStyle w:val="ListParagraph"/>
        <w:rPr>
          <w:rStyle w:val="Heading2Char1"/>
          <w:rFonts w:ascii="Verdana" w:hAnsi="Verdana"/>
          <w:sz w:val="20"/>
          <w:u w:val="none"/>
        </w:rPr>
      </w:pPr>
    </w:p>
    <w:p w14:paraId="08A49F9E" w14:textId="77777777" w:rsidR="00C200B6" w:rsidRPr="0011449B" w:rsidRDefault="00C200B6" w:rsidP="00C200B6">
      <w:pPr>
        <w:ind w:left="720"/>
        <w:rPr>
          <w:rStyle w:val="Heading2Char1"/>
          <w:rFonts w:ascii="Verdana" w:hAnsi="Verdana"/>
          <w:b w:val="0"/>
          <w:sz w:val="20"/>
          <w:u w:val="none"/>
        </w:rPr>
      </w:pPr>
      <w:r w:rsidRPr="0011449B">
        <w:rPr>
          <w:rStyle w:val="Heading2Char1"/>
          <w:rFonts w:ascii="Verdana" w:hAnsi="Verdana"/>
          <w:b w:val="0"/>
          <w:sz w:val="20"/>
          <w:u w:val="none"/>
        </w:rPr>
        <w:t>Foreign travel shall require the DOE facility management contractor to obtain the DHS S&amp;T Technical Representative’s approval and</w:t>
      </w:r>
      <w:r w:rsidR="00141238" w:rsidRPr="0011449B">
        <w:rPr>
          <w:rStyle w:val="Heading2Char1"/>
          <w:rFonts w:ascii="Verdana" w:hAnsi="Verdana"/>
          <w:b w:val="0"/>
          <w:sz w:val="20"/>
          <w:u w:val="none"/>
        </w:rPr>
        <w:t xml:space="preserve"> </w:t>
      </w:r>
      <w:proofErr w:type="gramStart"/>
      <w:r w:rsidR="00141238" w:rsidRPr="0011449B">
        <w:rPr>
          <w:rStyle w:val="Heading2Char1"/>
          <w:rFonts w:ascii="Verdana" w:hAnsi="Verdana"/>
          <w:b w:val="0"/>
          <w:sz w:val="20"/>
          <w:u w:val="none"/>
        </w:rPr>
        <w:t>an approved DHS S&amp;T Foreign Travel Report 30 days</w:t>
      </w:r>
      <w:proofErr w:type="gramEnd"/>
      <w:r w:rsidR="00141238" w:rsidRPr="0011449B">
        <w:rPr>
          <w:rStyle w:val="Heading2Char1"/>
          <w:rFonts w:ascii="Verdana" w:hAnsi="Verdana"/>
          <w:b w:val="0"/>
          <w:sz w:val="20"/>
          <w:u w:val="none"/>
        </w:rPr>
        <w:t xml:space="preserve"> in advance of the travel</w:t>
      </w:r>
      <w:r w:rsidR="00676D50" w:rsidRPr="0011449B">
        <w:rPr>
          <w:rStyle w:val="Heading2Char1"/>
          <w:rFonts w:ascii="Verdana" w:hAnsi="Verdana"/>
          <w:b w:val="0"/>
          <w:sz w:val="20"/>
          <w:u w:val="none"/>
        </w:rPr>
        <w:t xml:space="preserve">. </w:t>
      </w:r>
      <w:r w:rsidR="00141238" w:rsidRPr="0011449B">
        <w:rPr>
          <w:rStyle w:val="Heading2Char1"/>
          <w:rFonts w:ascii="Verdana" w:hAnsi="Verdana"/>
          <w:b w:val="0"/>
          <w:sz w:val="20"/>
          <w:u w:val="none"/>
        </w:rPr>
        <w:t xml:space="preserve"> Foreign travel will be consistent with DOE Order 551C.</w:t>
      </w:r>
    </w:p>
    <w:p w14:paraId="08A49F9F" w14:textId="77777777" w:rsidR="001E1068" w:rsidRPr="0011449B" w:rsidRDefault="001E1068" w:rsidP="001E1068">
      <w:pPr>
        <w:pStyle w:val="ListParagraph"/>
        <w:rPr>
          <w:rStyle w:val="Heading2Char1"/>
          <w:rFonts w:ascii="Verdana" w:hAnsi="Verdana"/>
          <w:sz w:val="20"/>
          <w:u w:val="none"/>
        </w:rPr>
      </w:pPr>
    </w:p>
    <w:p w14:paraId="08A49FA0" w14:textId="77777777" w:rsidR="004F5F78" w:rsidRPr="0011449B" w:rsidRDefault="004F5F78" w:rsidP="001E1068">
      <w:pPr>
        <w:numPr>
          <w:ilvl w:val="0"/>
          <w:numId w:val="3"/>
        </w:numPr>
        <w:rPr>
          <w:rFonts w:ascii="Verdana" w:hAnsi="Verdana"/>
          <w:b/>
          <w:sz w:val="20"/>
        </w:rPr>
      </w:pPr>
      <w:r w:rsidRPr="0011449B">
        <w:rPr>
          <w:rFonts w:ascii="Verdana" w:hAnsi="Verdana"/>
          <w:b/>
          <w:sz w:val="20"/>
        </w:rPr>
        <w:t>DHS-Furnished Information</w:t>
      </w:r>
      <w:r w:rsidR="00834D19" w:rsidRPr="0011449B">
        <w:rPr>
          <w:rFonts w:ascii="Verdana" w:hAnsi="Verdana"/>
          <w:b/>
          <w:sz w:val="20"/>
        </w:rPr>
        <w:t xml:space="preserve"> and Property</w:t>
      </w:r>
      <w:r w:rsidR="00512E0C" w:rsidRPr="0011449B">
        <w:rPr>
          <w:rFonts w:ascii="Verdana" w:hAnsi="Verdana"/>
          <w:b/>
          <w:sz w:val="20"/>
        </w:rPr>
        <w:t xml:space="preserve">.  </w:t>
      </w:r>
    </w:p>
    <w:p w14:paraId="08A49FA3" w14:textId="01AC9B5F" w:rsidR="008C031B" w:rsidRPr="0011449B" w:rsidRDefault="004F5F78" w:rsidP="008F0B24">
      <w:pPr>
        <w:tabs>
          <w:tab w:val="num" w:pos="1530"/>
        </w:tabs>
        <w:ind w:left="720"/>
        <w:rPr>
          <w:rFonts w:ascii="Verdana" w:hAnsi="Verdana"/>
          <w:sz w:val="20"/>
        </w:rPr>
      </w:pPr>
      <w:r w:rsidRPr="0011449B">
        <w:rPr>
          <w:rFonts w:ascii="Verdana" w:hAnsi="Verdana"/>
          <w:sz w:val="20"/>
        </w:rPr>
        <w:t xml:space="preserve">DHS </w:t>
      </w:r>
      <w:r w:rsidR="00B019BE" w:rsidRPr="0011449B">
        <w:rPr>
          <w:rFonts w:ascii="Verdana" w:hAnsi="Verdana"/>
          <w:sz w:val="20"/>
        </w:rPr>
        <w:t>furnished information and property, if any, shall be</w:t>
      </w:r>
      <w:r w:rsidR="00B019BE" w:rsidRPr="0011449B">
        <w:rPr>
          <w:rFonts w:ascii="Verdana" w:hAnsi="Verdana"/>
          <w:color w:val="FF0000"/>
          <w:sz w:val="20"/>
        </w:rPr>
        <w:t xml:space="preserve"> </w:t>
      </w:r>
      <w:r w:rsidR="00B019BE" w:rsidRPr="0011449B">
        <w:rPr>
          <w:rFonts w:ascii="Verdana" w:hAnsi="Verdana"/>
          <w:sz w:val="20"/>
        </w:rPr>
        <w:t>provided in a numbered attachment to t</w:t>
      </w:r>
      <w:r w:rsidR="00B019BE" w:rsidRPr="0011449B">
        <w:rPr>
          <w:rFonts w:ascii="Verdana" w:hAnsi="Verdana"/>
          <w:bCs/>
          <w:sz w:val="20"/>
        </w:rPr>
        <w:t>h</w:t>
      </w:r>
      <w:r w:rsidR="00B019BE" w:rsidRPr="0011449B">
        <w:rPr>
          <w:rFonts w:ascii="Verdana" w:hAnsi="Verdana"/>
          <w:sz w:val="20"/>
        </w:rPr>
        <w:t>is SOW and listed in Section VII</w:t>
      </w:r>
      <w:r w:rsidR="00460D7F" w:rsidRPr="0011449B">
        <w:rPr>
          <w:rFonts w:ascii="Verdana" w:hAnsi="Verdana"/>
          <w:sz w:val="20"/>
        </w:rPr>
        <w:t>I</w:t>
      </w:r>
      <w:r w:rsidR="00B019BE" w:rsidRPr="0011449B">
        <w:rPr>
          <w:rFonts w:ascii="Verdana" w:hAnsi="Verdana"/>
          <w:sz w:val="20"/>
        </w:rPr>
        <w:t>,</w:t>
      </w:r>
      <w:r w:rsidR="00B019BE" w:rsidRPr="0011449B">
        <w:rPr>
          <w:rFonts w:ascii="Verdana" w:hAnsi="Verdana"/>
          <w:color w:val="FF0000"/>
          <w:sz w:val="20"/>
        </w:rPr>
        <w:t xml:space="preserve"> </w:t>
      </w:r>
      <w:r w:rsidR="00B019BE" w:rsidRPr="0011449B">
        <w:rPr>
          <w:rFonts w:ascii="Verdana" w:hAnsi="Verdana"/>
          <w:sz w:val="20"/>
        </w:rPr>
        <w:t>Applicable Documents.</w:t>
      </w:r>
      <w:r w:rsidR="008F0B24" w:rsidRPr="0011449B">
        <w:rPr>
          <w:rFonts w:ascii="Verdana" w:hAnsi="Verdana"/>
          <w:sz w:val="20"/>
        </w:rPr>
        <w:t xml:space="preserve"> Upon completion of this IAA, the property will be disposed of consistent with the guidance provided by, or advice of, the DHS Contracting Officer.</w:t>
      </w:r>
    </w:p>
    <w:p w14:paraId="7A8955C7" w14:textId="77777777" w:rsidR="008F0B24" w:rsidRPr="0011449B" w:rsidRDefault="008F0B24" w:rsidP="008F0B24">
      <w:pPr>
        <w:tabs>
          <w:tab w:val="num" w:pos="1530"/>
        </w:tabs>
        <w:ind w:left="720"/>
        <w:rPr>
          <w:rFonts w:ascii="Verdana" w:hAnsi="Verdana"/>
          <w:sz w:val="20"/>
        </w:rPr>
      </w:pPr>
    </w:p>
    <w:p w14:paraId="08A49FA4" w14:textId="77777777" w:rsidR="008C031B" w:rsidRPr="0011449B" w:rsidRDefault="008C031B" w:rsidP="008C031B">
      <w:pPr>
        <w:numPr>
          <w:ilvl w:val="0"/>
          <w:numId w:val="3"/>
        </w:numPr>
        <w:rPr>
          <w:rFonts w:ascii="Verdana" w:hAnsi="Verdana"/>
          <w:b/>
          <w:sz w:val="20"/>
        </w:rPr>
      </w:pPr>
      <w:r w:rsidRPr="0011449B">
        <w:rPr>
          <w:rFonts w:ascii="Verdana" w:hAnsi="Verdana"/>
          <w:b/>
          <w:sz w:val="20"/>
        </w:rPr>
        <w:t xml:space="preserve">Property Acquired by the Servicing Agency </w:t>
      </w:r>
      <w:proofErr w:type="gramStart"/>
      <w:r w:rsidRPr="0011449B">
        <w:rPr>
          <w:rFonts w:ascii="Verdana" w:hAnsi="Verdana"/>
          <w:b/>
          <w:sz w:val="20"/>
        </w:rPr>
        <w:t>Under</w:t>
      </w:r>
      <w:proofErr w:type="gramEnd"/>
      <w:r w:rsidRPr="0011449B">
        <w:rPr>
          <w:rFonts w:ascii="Verdana" w:hAnsi="Verdana"/>
          <w:b/>
          <w:sz w:val="20"/>
        </w:rPr>
        <w:t xml:space="preserve"> </w:t>
      </w:r>
      <w:r w:rsidR="005445D9" w:rsidRPr="0011449B">
        <w:rPr>
          <w:rFonts w:ascii="Verdana" w:hAnsi="Verdana"/>
          <w:b/>
          <w:sz w:val="20"/>
        </w:rPr>
        <w:t>T</w:t>
      </w:r>
      <w:r w:rsidRPr="0011449B">
        <w:rPr>
          <w:rFonts w:ascii="Verdana" w:hAnsi="Verdana"/>
          <w:b/>
          <w:sz w:val="20"/>
        </w:rPr>
        <w:t xml:space="preserve">his Interagency Agreement.  </w:t>
      </w:r>
    </w:p>
    <w:p w14:paraId="08A49FA5" w14:textId="77777777" w:rsidR="008C031B" w:rsidRPr="0011449B" w:rsidRDefault="008C031B" w:rsidP="008C031B">
      <w:pPr>
        <w:ind w:left="720"/>
        <w:rPr>
          <w:rFonts w:ascii="Verdana" w:hAnsi="Verdana"/>
          <w:b/>
          <w:sz w:val="20"/>
        </w:rPr>
      </w:pPr>
    </w:p>
    <w:p w14:paraId="08A49FA6" w14:textId="206498F7" w:rsidR="008C031B" w:rsidRPr="0011449B" w:rsidRDefault="008C031B" w:rsidP="001E1068">
      <w:pPr>
        <w:tabs>
          <w:tab w:val="num" w:pos="1530"/>
        </w:tabs>
        <w:ind w:left="720"/>
        <w:rPr>
          <w:rFonts w:ascii="Verdana" w:hAnsi="Verdana"/>
          <w:sz w:val="20"/>
        </w:rPr>
      </w:pPr>
      <w:r w:rsidRPr="0011449B">
        <w:rPr>
          <w:rFonts w:ascii="Verdana" w:hAnsi="Verdana"/>
          <w:sz w:val="20"/>
        </w:rPr>
        <w:t>Any item(s) of property in excess of $5000 in value if any,</w:t>
      </w:r>
      <w:r w:rsidR="005445D9" w:rsidRPr="0011449B">
        <w:rPr>
          <w:rFonts w:ascii="Verdana" w:hAnsi="Verdana"/>
          <w:sz w:val="20"/>
        </w:rPr>
        <w:t xml:space="preserve"> acquired by the Servicing Agency or its facility management contractor under this interagency agreement, </w:t>
      </w:r>
      <w:r w:rsidRPr="0011449B">
        <w:rPr>
          <w:rFonts w:ascii="Verdana" w:hAnsi="Verdana"/>
          <w:sz w:val="20"/>
        </w:rPr>
        <w:t>shall be</w:t>
      </w:r>
      <w:r w:rsidRPr="0011449B">
        <w:rPr>
          <w:rFonts w:ascii="Verdana" w:hAnsi="Verdana"/>
          <w:color w:val="FF0000"/>
          <w:sz w:val="20"/>
        </w:rPr>
        <w:t xml:space="preserve"> </w:t>
      </w:r>
      <w:r w:rsidR="005445D9" w:rsidRPr="0011449B">
        <w:rPr>
          <w:rFonts w:ascii="Verdana" w:hAnsi="Verdana"/>
          <w:sz w:val="20"/>
        </w:rPr>
        <w:t>identified</w:t>
      </w:r>
      <w:r w:rsidR="005445D9" w:rsidRPr="0011449B">
        <w:rPr>
          <w:rFonts w:ascii="Verdana" w:hAnsi="Verdana"/>
          <w:color w:val="FF0000"/>
          <w:sz w:val="20"/>
        </w:rPr>
        <w:t xml:space="preserve"> </w:t>
      </w:r>
      <w:r w:rsidRPr="0011449B">
        <w:rPr>
          <w:rFonts w:ascii="Verdana" w:hAnsi="Verdana"/>
          <w:sz w:val="20"/>
        </w:rPr>
        <w:t>in a numbered attachment to t</w:t>
      </w:r>
      <w:r w:rsidRPr="0011449B">
        <w:rPr>
          <w:rFonts w:ascii="Verdana" w:hAnsi="Verdana"/>
          <w:bCs/>
          <w:sz w:val="20"/>
        </w:rPr>
        <w:t>h</w:t>
      </w:r>
      <w:r w:rsidRPr="0011449B">
        <w:rPr>
          <w:rFonts w:ascii="Verdana" w:hAnsi="Verdana"/>
          <w:sz w:val="20"/>
        </w:rPr>
        <w:t>is SOW and listed in Section VIII,</w:t>
      </w:r>
      <w:r w:rsidRPr="0011449B">
        <w:rPr>
          <w:rFonts w:ascii="Verdana" w:hAnsi="Verdana"/>
          <w:color w:val="FF0000"/>
          <w:sz w:val="20"/>
        </w:rPr>
        <w:t xml:space="preserve"> </w:t>
      </w:r>
      <w:r w:rsidRPr="0011449B">
        <w:rPr>
          <w:rFonts w:ascii="Verdana" w:hAnsi="Verdana"/>
          <w:sz w:val="20"/>
        </w:rPr>
        <w:t>Applicable Documents</w:t>
      </w:r>
      <w:r w:rsidR="00DB0D5E" w:rsidRPr="0011449B">
        <w:rPr>
          <w:rFonts w:ascii="Verdana" w:hAnsi="Verdana"/>
          <w:sz w:val="20"/>
        </w:rPr>
        <w:t>.</w:t>
      </w:r>
    </w:p>
    <w:p w14:paraId="08A49FA7" w14:textId="77777777" w:rsidR="001A3CF9" w:rsidRPr="0011449B" w:rsidRDefault="001A3CF9" w:rsidP="001E1068">
      <w:pPr>
        <w:tabs>
          <w:tab w:val="num" w:pos="1530"/>
        </w:tabs>
        <w:ind w:left="720"/>
        <w:rPr>
          <w:rFonts w:ascii="Verdana" w:hAnsi="Verdana"/>
          <w:sz w:val="20"/>
        </w:rPr>
      </w:pPr>
    </w:p>
    <w:p w14:paraId="08A49FA8" w14:textId="342239BF" w:rsidR="001A3CF9" w:rsidRPr="0011449B" w:rsidRDefault="001A3CF9" w:rsidP="001E1068">
      <w:pPr>
        <w:numPr>
          <w:ilvl w:val="0"/>
          <w:numId w:val="3"/>
        </w:numPr>
        <w:jc w:val="both"/>
        <w:rPr>
          <w:rFonts w:ascii="Verdana" w:hAnsi="Verdana"/>
          <w:i/>
          <w:color w:val="FF0000"/>
          <w:sz w:val="20"/>
        </w:rPr>
      </w:pPr>
      <w:r w:rsidRPr="0011449B">
        <w:rPr>
          <w:rFonts w:ascii="Verdana" w:hAnsi="Verdana"/>
          <w:b/>
          <w:sz w:val="20"/>
        </w:rPr>
        <w:t>Place(s) of Performance.</w:t>
      </w:r>
      <w:r w:rsidRPr="0011449B">
        <w:rPr>
          <w:rFonts w:ascii="Verdana" w:hAnsi="Verdana"/>
          <w:sz w:val="20"/>
        </w:rPr>
        <w:t xml:space="preserve"> </w:t>
      </w:r>
      <w:r w:rsidR="008F0B24" w:rsidRPr="0011449B">
        <w:rPr>
          <w:rFonts w:ascii="Verdana" w:hAnsi="Verdana"/>
          <w:i/>
          <w:sz w:val="20"/>
        </w:rPr>
        <w:t xml:space="preserve">DOE </w:t>
      </w:r>
      <w:r w:rsidRPr="0011449B">
        <w:rPr>
          <w:rFonts w:ascii="Verdana" w:hAnsi="Verdana"/>
          <w:sz w:val="20"/>
        </w:rPr>
        <w:t>will perform the work under this SOW at</w:t>
      </w:r>
      <w:r w:rsidRPr="0011449B">
        <w:rPr>
          <w:rFonts w:ascii="Verdana" w:hAnsi="Verdana"/>
          <w:i/>
          <w:color w:val="FF0000"/>
          <w:sz w:val="20"/>
        </w:rPr>
        <w:t xml:space="preserve"> </w:t>
      </w:r>
      <w:r w:rsidR="00DB0D5E" w:rsidRPr="0011449B">
        <w:rPr>
          <w:rFonts w:ascii="Verdana" w:hAnsi="Verdana"/>
          <w:i/>
          <w:sz w:val="20"/>
        </w:rPr>
        <w:t xml:space="preserve">Livermore, CA </w:t>
      </w:r>
      <w:r w:rsidR="00DB0D5E" w:rsidRPr="0011449B">
        <w:rPr>
          <w:rFonts w:ascii="Verdana" w:hAnsi="Verdana"/>
          <w:sz w:val="20"/>
        </w:rPr>
        <w:t xml:space="preserve">and at other sites as determined by the DHS S&amp;T </w:t>
      </w:r>
      <w:r w:rsidR="0011449B">
        <w:rPr>
          <w:rFonts w:ascii="Verdana" w:hAnsi="Verdana"/>
          <w:sz w:val="20"/>
        </w:rPr>
        <w:t>COR</w:t>
      </w:r>
      <w:r w:rsidR="00DB0D5E" w:rsidRPr="0011449B">
        <w:rPr>
          <w:rFonts w:ascii="Verdana" w:hAnsi="Verdana"/>
          <w:sz w:val="20"/>
        </w:rPr>
        <w:t>.</w:t>
      </w:r>
    </w:p>
    <w:p w14:paraId="08A49FA9" w14:textId="77777777" w:rsidR="001A3CF9" w:rsidRPr="0011449B" w:rsidRDefault="001A3CF9" w:rsidP="001A3CF9">
      <w:pPr>
        <w:ind w:left="720"/>
        <w:jc w:val="both"/>
        <w:rPr>
          <w:rFonts w:ascii="Verdana" w:hAnsi="Verdana"/>
          <w:sz w:val="20"/>
        </w:rPr>
      </w:pPr>
    </w:p>
    <w:p w14:paraId="08A49FAA" w14:textId="77777777" w:rsidR="00B112F2" w:rsidRPr="0011449B" w:rsidRDefault="00B112F2" w:rsidP="001E1068">
      <w:pPr>
        <w:numPr>
          <w:ilvl w:val="0"/>
          <w:numId w:val="3"/>
        </w:numPr>
        <w:jc w:val="both"/>
        <w:rPr>
          <w:rFonts w:ascii="Verdana" w:hAnsi="Verdana"/>
          <w:sz w:val="20"/>
        </w:rPr>
      </w:pPr>
      <w:r w:rsidRPr="0011449B">
        <w:rPr>
          <w:rFonts w:ascii="Verdana" w:hAnsi="Verdana"/>
          <w:b/>
          <w:sz w:val="20"/>
        </w:rPr>
        <w:t xml:space="preserve">Program Status Report.  </w:t>
      </w:r>
      <w:r w:rsidRPr="0011449B">
        <w:rPr>
          <w:rFonts w:ascii="Verdana" w:hAnsi="Verdana"/>
          <w:sz w:val="20"/>
        </w:rPr>
        <w:t>DOE</w:t>
      </w:r>
      <w:r w:rsidRPr="0011449B">
        <w:rPr>
          <w:rFonts w:ascii="Verdana" w:hAnsi="Verdana" w:cs="Arial"/>
          <w:i/>
          <w:sz w:val="20"/>
        </w:rPr>
        <w:t xml:space="preserve"> </w:t>
      </w:r>
      <w:r w:rsidRPr="0011449B">
        <w:rPr>
          <w:rFonts w:ascii="Verdana" w:hAnsi="Verdana"/>
          <w:sz w:val="20"/>
        </w:rPr>
        <w:t xml:space="preserve">shall deliver a monthly status report, in accordance with </w:t>
      </w:r>
      <w:r w:rsidR="00A46B45" w:rsidRPr="0011449B">
        <w:rPr>
          <w:rFonts w:ascii="Verdana" w:hAnsi="Verdana"/>
          <w:sz w:val="20"/>
        </w:rPr>
        <w:t xml:space="preserve">Section </w:t>
      </w:r>
      <w:r w:rsidRPr="0011449B">
        <w:rPr>
          <w:rFonts w:ascii="Verdana" w:hAnsi="Verdana"/>
          <w:sz w:val="20"/>
        </w:rPr>
        <w:t>1</w:t>
      </w:r>
      <w:r w:rsidRPr="0011449B">
        <w:rPr>
          <w:rFonts w:ascii="Verdana" w:hAnsi="Verdana" w:cs="Arial"/>
          <w:sz w:val="20"/>
        </w:rPr>
        <w:t xml:space="preserve">0.a. of the attached </w:t>
      </w:r>
      <w:r w:rsidR="00B019BE" w:rsidRPr="0011449B">
        <w:rPr>
          <w:rFonts w:ascii="Verdana" w:hAnsi="Verdana" w:cs="Arial"/>
          <w:sz w:val="20"/>
        </w:rPr>
        <w:t xml:space="preserve">Standard </w:t>
      </w:r>
      <w:r w:rsidRPr="0011449B">
        <w:rPr>
          <w:rFonts w:ascii="Verdana" w:hAnsi="Verdana" w:cs="Arial"/>
          <w:sz w:val="20"/>
        </w:rPr>
        <w:t>Terms and Conditions</w:t>
      </w:r>
      <w:r w:rsidR="00227140" w:rsidRPr="0011449B">
        <w:rPr>
          <w:rFonts w:ascii="Verdana" w:hAnsi="Verdana" w:cs="Arial"/>
          <w:sz w:val="20"/>
        </w:rPr>
        <w:t>,</w:t>
      </w:r>
      <w:r w:rsidRPr="0011449B">
        <w:rPr>
          <w:rFonts w:ascii="Verdana" w:hAnsi="Verdana" w:cs="Arial"/>
          <w:sz w:val="20"/>
        </w:rPr>
        <w:t xml:space="preserve"> due within </w:t>
      </w:r>
      <w:r w:rsidR="00227140" w:rsidRPr="0011449B">
        <w:rPr>
          <w:rFonts w:ascii="Verdana" w:hAnsi="Verdana" w:cs="Arial"/>
          <w:sz w:val="20"/>
        </w:rPr>
        <w:t xml:space="preserve">ten </w:t>
      </w:r>
      <w:r w:rsidR="00227140" w:rsidRPr="0011449B">
        <w:rPr>
          <w:rFonts w:ascii="Verdana" w:hAnsi="Verdana"/>
          <w:b/>
          <w:sz w:val="20"/>
        </w:rPr>
        <w:t>(</w:t>
      </w:r>
      <w:r w:rsidR="00227140" w:rsidRPr="0011449B">
        <w:rPr>
          <w:rFonts w:ascii="Verdana" w:hAnsi="Verdana"/>
          <w:sz w:val="20"/>
        </w:rPr>
        <w:t xml:space="preserve">10) business </w:t>
      </w:r>
      <w:r w:rsidRPr="0011449B">
        <w:rPr>
          <w:rFonts w:ascii="Verdana" w:hAnsi="Verdana"/>
          <w:sz w:val="20"/>
        </w:rPr>
        <w:t xml:space="preserve">days of the end of each month. </w:t>
      </w:r>
    </w:p>
    <w:p w14:paraId="08A49FAB" w14:textId="77777777" w:rsidR="00844E0D" w:rsidRPr="0011449B" w:rsidRDefault="004F5F78" w:rsidP="009007F1">
      <w:pPr>
        <w:numPr>
          <w:ilvl w:val="0"/>
          <w:numId w:val="3"/>
        </w:numPr>
        <w:spacing w:before="120"/>
        <w:rPr>
          <w:rFonts w:ascii="Verdana" w:hAnsi="Verdana"/>
          <w:sz w:val="20"/>
        </w:rPr>
      </w:pPr>
      <w:r w:rsidRPr="0011449B">
        <w:rPr>
          <w:rFonts w:ascii="Verdana" w:hAnsi="Verdana"/>
          <w:b/>
          <w:sz w:val="20"/>
        </w:rPr>
        <w:t>Deliverables</w:t>
      </w:r>
      <w:r w:rsidRPr="0011449B">
        <w:rPr>
          <w:rFonts w:ascii="Verdana" w:hAnsi="Verdana"/>
          <w:sz w:val="20"/>
        </w:rPr>
        <w:t xml:space="preserve">.  </w:t>
      </w:r>
      <w:r w:rsidR="000F7882" w:rsidRPr="0011449B">
        <w:rPr>
          <w:rFonts w:ascii="Verdana" w:hAnsi="Verdana"/>
          <w:sz w:val="20"/>
        </w:rPr>
        <w:t>DOE</w:t>
      </w:r>
      <w:r w:rsidR="00226A2A" w:rsidRPr="0011449B">
        <w:rPr>
          <w:rFonts w:ascii="Verdana" w:hAnsi="Verdana"/>
          <w:sz w:val="20"/>
        </w:rPr>
        <w:t xml:space="preserve"> </w:t>
      </w:r>
      <w:r w:rsidR="008B4A2B" w:rsidRPr="0011449B">
        <w:rPr>
          <w:rFonts w:ascii="Verdana" w:hAnsi="Verdana"/>
          <w:sz w:val="20"/>
        </w:rPr>
        <w:t>wi</w:t>
      </w:r>
      <w:r w:rsidRPr="0011449B">
        <w:rPr>
          <w:rFonts w:ascii="Verdana" w:hAnsi="Verdana"/>
          <w:sz w:val="20"/>
        </w:rPr>
        <w:t xml:space="preserve">ll provide all deliverables identified in this SOW </w:t>
      </w:r>
      <w:r w:rsidR="00844E0D" w:rsidRPr="0011449B">
        <w:rPr>
          <w:rFonts w:ascii="Verdana" w:hAnsi="Verdana"/>
          <w:sz w:val="20"/>
        </w:rPr>
        <w:t xml:space="preserve">to the Government in accordance with </w:t>
      </w:r>
      <w:r w:rsidR="00A46B45" w:rsidRPr="0011449B">
        <w:rPr>
          <w:rFonts w:ascii="Verdana" w:hAnsi="Verdana"/>
          <w:sz w:val="20"/>
        </w:rPr>
        <w:t xml:space="preserve">Section </w:t>
      </w:r>
      <w:r w:rsidR="00844E0D" w:rsidRPr="0011449B">
        <w:rPr>
          <w:rFonts w:ascii="Verdana" w:hAnsi="Verdana"/>
          <w:sz w:val="20"/>
        </w:rPr>
        <w:t>10</w:t>
      </w:r>
      <w:r w:rsidR="000F7882" w:rsidRPr="0011449B">
        <w:rPr>
          <w:rFonts w:ascii="Verdana" w:hAnsi="Verdana"/>
          <w:sz w:val="20"/>
        </w:rPr>
        <w:t>.b.</w:t>
      </w:r>
      <w:r w:rsidR="00844E0D" w:rsidRPr="0011449B">
        <w:rPr>
          <w:rFonts w:ascii="Verdana" w:hAnsi="Verdana"/>
          <w:sz w:val="20"/>
        </w:rPr>
        <w:t xml:space="preserve"> of the attached </w:t>
      </w:r>
      <w:r w:rsidR="00A46B45" w:rsidRPr="0011449B">
        <w:rPr>
          <w:rFonts w:ascii="Verdana" w:hAnsi="Verdana"/>
          <w:sz w:val="20"/>
        </w:rPr>
        <w:t>Standard</w:t>
      </w:r>
      <w:r w:rsidR="001D4011" w:rsidRPr="0011449B">
        <w:rPr>
          <w:rFonts w:ascii="Verdana" w:hAnsi="Verdana"/>
          <w:sz w:val="20"/>
        </w:rPr>
        <w:t xml:space="preserve"> </w:t>
      </w:r>
      <w:r w:rsidR="00844E0D" w:rsidRPr="0011449B">
        <w:rPr>
          <w:rFonts w:ascii="Verdana" w:hAnsi="Verdana"/>
          <w:sz w:val="20"/>
        </w:rPr>
        <w:t>T</w:t>
      </w:r>
      <w:r w:rsidR="000F7882" w:rsidRPr="0011449B">
        <w:rPr>
          <w:rFonts w:ascii="Verdana" w:hAnsi="Verdana"/>
          <w:sz w:val="20"/>
        </w:rPr>
        <w:t>erms and Conditions.</w:t>
      </w:r>
    </w:p>
    <w:p w14:paraId="08A49FAC" w14:textId="77777777" w:rsidR="00512E0C" w:rsidRPr="0011449B" w:rsidRDefault="00B45803" w:rsidP="009007F1">
      <w:pPr>
        <w:numPr>
          <w:ilvl w:val="0"/>
          <w:numId w:val="3"/>
        </w:numPr>
        <w:tabs>
          <w:tab w:val="clear" w:pos="720"/>
          <w:tab w:val="num" w:pos="360"/>
        </w:tabs>
        <w:spacing w:before="120"/>
        <w:ind w:left="360" w:firstLine="0"/>
        <w:rPr>
          <w:rFonts w:ascii="Verdana" w:hAnsi="Verdana"/>
          <w:b/>
          <w:sz w:val="20"/>
        </w:rPr>
      </w:pPr>
      <w:r w:rsidRPr="0011449B">
        <w:rPr>
          <w:rFonts w:ascii="Verdana" w:hAnsi="Verdana"/>
          <w:b/>
          <w:sz w:val="20"/>
        </w:rPr>
        <w:lastRenderedPageBreak/>
        <w:t xml:space="preserve">Invoices. </w:t>
      </w:r>
      <w:r w:rsidRPr="0011449B">
        <w:rPr>
          <w:rFonts w:ascii="Verdana" w:hAnsi="Verdana"/>
          <w:sz w:val="20"/>
        </w:rPr>
        <w:t xml:space="preserve"> </w:t>
      </w:r>
      <w:r w:rsidR="00192D83" w:rsidRPr="0011449B">
        <w:rPr>
          <w:rFonts w:ascii="Verdana" w:hAnsi="Verdana"/>
          <w:sz w:val="20"/>
        </w:rPr>
        <w:t>DOE</w:t>
      </w:r>
      <w:r w:rsidR="00226A2A" w:rsidRPr="0011449B">
        <w:rPr>
          <w:rFonts w:ascii="Verdana" w:hAnsi="Verdana"/>
          <w:sz w:val="20"/>
        </w:rPr>
        <w:t xml:space="preserve"> </w:t>
      </w:r>
      <w:r w:rsidR="00040DF8" w:rsidRPr="0011449B">
        <w:rPr>
          <w:rFonts w:ascii="Verdana" w:hAnsi="Verdana"/>
          <w:sz w:val="20"/>
        </w:rPr>
        <w:t xml:space="preserve">will deliver a monthly invoice to </w:t>
      </w:r>
      <w:hyperlink r:id="rId12" w:history="1">
        <w:r w:rsidR="00512E0C" w:rsidRPr="0011449B">
          <w:rPr>
            <w:rStyle w:val="Hyperlink"/>
            <w:rFonts w:ascii="Verdana" w:hAnsi="Verdana"/>
            <w:color w:val="auto"/>
            <w:sz w:val="20"/>
          </w:rPr>
          <w:t>ST.Invoicing@hq.dhs.gov</w:t>
        </w:r>
      </w:hyperlink>
      <w:r w:rsidR="00512E0C" w:rsidRPr="0011449B">
        <w:rPr>
          <w:rFonts w:ascii="Verdana" w:hAnsi="Verdana"/>
          <w:sz w:val="20"/>
        </w:rPr>
        <w:t>,</w:t>
      </w:r>
      <w:r w:rsidR="009007F1" w:rsidRPr="0011449B">
        <w:rPr>
          <w:rFonts w:ascii="Verdana" w:hAnsi="Verdana"/>
          <w:sz w:val="20"/>
        </w:rPr>
        <w:t xml:space="preserve"> </w:t>
      </w:r>
    </w:p>
    <w:p w14:paraId="08A49FAD" w14:textId="77777777" w:rsidR="009007F1" w:rsidRPr="0011449B" w:rsidRDefault="00512E0C" w:rsidP="009007F1">
      <w:pPr>
        <w:ind w:left="360"/>
        <w:rPr>
          <w:rFonts w:ascii="Verdana" w:hAnsi="Verdana"/>
          <w:sz w:val="20"/>
        </w:rPr>
      </w:pPr>
      <w:r w:rsidRPr="0011449B">
        <w:rPr>
          <w:rFonts w:ascii="Verdana" w:hAnsi="Verdana"/>
          <w:sz w:val="20"/>
        </w:rPr>
        <w:t xml:space="preserve"> </w:t>
      </w:r>
      <w:r w:rsidR="009007F1" w:rsidRPr="0011449B">
        <w:rPr>
          <w:rFonts w:ascii="Verdana" w:hAnsi="Verdana"/>
          <w:b/>
          <w:sz w:val="20"/>
        </w:rPr>
        <w:t xml:space="preserve">    </w:t>
      </w:r>
      <w:proofErr w:type="gramStart"/>
      <w:r w:rsidR="009007F1" w:rsidRPr="0011449B">
        <w:rPr>
          <w:rFonts w:ascii="Verdana" w:hAnsi="Verdana"/>
          <w:sz w:val="20"/>
        </w:rPr>
        <w:t>con</w:t>
      </w:r>
      <w:r w:rsidR="00F561CD" w:rsidRPr="0011449B">
        <w:rPr>
          <w:rFonts w:ascii="Verdana" w:hAnsi="Verdana"/>
          <w:sz w:val="20"/>
        </w:rPr>
        <w:t>sistent</w:t>
      </w:r>
      <w:proofErr w:type="gramEnd"/>
      <w:r w:rsidR="00F561CD" w:rsidRPr="0011449B">
        <w:rPr>
          <w:rFonts w:ascii="Verdana" w:hAnsi="Verdana"/>
          <w:sz w:val="20"/>
        </w:rPr>
        <w:t xml:space="preserve"> with</w:t>
      </w:r>
      <w:r w:rsidR="00040DF8" w:rsidRPr="0011449B">
        <w:rPr>
          <w:rFonts w:ascii="Verdana" w:hAnsi="Verdana"/>
          <w:sz w:val="20"/>
        </w:rPr>
        <w:t xml:space="preserve"> </w:t>
      </w:r>
      <w:r w:rsidR="00F561CD" w:rsidRPr="0011449B">
        <w:rPr>
          <w:rFonts w:ascii="Verdana" w:hAnsi="Verdana"/>
          <w:sz w:val="20"/>
        </w:rPr>
        <w:t>DOE budget guidance and the monthly invoice schedule of the DOE</w:t>
      </w:r>
    </w:p>
    <w:p w14:paraId="08A49FAE" w14:textId="77777777" w:rsidR="00512E0C" w:rsidRPr="0011449B" w:rsidRDefault="009007F1" w:rsidP="009007F1">
      <w:pPr>
        <w:ind w:left="360"/>
        <w:rPr>
          <w:rFonts w:ascii="Verdana" w:hAnsi="Verdana"/>
          <w:sz w:val="20"/>
        </w:rPr>
      </w:pPr>
      <w:r w:rsidRPr="0011449B">
        <w:rPr>
          <w:rFonts w:ascii="Verdana" w:hAnsi="Verdana"/>
          <w:b/>
          <w:sz w:val="20"/>
        </w:rPr>
        <w:t xml:space="preserve">  </w:t>
      </w:r>
      <w:r w:rsidR="00F561CD" w:rsidRPr="0011449B">
        <w:rPr>
          <w:rFonts w:ascii="Verdana" w:hAnsi="Verdana"/>
          <w:sz w:val="20"/>
        </w:rPr>
        <w:t xml:space="preserve"> </w:t>
      </w:r>
      <w:r w:rsidR="00512E0C" w:rsidRPr="0011449B">
        <w:rPr>
          <w:rFonts w:ascii="Verdana" w:hAnsi="Verdana"/>
          <w:sz w:val="20"/>
        </w:rPr>
        <w:t xml:space="preserve"> </w:t>
      </w:r>
      <w:r w:rsidRPr="0011449B">
        <w:rPr>
          <w:rFonts w:ascii="Verdana" w:hAnsi="Verdana"/>
          <w:sz w:val="20"/>
        </w:rPr>
        <w:t xml:space="preserve"> </w:t>
      </w:r>
      <w:proofErr w:type="gramStart"/>
      <w:r w:rsidR="00F561CD" w:rsidRPr="0011449B">
        <w:rPr>
          <w:rFonts w:ascii="Verdana" w:hAnsi="Verdana"/>
          <w:sz w:val="20"/>
        </w:rPr>
        <w:t>facility</w:t>
      </w:r>
      <w:proofErr w:type="gramEnd"/>
      <w:r w:rsidR="00F561CD" w:rsidRPr="0011449B">
        <w:rPr>
          <w:rFonts w:ascii="Verdana" w:hAnsi="Verdana"/>
          <w:sz w:val="20"/>
        </w:rPr>
        <w:t xml:space="preserve"> management contractor.</w:t>
      </w:r>
    </w:p>
    <w:p w14:paraId="08A49FAF" w14:textId="77777777" w:rsidR="00C3383B" w:rsidRPr="0011449B" w:rsidRDefault="00C3383B" w:rsidP="009007F1">
      <w:pPr>
        <w:ind w:left="360"/>
        <w:rPr>
          <w:rFonts w:ascii="Verdana" w:hAnsi="Verdana"/>
          <w:sz w:val="20"/>
        </w:rPr>
      </w:pPr>
    </w:p>
    <w:p w14:paraId="08A49FB0" w14:textId="674E4905" w:rsidR="00731F10" w:rsidRPr="0011449B" w:rsidRDefault="00C3383B" w:rsidP="001E1068">
      <w:pPr>
        <w:pStyle w:val="ListParagraph"/>
        <w:numPr>
          <w:ilvl w:val="0"/>
          <w:numId w:val="3"/>
        </w:numPr>
        <w:spacing w:before="120" w:after="120"/>
        <w:rPr>
          <w:rFonts w:ascii="Verdana" w:hAnsi="Verdana"/>
          <w:b/>
        </w:rPr>
      </w:pPr>
      <w:r w:rsidRPr="0011449B">
        <w:rPr>
          <w:rFonts w:ascii="Verdana" w:hAnsi="Verdana"/>
          <w:b/>
        </w:rPr>
        <w:t xml:space="preserve">Security Requirements. </w:t>
      </w:r>
      <w:r w:rsidRPr="0011449B">
        <w:rPr>
          <w:rFonts w:ascii="Verdana" w:hAnsi="Verdana"/>
        </w:rPr>
        <w:t xml:space="preserve">The terms and conditions of </w:t>
      </w:r>
      <w:r w:rsidR="00A46B45" w:rsidRPr="0011449B">
        <w:rPr>
          <w:rFonts w:ascii="Verdana" w:hAnsi="Verdana"/>
        </w:rPr>
        <w:t>Section</w:t>
      </w:r>
      <w:r w:rsidRPr="0011449B">
        <w:rPr>
          <w:rFonts w:ascii="Verdana" w:hAnsi="Verdana"/>
        </w:rPr>
        <w:t xml:space="preserve">14 of the attached Standard Terms and Conditions shall govern “Security” under this IA. </w:t>
      </w:r>
      <w:r w:rsidRPr="0011449B">
        <w:rPr>
          <w:rFonts w:ascii="Verdana" w:hAnsi="Verdana"/>
          <w:b/>
        </w:rPr>
        <w:t xml:space="preserve"> </w:t>
      </w:r>
      <w:r w:rsidRPr="0011449B">
        <w:rPr>
          <w:rFonts w:ascii="Verdana" w:hAnsi="Verdana"/>
        </w:rPr>
        <w:t>All work performed under this SOW is unclassified unless otherwise noted below.</w:t>
      </w:r>
    </w:p>
    <w:p w14:paraId="08A49FB1" w14:textId="77777777" w:rsidR="000F10C7" w:rsidRPr="0011449B" w:rsidRDefault="000F10C7" w:rsidP="000F10C7">
      <w:pPr>
        <w:pStyle w:val="ListParagraph"/>
        <w:spacing w:before="120" w:after="120"/>
        <w:rPr>
          <w:rFonts w:ascii="Verdana" w:hAnsi="Verdana"/>
          <w:b/>
        </w:rPr>
      </w:pPr>
    </w:p>
    <w:p w14:paraId="08A49FB2" w14:textId="77777777" w:rsidR="000F10C7" w:rsidRPr="0011449B" w:rsidRDefault="000F10C7" w:rsidP="000F10C7">
      <w:pPr>
        <w:pStyle w:val="ListParagraph"/>
        <w:rPr>
          <w:rFonts w:ascii="Verdana" w:hAnsi="Verdana"/>
          <w:bCs/>
          <w:iCs/>
        </w:rPr>
      </w:pPr>
      <w:r w:rsidRPr="0011449B">
        <w:rPr>
          <w:rFonts w:ascii="Verdana" w:hAnsi="Verdana"/>
          <w:bCs/>
          <w:iCs/>
        </w:rPr>
        <w:t xml:space="preserve">If provided DHS “sensitive” information (e.g., items marked with FOUO or other appropriate marking), the Servicing Agency agrees it shall safeguard such information by not providing access of this marked information to any </w:t>
      </w:r>
      <w:r w:rsidRPr="0011449B">
        <w:rPr>
          <w:rFonts w:ascii="Verdana" w:hAnsi="Verdana"/>
          <w:bCs/>
          <w:iCs/>
          <w:u w:val="single"/>
        </w:rPr>
        <w:t>non-federal</w:t>
      </w:r>
      <w:r w:rsidRPr="0011449B">
        <w:rPr>
          <w:rFonts w:ascii="Verdana" w:hAnsi="Verdana"/>
          <w:bCs/>
          <w:iCs/>
        </w:rPr>
        <w:t xml:space="preserve"> personnel unless advance approval is obtained from the DHS/S&amp;T Technical Representative.  In turn, the DHS/S&amp;T Technical Representative must ensure any applicable DHS security and/or suitability requirements are satisfied by its servicing DHS Security office </w:t>
      </w:r>
      <w:r w:rsidRPr="0011449B">
        <w:rPr>
          <w:rFonts w:ascii="Verdana" w:hAnsi="Verdana"/>
          <w:bCs/>
          <w:iCs/>
          <w:u w:val="single"/>
        </w:rPr>
        <w:t>and</w:t>
      </w:r>
      <w:r w:rsidRPr="0011449B">
        <w:rPr>
          <w:rFonts w:ascii="Verdana" w:hAnsi="Verdana"/>
          <w:bCs/>
          <w:iCs/>
        </w:rPr>
        <w:t xml:space="preserve"> that a DHS NDA Form 11000-6s are signed by the </w:t>
      </w:r>
      <w:r w:rsidRPr="0011449B">
        <w:rPr>
          <w:rFonts w:ascii="Verdana" w:hAnsi="Verdana"/>
          <w:bCs/>
          <w:iCs/>
          <w:u w:val="single"/>
        </w:rPr>
        <w:t>non-federal</w:t>
      </w:r>
      <w:r w:rsidRPr="0011449B">
        <w:rPr>
          <w:rFonts w:ascii="Verdana" w:hAnsi="Verdana"/>
          <w:bCs/>
          <w:iCs/>
        </w:rPr>
        <w:t xml:space="preserve"> personnel before access to DHS “sensitive” information is given to them.  The DHS/S&amp;T Technical Representative must further obtain copies of the executed, signed DHS Form 11000-6s, to be provided to the DHS Contracting Officer (for inclusion in the official DHS/OPO inter-agency agreement file).        </w:t>
      </w:r>
    </w:p>
    <w:p w14:paraId="08A49FB3" w14:textId="77777777" w:rsidR="000F10C7" w:rsidRPr="0011449B" w:rsidRDefault="000F10C7" w:rsidP="000F10C7">
      <w:pPr>
        <w:ind w:left="720"/>
        <w:rPr>
          <w:rFonts w:ascii="Verdana" w:hAnsi="Verdana"/>
          <w:sz w:val="20"/>
        </w:rPr>
      </w:pPr>
    </w:p>
    <w:p w14:paraId="36BBACFF" w14:textId="77777777" w:rsidR="0011449B" w:rsidRPr="0011449B" w:rsidRDefault="0011449B" w:rsidP="0011449B">
      <w:pPr>
        <w:pStyle w:val="ListParagraph"/>
        <w:rPr>
          <w:rFonts w:ascii="Verdana" w:hAnsi="Verdana"/>
          <w:bCs/>
          <w:iCs/>
        </w:rPr>
      </w:pPr>
      <w:r w:rsidRPr="0011449B">
        <w:rPr>
          <w:rFonts w:ascii="Verdana" w:hAnsi="Verdana"/>
          <w:bCs/>
          <w:iCs/>
        </w:rPr>
        <w:t>Sandia will potentially need access to Secret information.  This information will be related to threat detection requirements and threat information.  DHS will provide this information to Sandia for their use and storage for the duration of the project.  Upon completion of the project, all classified materials will be returned or destroyed.</w:t>
      </w:r>
    </w:p>
    <w:p w14:paraId="1D5DE8E0" w14:textId="77777777" w:rsidR="0011449B" w:rsidRPr="0011449B" w:rsidRDefault="0011449B" w:rsidP="000F10C7">
      <w:pPr>
        <w:ind w:left="720"/>
        <w:rPr>
          <w:rFonts w:ascii="Verdana" w:hAnsi="Verdana"/>
          <w:sz w:val="20"/>
        </w:rPr>
      </w:pPr>
    </w:p>
    <w:p w14:paraId="08A49FB4" w14:textId="3EE92FEE" w:rsidR="001166CC" w:rsidRPr="0011449B" w:rsidRDefault="004F5F78" w:rsidP="001E1068">
      <w:pPr>
        <w:numPr>
          <w:ilvl w:val="0"/>
          <w:numId w:val="3"/>
        </w:numPr>
        <w:spacing w:before="120" w:after="120"/>
        <w:rPr>
          <w:rFonts w:ascii="Verdana" w:hAnsi="Verdana"/>
          <w:color w:val="000000" w:themeColor="text1"/>
          <w:sz w:val="20"/>
          <w:u w:val="single"/>
        </w:rPr>
      </w:pPr>
      <w:r w:rsidRPr="0011449B">
        <w:rPr>
          <w:rFonts w:ascii="Verdana" w:hAnsi="Verdana"/>
          <w:b/>
          <w:sz w:val="20"/>
        </w:rPr>
        <w:t>Funding Requirements</w:t>
      </w:r>
      <w:r w:rsidRPr="0011449B">
        <w:rPr>
          <w:rFonts w:ascii="Verdana" w:hAnsi="Verdana"/>
          <w:sz w:val="20"/>
        </w:rPr>
        <w:t xml:space="preserve">. </w:t>
      </w:r>
      <w:r w:rsidRPr="0011449B">
        <w:rPr>
          <w:rFonts w:ascii="Verdana" w:hAnsi="Verdana"/>
          <w:b/>
          <w:sz w:val="20"/>
        </w:rPr>
        <w:t xml:space="preserve"> </w:t>
      </w:r>
      <w:r w:rsidR="0011449B" w:rsidRPr="0011449B">
        <w:rPr>
          <w:rFonts w:ascii="Verdana" w:hAnsi="Verdana"/>
          <w:sz w:val="20"/>
        </w:rPr>
        <w:t xml:space="preserve">DHS S&amp;T will provide funding to the Sandia in accordance with DHS’s appropriations and available funds. Task 4.1 “Develop AIT Dataset” is unfunded at this time. Funding is according to the IGCE as specified in </w:t>
      </w:r>
      <w:r w:rsidR="0011449B" w:rsidRPr="0011449B">
        <w:rPr>
          <w:rFonts w:ascii="Verdana" w:hAnsi="Verdana"/>
          <w:sz w:val="20"/>
        </w:rPr>
        <w:fldChar w:fldCharType="begin"/>
      </w:r>
      <w:r w:rsidR="0011449B" w:rsidRPr="0011449B">
        <w:rPr>
          <w:rFonts w:ascii="Verdana" w:hAnsi="Verdana"/>
          <w:sz w:val="20"/>
        </w:rPr>
        <w:instrText xml:space="preserve"> REF _Ref476924760 \h  \* MERGEFORMAT </w:instrText>
      </w:r>
      <w:r w:rsidR="0011449B" w:rsidRPr="0011449B">
        <w:rPr>
          <w:rFonts w:ascii="Verdana" w:hAnsi="Verdana"/>
          <w:sz w:val="20"/>
        </w:rPr>
        <w:fldChar w:fldCharType="separate"/>
      </w:r>
      <w:r w:rsidR="00F76695">
        <w:rPr>
          <w:rFonts w:ascii="Verdana" w:hAnsi="Verdana"/>
          <w:b/>
          <w:bCs/>
          <w:sz w:val="20"/>
        </w:rPr>
        <w:t>Error! Reference source not found.</w:t>
      </w:r>
      <w:r w:rsidR="0011449B" w:rsidRPr="0011449B">
        <w:rPr>
          <w:rFonts w:ascii="Verdana" w:hAnsi="Verdana"/>
          <w:sz w:val="20"/>
        </w:rPr>
        <w:fldChar w:fldCharType="end"/>
      </w:r>
      <w:r w:rsidR="00430EE8" w:rsidRPr="0011449B">
        <w:rPr>
          <w:rFonts w:ascii="Verdana" w:hAnsi="Verdana"/>
          <w:color w:val="000000" w:themeColor="text1"/>
          <w:sz w:val="20"/>
        </w:rPr>
        <w:t xml:space="preserve">. </w:t>
      </w:r>
    </w:p>
    <w:p w14:paraId="08A49FB5" w14:textId="77777777" w:rsidR="001166CC" w:rsidRPr="0011449B" w:rsidRDefault="001166CC" w:rsidP="001166CC">
      <w:pPr>
        <w:spacing w:before="100" w:beforeAutospacing="1" w:after="100" w:afterAutospacing="1"/>
        <w:rPr>
          <w:rFonts w:ascii="Verdana" w:hAnsi="Verdana"/>
          <w:i/>
          <w:sz w:val="20"/>
        </w:rPr>
      </w:pPr>
      <w:r w:rsidRPr="0011449B">
        <w:rPr>
          <w:rFonts w:ascii="Verdana" w:hAnsi="Verdana"/>
          <w:i/>
          <w:sz w:val="20"/>
        </w:rPr>
        <w:t>Table 3</w:t>
      </w:r>
      <w:r w:rsidR="001E1068" w:rsidRPr="0011449B">
        <w:rPr>
          <w:rFonts w:ascii="Verdana" w:hAnsi="Verdana"/>
          <w:i/>
          <w:sz w:val="20"/>
        </w:rPr>
        <w:t xml:space="preserve">  </w:t>
      </w:r>
    </w:p>
    <w:tbl>
      <w:tblPr>
        <w:tblW w:w="10200" w:type="dxa"/>
        <w:tblInd w:w="-10" w:type="dxa"/>
        <w:tblLook w:val="04A0" w:firstRow="1" w:lastRow="0" w:firstColumn="1" w:lastColumn="0" w:noHBand="0" w:noVBand="1"/>
      </w:tblPr>
      <w:tblGrid>
        <w:gridCol w:w="2858"/>
        <w:gridCol w:w="1527"/>
        <w:gridCol w:w="1527"/>
        <w:gridCol w:w="1356"/>
        <w:gridCol w:w="1690"/>
        <w:gridCol w:w="1242"/>
      </w:tblGrid>
      <w:tr w:rsidR="00DB0D5E" w:rsidRPr="0011449B" w14:paraId="0898D731" w14:textId="77777777" w:rsidTr="00735DF5">
        <w:trPr>
          <w:trHeight w:val="525"/>
        </w:trPr>
        <w:tc>
          <w:tcPr>
            <w:tcW w:w="2858" w:type="dxa"/>
            <w:tcBorders>
              <w:top w:val="single" w:sz="8" w:space="0" w:color="auto"/>
              <w:left w:val="single" w:sz="8" w:space="0" w:color="auto"/>
              <w:bottom w:val="single" w:sz="8" w:space="0" w:color="auto"/>
              <w:right w:val="single" w:sz="8" w:space="0" w:color="auto"/>
            </w:tcBorders>
            <w:shd w:val="clear" w:color="000000" w:fill="FFFF99"/>
            <w:vAlign w:val="center"/>
            <w:hideMark/>
          </w:tcPr>
          <w:p w14:paraId="0D5549E3" w14:textId="77777777" w:rsidR="00DB0D5E" w:rsidRPr="0011449B" w:rsidRDefault="00DB0D5E" w:rsidP="000049FF">
            <w:pPr>
              <w:jc w:val="center"/>
              <w:rPr>
                <w:rFonts w:ascii="Verdana" w:hAnsi="Verdana"/>
                <w:b/>
                <w:bCs/>
                <w:color w:val="000000"/>
                <w:sz w:val="16"/>
              </w:rPr>
            </w:pPr>
            <w:r w:rsidRPr="0011449B">
              <w:rPr>
                <w:rFonts w:ascii="Verdana" w:hAnsi="Verdana"/>
                <w:b/>
                <w:bCs/>
                <w:color w:val="000000"/>
                <w:sz w:val="16"/>
              </w:rPr>
              <w:t>Project Task</w:t>
            </w:r>
            <w:r w:rsidRPr="0011449B">
              <w:rPr>
                <w:rFonts w:ascii="Verdana" w:hAnsi="Verdana"/>
                <w:b/>
                <w:bCs/>
                <w:color w:val="FF0000"/>
                <w:sz w:val="16"/>
              </w:rPr>
              <w:t>***</w:t>
            </w:r>
          </w:p>
        </w:tc>
        <w:tc>
          <w:tcPr>
            <w:tcW w:w="1527" w:type="dxa"/>
            <w:tcBorders>
              <w:top w:val="single" w:sz="8" w:space="0" w:color="auto"/>
              <w:left w:val="nil"/>
              <w:bottom w:val="single" w:sz="8" w:space="0" w:color="auto"/>
              <w:right w:val="single" w:sz="8" w:space="0" w:color="auto"/>
            </w:tcBorders>
            <w:shd w:val="clear" w:color="000000" w:fill="FFFF99"/>
            <w:vAlign w:val="center"/>
            <w:hideMark/>
          </w:tcPr>
          <w:p w14:paraId="1C00512D" w14:textId="77777777" w:rsidR="00DB0D5E" w:rsidRPr="0011449B" w:rsidRDefault="00DB0D5E" w:rsidP="000049FF">
            <w:pPr>
              <w:jc w:val="center"/>
              <w:rPr>
                <w:rFonts w:ascii="Verdana" w:hAnsi="Verdana"/>
                <w:b/>
                <w:bCs/>
                <w:color w:val="000000"/>
                <w:sz w:val="16"/>
              </w:rPr>
            </w:pPr>
            <w:r w:rsidRPr="0011449B">
              <w:rPr>
                <w:rFonts w:ascii="Verdana" w:hAnsi="Verdana"/>
                <w:b/>
                <w:bCs/>
                <w:color w:val="000000"/>
                <w:sz w:val="16"/>
              </w:rPr>
              <w:t>Total Funding</w:t>
            </w:r>
            <w:r w:rsidRPr="0011449B">
              <w:rPr>
                <w:rFonts w:ascii="Verdana" w:hAnsi="Verdana"/>
                <w:b/>
                <w:bCs/>
                <w:color w:val="FF0000"/>
                <w:sz w:val="16"/>
              </w:rPr>
              <w:t xml:space="preserve"> </w:t>
            </w:r>
          </w:p>
        </w:tc>
        <w:tc>
          <w:tcPr>
            <w:tcW w:w="1527" w:type="dxa"/>
            <w:tcBorders>
              <w:top w:val="single" w:sz="8" w:space="0" w:color="auto"/>
              <w:left w:val="nil"/>
              <w:bottom w:val="single" w:sz="8" w:space="0" w:color="auto"/>
              <w:right w:val="single" w:sz="8" w:space="0" w:color="auto"/>
            </w:tcBorders>
            <w:shd w:val="clear" w:color="000000" w:fill="FFFF99"/>
            <w:vAlign w:val="center"/>
            <w:hideMark/>
          </w:tcPr>
          <w:p w14:paraId="5336EF4C" w14:textId="77777777" w:rsidR="00DB0D5E" w:rsidRPr="0011449B" w:rsidRDefault="00DB0D5E" w:rsidP="000049FF">
            <w:pPr>
              <w:jc w:val="center"/>
              <w:rPr>
                <w:rFonts w:ascii="Verdana" w:hAnsi="Verdana"/>
                <w:b/>
                <w:bCs/>
                <w:color w:val="000000"/>
                <w:sz w:val="16"/>
              </w:rPr>
            </w:pPr>
            <w:r w:rsidRPr="0011449B">
              <w:rPr>
                <w:rFonts w:ascii="Verdana" w:hAnsi="Verdana"/>
                <w:b/>
                <w:bCs/>
                <w:color w:val="000000"/>
                <w:sz w:val="16"/>
              </w:rPr>
              <w:t>Labor</w:t>
            </w:r>
          </w:p>
        </w:tc>
        <w:tc>
          <w:tcPr>
            <w:tcW w:w="1356" w:type="dxa"/>
            <w:tcBorders>
              <w:top w:val="single" w:sz="8" w:space="0" w:color="auto"/>
              <w:left w:val="nil"/>
              <w:bottom w:val="single" w:sz="8" w:space="0" w:color="auto"/>
              <w:right w:val="single" w:sz="8" w:space="0" w:color="auto"/>
            </w:tcBorders>
            <w:shd w:val="clear" w:color="000000" w:fill="FFFF99"/>
            <w:vAlign w:val="center"/>
            <w:hideMark/>
          </w:tcPr>
          <w:p w14:paraId="7D871DE5" w14:textId="77777777" w:rsidR="00DB0D5E" w:rsidRPr="0011449B" w:rsidRDefault="00DB0D5E" w:rsidP="000049FF">
            <w:pPr>
              <w:jc w:val="center"/>
              <w:rPr>
                <w:rFonts w:ascii="Verdana" w:hAnsi="Verdana"/>
                <w:b/>
                <w:bCs/>
                <w:color w:val="000000"/>
                <w:sz w:val="16"/>
              </w:rPr>
            </w:pPr>
            <w:r w:rsidRPr="0011449B">
              <w:rPr>
                <w:rFonts w:ascii="Verdana" w:hAnsi="Verdana"/>
                <w:b/>
                <w:bCs/>
                <w:color w:val="000000"/>
                <w:sz w:val="16"/>
              </w:rPr>
              <w:t>Material</w:t>
            </w:r>
          </w:p>
        </w:tc>
        <w:tc>
          <w:tcPr>
            <w:tcW w:w="1690" w:type="dxa"/>
            <w:tcBorders>
              <w:top w:val="single" w:sz="8" w:space="0" w:color="auto"/>
              <w:left w:val="nil"/>
              <w:bottom w:val="single" w:sz="8" w:space="0" w:color="auto"/>
              <w:right w:val="single" w:sz="8" w:space="0" w:color="auto"/>
            </w:tcBorders>
            <w:shd w:val="clear" w:color="000000" w:fill="FFFF99"/>
            <w:vAlign w:val="center"/>
            <w:hideMark/>
          </w:tcPr>
          <w:p w14:paraId="4392D646" w14:textId="77777777" w:rsidR="00DB0D5E" w:rsidRPr="0011449B" w:rsidRDefault="00DB0D5E" w:rsidP="000049FF">
            <w:pPr>
              <w:jc w:val="center"/>
              <w:rPr>
                <w:rFonts w:ascii="Verdana" w:hAnsi="Verdana"/>
                <w:b/>
                <w:bCs/>
                <w:color w:val="000000"/>
                <w:sz w:val="16"/>
              </w:rPr>
            </w:pPr>
            <w:r w:rsidRPr="0011449B">
              <w:rPr>
                <w:rFonts w:ascii="Verdana" w:hAnsi="Verdana"/>
                <w:b/>
                <w:bCs/>
                <w:color w:val="000000"/>
                <w:sz w:val="16"/>
              </w:rPr>
              <w:t>Subcontracts</w:t>
            </w:r>
          </w:p>
        </w:tc>
        <w:tc>
          <w:tcPr>
            <w:tcW w:w="1242" w:type="dxa"/>
            <w:tcBorders>
              <w:top w:val="single" w:sz="8" w:space="0" w:color="auto"/>
              <w:left w:val="nil"/>
              <w:bottom w:val="single" w:sz="8" w:space="0" w:color="auto"/>
              <w:right w:val="single" w:sz="8" w:space="0" w:color="auto"/>
            </w:tcBorders>
            <w:shd w:val="clear" w:color="000000" w:fill="FFFF99"/>
            <w:vAlign w:val="center"/>
            <w:hideMark/>
          </w:tcPr>
          <w:p w14:paraId="73330D79" w14:textId="77777777" w:rsidR="00DB0D5E" w:rsidRPr="0011449B" w:rsidRDefault="00DB0D5E" w:rsidP="000049FF">
            <w:pPr>
              <w:jc w:val="center"/>
              <w:rPr>
                <w:rFonts w:ascii="Verdana" w:hAnsi="Verdana"/>
                <w:b/>
                <w:bCs/>
                <w:color w:val="000000"/>
                <w:sz w:val="16"/>
              </w:rPr>
            </w:pPr>
            <w:r w:rsidRPr="0011449B">
              <w:rPr>
                <w:rFonts w:ascii="Verdana" w:hAnsi="Verdana"/>
                <w:b/>
                <w:bCs/>
                <w:color w:val="000000"/>
                <w:sz w:val="16"/>
              </w:rPr>
              <w:t>Travel</w:t>
            </w:r>
          </w:p>
        </w:tc>
      </w:tr>
      <w:tr w:rsidR="00DB0D5E" w:rsidRPr="0011449B" w14:paraId="58A9521F" w14:textId="77777777" w:rsidTr="00735DF5">
        <w:trPr>
          <w:trHeight w:val="160"/>
        </w:trPr>
        <w:tc>
          <w:tcPr>
            <w:tcW w:w="2858" w:type="dxa"/>
            <w:tcBorders>
              <w:top w:val="nil"/>
              <w:left w:val="single" w:sz="8" w:space="0" w:color="auto"/>
              <w:bottom w:val="nil"/>
              <w:right w:val="single" w:sz="8" w:space="0" w:color="auto"/>
            </w:tcBorders>
            <w:shd w:val="clear" w:color="auto" w:fill="auto"/>
            <w:vAlign w:val="center"/>
            <w:hideMark/>
          </w:tcPr>
          <w:p w14:paraId="6A842C6B" w14:textId="77777777" w:rsidR="00DB0D5E" w:rsidRPr="0011449B" w:rsidRDefault="00DB0D5E" w:rsidP="000049FF">
            <w:pPr>
              <w:rPr>
                <w:rFonts w:ascii="Verdana" w:hAnsi="Verdana"/>
                <w:b/>
                <w:bCs/>
                <w:color w:val="000000"/>
                <w:sz w:val="16"/>
              </w:rPr>
            </w:pPr>
            <w:r w:rsidRPr="0011449B">
              <w:rPr>
                <w:rFonts w:ascii="Verdana" w:hAnsi="Verdana"/>
                <w:b/>
                <w:bCs/>
                <w:color w:val="000000"/>
                <w:sz w:val="16"/>
              </w:rPr>
              <w:t>1       Project Management</w:t>
            </w:r>
          </w:p>
        </w:tc>
        <w:tc>
          <w:tcPr>
            <w:tcW w:w="1527" w:type="dxa"/>
            <w:tcBorders>
              <w:top w:val="nil"/>
              <w:left w:val="nil"/>
              <w:bottom w:val="nil"/>
              <w:right w:val="single" w:sz="8" w:space="0" w:color="auto"/>
            </w:tcBorders>
            <w:shd w:val="clear" w:color="auto" w:fill="auto"/>
            <w:noWrap/>
            <w:vAlign w:val="bottom"/>
            <w:hideMark/>
          </w:tcPr>
          <w:p w14:paraId="6BA8F8DC"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$45,000.00</w:t>
            </w:r>
          </w:p>
        </w:tc>
        <w:tc>
          <w:tcPr>
            <w:tcW w:w="1527" w:type="dxa"/>
            <w:tcBorders>
              <w:top w:val="nil"/>
              <w:left w:val="nil"/>
              <w:bottom w:val="nil"/>
              <w:right w:val="single" w:sz="8" w:space="0" w:color="auto"/>
            </w:tcBorders>
            <w:shd w:val="clear" w:color="auto" w:fill="auto"/>
            <w:noWrap/>
            <w:vAlign w:val="bottom"/>
            <w:hideMark/>
          </w:tcPr>
          <w:p w14:paraId="4C5FF0A7"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$40,000.00</w:t>
            </w:r>
          </w:p>
        </w:tc>
        <w:tc>
          <w:tcPr>
            <w:tcW w:w="1356" w:type="dxa"/>
            <w:tcBorders>
              <w:top w:val="nil"/>
              <w:left w:val="nil"/>
              <w:bottom w:val="nil"/>
              <w:right w:val="single" w:sz="8" w:space="0" w:color="auto"/>
            </w:tcBorders>
            <w:shd w:val="clear" w:color="auto" w:fill="auto"/>
            <w:noWrap/>
            <w:vAlign w:val="bottom"/>
            <w:hideMark/>
          </w:tcPr>
          <w:p w14:paraId="17A023B1"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$0.00</w:t>
            </w:r>
          </w:p>
        </w:tc>
        <w:tc>
          <w:tcPr>
            <w:tcW w:w="1690" w:type="dxa"/>
            <w:tcBorders>
              <w:top w:val="nil"/>
              <w:left w:val="nil"/>
              <w:bottom w:val="nil"/>
              <w:right w:val="single" w:sz="8" w:space="0" w:color="auto"/>
            </w:tcBorders>
            <w:shd w:val="clear" w:color="auto" w:fill="auto"/>
            <w:noWrap/>
            <w:vAlign w:val="bottom"/>
            <w:hideMark/>
          </w:tcPr>
          <w:p w14:paraId="7585FBCA"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$0.00</w:t>
            </w:r>
          </w:p>
        </w:tc>
        <w:tc>
          <w:tcPr>
            <w:tcW w:w="1242" w:type="dxa"/>
            <w:tcBorders>
              <w:top w:val="nil"/>
              <w:left w:val="nil"/>
              <w:bottom w:val="nil"/>
              <w:right w:val="single" w:sz="8" w:space="0" w:color="auto"/>
            </w:tcBorders>
            <w:shd w:val="clear" w:color="auto" w:fill="auto"/>
            <w:noWrap/>
            <w:vAlign w:val="bottom"/>
            <w:hideMark/>
          </w:tcPr>
          <w:p w14:paraId="301960F5"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$5,000.00</w:t>
            </w:r>
          </w:p>
        </w:tc>
      </w:tr>
      <w:tr w:rsidR="00DB0D5E" w:rsidRPr="0011449B" w14:paraId="3D2EFC06" w14:textId="77777777" w:rsidTr="00735DF5">
        <w:trPr>
          <w:trHeight w:val="214"/>
        </w:trPr>
        <w:tc>
          <w:tcPr>
            <w:tcW w:w="2858"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72C05529" w14:textId="77777777" w:rsidR="00DB0D5E" w:rsidRPr="0011449B" w:rsidRDefault="00DB0D5E" w:rsidP="000049FF">
            <w:pPr>
              <w:rPr>
                <w:rFonts w:ascii="Verdana" w:hAnsi="Verdana"/>
                <w:b/>
                <w:bCs/>
                <w:color w:val="000000"/>
                <w:sz w:val="16"/>
              </w:rPr>
            </w:pPr>
            <w:r w:rsidRPr="0011449B">
              <w:rPr>
                <w:rFonts w:ascii="Verdana" w:hAnsi="Verdana"/>
                <w:b/>
                <w:bCs/>
                <w:color w:val="000000"/>
                <w:sz w:val="16"/>
              </w:rPr>
              <w:t>2       OPSL AIT Software</w:t>
            </w:r>
          </w:p>
        </w:tc>
        <w:tc>
          <w:tcPr>
            <w:tcW w:w="1527" w:type="dxa"/>
            <w:tcBorders>
              <w:top w:val="single" w:sz="8" w:space="0" w:color="auto"/>
              <w:left w:val="nil"/>
              <w:bottom w:val="single" w:sz="4" w:space="0" w:color="auto"/>
              <w:right w:val="single" w:sz="4" w:space="0" w:color="auto"/>
            </w:tcBorders>
            <w:shd w:val="clear" w:color="auto" w:fill="auto"/>
            <w:noWrap/>
            <w:vAlign w:val="bottom"/>
            <w:hideMark/>
          </w:tcPr>
          <w:p w14:paraId="5790074B"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$333,000.00</w:t>
            </w:r>
          </w:p>
        </w:tc>
        <w:tc>
          <w:tcPr>
            <w:tcW w:w="1527" w:type="dxa"/>
            <w:tcBorders>
              <w:top w:val="single" w:sz="8" w:space="0" w:color="auto"/>
              <w:left w:val="nil"/>
              <w:bottom w:val="single" w:sz="4" w:space="0" w:color="auto"/>
              <w:right w:val="single" w:sz="4" w:space="0" w:color="auto"/>
            </w:tcBorders>
            <w:shd w:val="clear" w:color="auto" w:fill="auto"/>
            <w:noWrap/>
            <w:vAlign w:val="bottom"/>
            <w:hideMark/>
          </w:tcPr>
          <w:p w14:paraId="4B74BCC2"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$60,000.00</w:t>
            </w:r>
          </w:p>
        </w:tc>
        <w:tc>
          <w:tcPr>
            <w:tcW w:w="1356" w:type="dxa"/>
            <w:tcBorders>
              <w:top w:val="single" w:sz="8" w:space="0" w:color="auto"/>
              <w:left w:val="nil"/>
              <w:bottom w:val="single" w:sz="4" w:space="0" w:color="auto"/>
              <w:right w:val="single" w:sz="4" w:space="0" w:color="auto"/>
            </w:tcBorders>
            <w:shd w:val="clear" w:color="auto" w:fill="auto"/>
            <w:noWrap/>
            <w:vAlign w:val="bottom"/>
            <w:hideMark/>
          </w:tcPr>
          <w:p w14:paraId="587A499F"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$7,500.00</w:t>
            </w:r>
          </w:p>
        </w:tc>
        <w:tc>
          <w:tcPr>
            <w:tcW w:w="1690" w:type="dxa"/>
            <w:tcBorders>
              <w:top w:val="single" w:sz="8" w:space="0" w:color="auto"/>
              <w:left w:val="nil"/>
              <w:bottom w:val="single" w:sz="4" w:space="0" w:color="auto"/>
              <w:right w:val="single" w:sz="4" w:space="0" w:color="auto"/>
            </w:tcBorders>
            <w:shd w:val="clear" w:color="auto" w:fill="auto"/>
            <w:noWrap/>
            <w:vAlign w:val="bottom"/>
            <w:hideMark/>
          </w:tcPr>
          <w:p w14:paraId="66674F39"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$242,000.00</w:t>
            </w:r>
          </w:p>
        </w:tc>
        <w:tc>
          <w:tcPr>
            <w:tcW w:w="1242" w:type="dxa"/>
            <w:tcBorders>
              <w:top w:val="single" w:sz="8" w:space="0" w:color="auto"/>
              <w:left w:val="nil"/>
              <w:bottom w:val="single" w:sz="4" w:space="0" w:color="auto"/>
              <w:right w:val="single" w:sz="8" w:space="0" w:color="auto"/>
            </w:tcBorders>
            <w:shd w:val="clear" w:color="auto" w:fill="auto"/>
            <w:noWrap/>
            <w:vAlign w:val="bottom"/>
            <w:hideMark/>
          </w:tcPr>
          <w:p w14:paraId="24571E37"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$23,500.00</w:t>
            </w:r>
          </w:p>
        </w:tc>
      </w:tr>
      <w:tr w:rsidR="00DB0D5E" w:rsidRPr="0011449B" w14:paraId="4EED015E" w14:textId="77777777" w:rsidTr="00735DF5">
        <w:trPr>
          <w:trHeight w:val="539"/>
        </w:trPr>
        <w:tc>
          <w:tcPr>
            <w:tcW w:w="2858" w:type="dxa"/>
            <w:tcBorders>
              <w:top w:val="nil"/>
              <w:left w:val="single" w:sz="8" w:space="0" w:color="auto"/>
              <w:bottom w:val="single" w:sz="4" w:space="0" w:color="auto"/>
              <w:right w:val="single" w:sz="4" w:space="0" w:color="auto"/>
            </w:tcBorders>
            <w:shd w:val="clear" w:color="auto" w:fill="auto"/>
            <w:vAlign w:val="center"/>
            <w:hideMark/>
          </w:tcPr>
          <w:p w14:paraId="4E873610" w14:textId="77777777" w:rsidR="00DB0D5E" w:rsidRPr="0011449B" w:rsidRDefault="00DB0D5E" w:rsidP="000049FF">
            <w:pPr>
              <w:rPr>
                <w:rFonts w:ascii="Verdana" w:hAnsi="Verdana"/>
                <w:color w:val="000000"/>
                <w:sz w:val="16"/>
              </w:rPr>
            </w:pPr>
            <w:r w:rsidRPr="0011449B">
              <w:rPr>
                <w:rFonts w:ascii="Verdana" w:hAnsi="Verdana"/>
                <w:color w:val="000000"/>
                <w:sz w:val="16"/>
              </w:rPr>
              <w:t>2.1     AIT Architecture/Industry Exploration</w:t>
            </w:r>
          </w:p>
        </w:tc>
        <w:tc>
          <w:tcPr>
            <w:tcW w:w="1527" w:type="dxa"/>
            <w:tcBorders>
              <w:top w:val="nil"/>
              <w:left w:val="nil"/>
              <w:bottom w:val="single" w:sz="4" w:space="0" w:color="auto"/>
              <w:right w:val="single" w:sz="4" w:space="0" w:color="auto"/>
            </w:tcBorders>
            <w:shd w:val="clear" w:color="auto" w:fill="auto"/>
            <w:noWrap/>
            <w:vAlign w:val="bottom"/>
            <w:hideMark/>
          </w:tcPr>
          <w:p w14:paraId="3431F362"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$40,500.00</w:t>
            </w:r>
          </w:p>
        </w:tc>
        <w:tc>
          <w:tcPr>
            <w:tcW w:w="1527" w:type="dxa"/>
            <w:tcBorders>
              <w:top w:val="nil"/>
              <w:left w:val="nil"/>
              <w:bottom w:val="single" w:sz="4" w:space="0" w:color="auto"/>
              <w:right w:val="single" w:sz="4" w:space="0" w:color="auto"/>
            </w:tcBorders>
            <w:shd w:val="clear" w:color="auto" w:fill="auto"/>
            <w:noWrap/>
            <w:vAlign w:val="bottom"/>
            <w:hideMark/>
          </w:tcPr>
          <w:p w14:paraId="7B52BBD5" w14:textId="77777777" w:rsidR="00DB0D5E" w:rsidRPr="0011449B" w:rsidRDefault="00DB0D5E" w:rsidP="000049FF">
            <w:pPr>
              <w:jc w:val="right"/>
              <w:rPr>
                <w:rFonts w:ascii="Verdana" w:hAnsi="Verdana"/>
                <w:color w:val="000000"/>
                <w:sz w:val="16"/>
              </w:rPr>
            </w:pPr>
            <w:r w:rsidRPr="0011449B">
              <w:rPr>
                <w:rFonts w:ascii="Verdana" w:hAnsi="Verdana"/>
                <w:color w:val="000000"/>
                <w:sz w:val="16"/>
              </w:rPr>
              <w:t>$15,000.00</w:t>
            </w:r>
          </w:p>
        </w:tc>
        <w:tc>
          <w:tcPr>
            <w:tcW w:w="1356" w:type="dxa"/>
            <w:tcBorders>
              <w:top w:val="nil"/>
              <w:left w:val="nil"/>
              <w:bottom w:val="single" w:sz="4" w:space="0" w:color="auto"/>
              <w:right w:val="single" w:sz="4" w:space="0" w:color="auto"/>
            </w:tcBorders>
            <w:shd w:val="clear" w:color="auto" w:fill="auto"/>
            <w:noWrap/>
            <w:vAlign w:val="bottom"/>
            <w:hideMark/>
          </w:tcPr>
          <w:p w14:paraId="2FFCD44A" w14:textId="77777777" w:rsidR="00DB0D5E" w:rsidRPr="0011449B" w:rsidRDefault="00DB0D5E" w:rsidP="000049FF">
            <w:pPr>
              <w:jc w:val="right"/>
              <w:rPr>
                <w:rFonts w:ascii="Verdana" w:hAnsi="Verdana"/>
                <w:color w:val="000000"/>
                <w:sz w:val="16"/>
              </w:rPr>
            </w:pPr>
            <w:r w:rsidRPr="0011449B">
              <w:rPr>
                <w:rFonts w:ascii="Verdana" w:hAnsi="Verdana"/>
                <w:color w:val="000000"/>
                <w:sz w:val="16"/>
              </w:rPr>
              <w:t>$0.00</w:t>
            </w:r>
          </w:p>
        </w:tc>
        <w:tc>
          <w:tcPr>
            <w:tcW w:w="1690" w:type="dxa"/>
            <w:tcBorders>
              <w:top w:val="nil"/>
              <w:left w:val="nil"/>
              <w:bottom w:val="single" w:sz="4" w:space="0" w:color="auto"/>
              <w:right w:val="single" w:sz="4" w:space="0" w:color="auto"/>
            </w:tcBorders>
            <w:shd w:val="clear" w:color="auto" w:fill="auto"/>
            <w:noWrap/>
            <w:vAlign w:val="bottom"/>
            <w:hideMark/>
          </w:tcPr>
          <w:p w14:paraId="1168E2BE" w14:textId="77777777" w:rsidR="00DB0D5E" w:rsidRPr="0011449B" w:rsidRDefault="00DB0D5E" w:rsidP="000049FF">
            <w:pPr>
              <w:jc w:val="right"/>
              <w:rPr>
                <w:rFonts w:ascii="Verdana" w:hAnsi="Verdana"/>
                <w:color w:val="000000"/>
                <w:sz w:val="16"/>
              </w:rPr>
            </w:pPr>
            <w:r w:rsidRPr="0011449B">
              <w:rPr>
                <w:rFonts w:ascii="Verdana" w:hAnsi="Verdana"/>
                <w:color w:val="000000"/>
                <w:sz w:val="16"/>
              </w:rPr>
              <w:t>$17,000.00</w:t>
            </w:r>
          </w:p>
        </w:tc>
        <w:tc>
          <w:tcPr>
            <w:tcW w:w="1242" w:type="dxa"/>
            <w:tcBorders>
              <w:top w:val="nil"/>
              <w:left w:val="nil"/>
              <w:bottom w:val="single" w:sz="4" w:space="0" w:color="auto"/>
              <w:right w:val="single" w:sz="8" w:space="0" w:color="auto"/>
            </w:tcBorders>
            <w:shd w:val="clear" w:color="auto" w:fill="auto"/>
            <w:noWrap/>
            <w:vAlign w:val="bottom"/>
            <w:hideMark/>
          </w:tcPr>
          <w:p w14:paraId="7FCF4DEA" w14:textId="77777777" w:rsidR="00DB0D5E" w:rsidRPr="0011449B" w:rsidRDefault="00DB0D5E" w:rsidP="000049FF">
            <w:pPr>
              <w:jc w:val="right"/>
              <w:rPr>
                <w:rFonts w:ascii="Verdana" w:hAnsi="Verdana"/>
                <w:color w:val="000000"/>
                <w:sz w:val="16"/>
              </w:rPr>
            </w:pPr>
            <w:r w:rsidRPr="0011449B">
              <w:rPr>
                <w:rFonts w:ascii="Verdana" w:hAnsi="Verdana"/>
                <w:color w:val="000000"/>
                <w:sz w:val="16"/>
              </w:rPr>
              <w:t>$8,500.00</w:t>
            </w:r>
          </w:p>
        </w:tc>
      </w:tr>
      <w:tr w:rsidR="00DB0D5E" w:rsidRPr="0011449B" w14:paraId="1C63B911" w14:textId="77777777" w:rsidTr="00735DF5">
        <w:trPr>
          <w:trHeight w:val="300"/>
        </w:trPr>
        <w:tc>
          <w:tcPr>
            <w:tcW w:w="2858" w:type="dxa"/>
            <w:tcBorders>
              <w:top w:val="nil"/>
              <w:left w:val="single" w:sz="8" w:space="0" w:color="auto"/>
              <w:bottom w:val="single" w:sz="4" w:space="0" w:color="auto"/>
              <w:right w:val="single" w:sz="4" w:space="0" w:color="auto"/>
            </w:tcBorders>
            <w:shd w:val="clear" w:color="auto" w:fill="auto"/>
            <w:vAlign w:val="center"/>
            <w:hideMark/>
          </w:tcPr>
          <w:p w14:paraId="755A5A9F" w14:textId="77777777" w:rsidR="00DB0D5E" w:rsidRPr="0011449B" w:rsidRDefault="00DB0D5E" w:rsidP="000049FF">
            <w:pPr>
              <w:rPr>
                <w:rFonts w:ascii="Verdana" w:hAnsi="Verdana"/>
                <w:color w:val="000000"/>
                <w:sz w:val="16"/>
              </w:rPr>
            </w:pPr>
            <w:r w:rsidRPr="0011449B">
              <w:rPr>
                <w:rFonts w:ascii="Verdana" w:hAnsi="Verdana"/>
                <w:color w:val="000000"/>
                <w:sz w:val="16"/>
              </w:rPr>
              <w:t>2.2     OPSL AIT Code Writing</w:t>
            </w:r>
          </w:p>
        </w:tc>
        <w:tc>
          <w:tcPr>
            <w:tcW w:w="1527" w:type="dxa"/>
            <w:tcBorders>
              <w:top w:val="nil"/>
              <w:left w:val="nil"/>
              <w:bottom w:val="single" w:sz="4" w:space="0" w:color="auto"/>
              <w:right w:val="single" w:sz="4" w:space="0" w:color="auto"/>
            </w:tcBorders>
            <w:shd w:val="clear" w:color="auto" w:fill="auto"/>
            <w:noWrap/>
            <w:vAlign w:val="bottom"/>
            <w:hideMark/>
          </w:tcPr>
          <w:p w14:paraId="2653800C"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$145,000.00</w:t>
            </w:r>
          </w:p>
        </w:tc>
        <w:tc>
          <w:tcPr>
            <w:tcW w:w="1527" w:type="dxa"/>
            <w:tcBorders>
              <w:top w:val="nil"/>
              <w:left w:val="nil"/>
              <w:bottom w:val="single" w:sz="4" w:space="0" w:color="auto"/>
              <w:right w:val="single" w:sz="4" w:space="0" w:color="auto"/>
            </w:tcBorders>
            <w:shd w:val="clear" w:color="auto" w:fill="auto"/>
            <w:noWrap/>
            <w:vAlign w:val="bottom"/>
            <w:hideMark/>
          </w:tcPr>
          <w:p w14:paraId="6C64109E" w14:textId="77777777" w:rsidR="00DB0D5E" w:rsidRPr="0011449B" w:rsidRDefault="00DB0D5E" w:rsidP="000049FF">
            <w:pPr>
              <w:jc w:val="right"/>
              <w:rPr>
                <w:rFonts w:ascii="Verdana" w:hAnsi="Verdana"/>
                <w:color w:val="000000"/>
                <w:sz w:val="16"/>
              </w:rPr>
            </w:pPr>
            <w:r w:rsidRPr="0011449B">
              <w:rPr>
                <w:rFonts w:ascii="Verdana" w:hAnsi="Verdana"/>
                <w:color w:val="000000"/>
                <w:sz w:val="16"/>
              </w:rPr>
              <w:t>$25,000.00</w:t>
            </w:r>
          </w:p>
        </w:tc>
        <w:tc>
          <w:tcPr>
            <w:tcW w:w="1356" w:type="dxa"/>
            <w:tcBorders>
              <w:top w:val="nil"/>
              <w:left w:val="nil"/>
              <w:bottom w:val="single" w:sz="4" w:space="0" w:color="auto"/>
              <w:right w:val="single" w:sz="4" w:space="0" w:color="auto"/>
            </w:tcBorders>
            <w:shd w:val="clear" w:color="auto" w:fill="auto"/>
            <w:noWrap/>
            <w:vAlign w:val="bottom"/>
            <w:hideMark/>
          </w:tcPr>
          <w:p w14:paraId="55DE6972" w14:textId="77777777" w:rsidR="00DB0D5E" w:rsidRPr="0011449B" w:rsidRDefault="00DB0D5E" w:rsidP="000049FF">
            <w:pPr>
              <w:jc w:val="right"/>
              <w:rPr>
                <w:rFonts w:ascii="Verdana" w:hAnsi="Verdana"/>
                <w:color w:val="000000"/>
                <w:sz w:val="16"/>
              </w:rPr>
            </w:pPr>
            <w:r w:rsidRPr="0011449B">
              <w:rPr>
                <w:rFonts w:ascii="Verdana" w:hAnsi="Verdana"/>
                <w:color w:val="000000"/>
                <w:sz w:val="16"/>
              </w:rPr>
              <w:t>$0.00</w:t>
            </w:r>
          </w:p>
        </w:tc>
        <w:tc>
          <w:tcPr>
            <w:tcW w:w="1690" w:type="dxa"/>
            <w:tcBorders>
              <w:top w:val="nil"/>
              <w:left w:val="nil"/>
              <w:bottom w:val="single" w:sz="4" w:space="0" w:color="auto"/>
              <w:right w:val="single" w:sz="4" w:space="0" w:color="auto"/>
            </w:tcBorders>
            <w:shd w:val="clear" w:color="auto" w:fill="auto"/>
            <w:noWrap/>
            <w:vAlign w:val="bottom"/>
            <w:hideMark/>
          </w:tcPr>
          <w:p w14:paraId="50801168" w14:textId="77777777" w:rsidR="00DB0D5E" w:rsidRPr="0011449B" w:rsidRDefault="00DB0D5E" w:rsidP="000049FF">
            <w:pPr>
              <w:jc w:val="right"/>
              <w:rPr>
                <w:rFonts w:ascii="Verdana" w:hAnsi="Verdana"/>
                <w:color w:val="000000"/>
                <w:sz w:val="16"/>
              </w:rPr>
            </w:pPr>
            <w:r w:rsidRPr="0011449B">
              <w:rPr>
                <w:rFonts w:ascii="Verdana" w:hAnsi="Verdana"/>
                <w:color w:val="000000"/>
                <w:sz w:val="16"/>
              </w:rPr>
              <w:t>$120,000.00</w:t>
            </w:r>
          </w:p>
        </w:tc>
        <w:tc>
          <w:tcPr>
            <w:tcW w:w="1242" w:type="dxa"/>
            <w:tcBorders>
              <w:top w:val="nil"/>
              <w:left w:val="nil"/>
              <w:bottom w:val="single" w:sz="4" w:space="0" w:color="auto"/>
              <w:right w:val="single" w:sz="8" w:space="0" w:color="auto"/>
            </w:tcBorders>
            <w:shd w:val="clear" w:color="auto" w:fill="auto"/>
            <w:noWrap/>
            <w:vAlign w:val="bottom"/>
            <w:hideMark/>
          </w:tcPr>
          <w:p w14:paraId="5C289833" w14:textId="77777777" w:rsidR="00DB0D5E" w:rsidRPr="0011449B" w:rsidRDefault="00DB0D5E" w:rsidP="000049FF">
            <w:pPr>
              <w:jc w:val="right"/>
              <w:rPr>
                <w:rFonts w:ascii="Verdana" w:hAnsi="Verdana"/>
                <w:color w:val="000000"/>
                <w:sz w:val="16"/>
              </w:rPr>
            </w:pPr>
            <w:r w:rsidRPr="0011449B">
              <w:rPr>
                <w:rFonts w:ascii="Verdana" w:hAnsi="Verdana"/>
                <w:color w:val="000000"/>
                <w:sz w:val="16"/>
              </w:rPr>
              <w:t> </w:t>
            </w:r>
          </w:p>
        </w:tc>
      </w:tr>
      <w:tr w:rsidR="00DB0D5E" w:rsidRPr="0011449B" w14:paraId="2CDFE03E" w14:textId="77777777" w:rsidTr="00735DF5">
        <w:trPr>
          <w:trHeight w:val="300"/>
        </w:trPr>
        <w:tc>
          <w:tcPr>
            <w:tcW w:w="2858" w:type="dxa"/>
            <w:tcBorders>
              <w:top w:val="nil"/>
              <w:left w:val="single" w:sz="8" w:space="0" w:color="auto"/>
              <w:bottom w:val="single" w:sz="4" w:space="0" w:color="auto"/>
              <w:right w:val="single" w:sz="4" w:space="0" w:color="auto"/>
            </w:tcBorders>
            <w:shd w:val="clear" w:color="auto" w:fill="auto"/>
            <w:vAlign w:val="center"/>
            <w:hideMark/>
          </w:tcPr>
          <w:p w14:paraId="38BF812A" w14:textId="77777777" w:rsidR="00DB0D5E" w:rsidRPr="0011449B" w:rsidRDefault="00DB0D5E" w:rsidP="000049FF">
            <w:pPr>
              <w:outlineLvl w:val="0"/>
              <w:rPr>
                <w:rFonts w:ascii="Verdana" w:hAnsi="Verdana"/>
                <w:color w:val="000000"/>
                <w:sz w:val="16"/>
              </w:rPr>
            </w:pPr>
            <w:r w:rsidRPr="0011449B">
              <w:rPr>
                <w:rFonts w:ascii="Verdana" w:hAnsi="Verdana"/>
                <w:color w:val="000000"/>
                <w:sz w:val="16"/>
              </w:rPr>
              <w:t>2.3     OPSL AIT MVP Demo</w:t>
            </w:r>
          </w:p>
        </w:tc>
        <w:tc>
          <w:tcPr>
            <w:tcW w:w="1527" w:type="dxa"/>
            <w:tcBorders>
              <w:top w:val="nil"/>
              <w:left w:val="nil"/>
              <w:bottom w:val="single" w:sz="4" w:space="0" w:color="auto"/>
              <w:right w:val="single" w:sz="4" w:space="0" w:color="auto"/>
            </w:tcBorders>
            <w:shd w:val="clear" w:color="auto" w:fill="auto"/>
            <w:noWrap/>
            <w:vAlign w:val="bottom"/>
            <w:hideMark/>
          </w:tcPr>
          <w:p w14:paraId="25CB06BF" w14:textId="77777777" w:rsidR="00DB0D5E" w:rsidRPr="0011449B" w:rsidRDefault="00DB0D5E" w:rsidP="000049FF">
            <w:pPr>
              <w:jc w:val="right"/>
              <w:outlineLvl w:val="0"/>
              <w:rPr>
                <w:rFonts w:ascii="Verdana" w:hAnsi="Verdana"/>
                <w:b/>
                <w:bCs/>
                <w:color w:val="000000"/>
                <w:sz w:val="16"/>
              </w:rPr>
            </w:pPr>
            <w:r w:rsidRPr="0011449B">
              <w:rPr>
                <w:rFonts w:ascii="Verdana" w:hAnsi="Verdana"/>
                <w:b/>
                <w:bCs/>
                <w:color w:val="000000"/>
                <w:sz w:val="16"/>
              </w:rPr>
              <w:t>$102,500.00</w:t>
            </w:r>
          </w:p>
        </w:tc>
        <w:tc>
          <w:tcPr>
            <w:tcW w:w="1527" w:type="dxa"/>
            <w:tcBorders>
              <w:top w:val="nil"/>
              <w:left w:val="nil"/>
              <w:bottom w:val="single" w:sz="4" w:space="0" w:color="auto"/>
              <w:right w:val="single" w:sz="4" w:space="0" w:color="auto"/>
            </w:tcBorders>
            <w:shd w:val="clear" w:color="auto" w:fill="auto"/>
            <w:noWrap/>
            <w:vAlign w:val="bottom"/>
            <w:hideMark/>
          </w:tcPr>
          <w:p w14:paraId="78CE82BC"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$15,000.00</w:t>
            </w:r>
          </w:p>
        </w:tc>
        <w:tc>
          <w:tcPr>
            <w:tcW w:w="1356" w:type="dxa"/>
            <w:tcBorders>
              <w:top w:val="nil"/>
              <w:left w:val="nil"/>
              <w:bottom w:val="single" w:sz="4" w:space="0" w:color="auto"/>
              <w:right w:val="single" w:sz="4" w:space="0" w:color="auto"/>
            </w:tcBorders>
            <w:shd w:val="clear" w:color="auto" w:fill="auto"/>
            <w:noWrap/>
            <w:vAlign w:val="bottom"/>
            <w:hideMark/>
          </w:tcPr>
          <w:p w14:paraId="257A4CBA"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$7,500.00</w:t>
            </w:r>
          </w:p>
        </w:tc>
        <w:tc>
          <w:tcPr>
            <w:tcW w:w="1690" w:type="dxa"/>
            <w:tcBorders>
              <w:top w:val="nil"/>
              <w:left w:val="nil"/>
              <w:bottom w:val="single" w:sz="4" w:space="0" w:color="auto"/>
              <w:right w:val="single" w:sz="4" w:space="0" w:color="auto"/>
            </w:tcBorders>
            <w:shd w:val="clear" w:color="auto" w:fill="auto"/>
            <w:noWrap/>
            <w:vAlign w:val="bottom"/>
            <w:hideMark/>
          </w:tcPr>
          <w:p w14:paraId="5FDE3ABC"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$65,000.00</w:t>
            </w:r>
          </w:p>
        </w:tc>
        <w:tc>
          <w:tcPr>
            <w:tcW w:w="1242" w:type="dxa"/>
            <w:tcBorders>
              <w:top w:val="nil"/>
              <w:left w:val="nil"/>
              <w:bottom w:val="single" w:sz="4" w:space="0" w:color="auto"/>
              <w:right w:val="single" w:sz="8" w:space="0" w:color="auto"/>
            </w:tcBorders>
            <w:shd w:val="clear" w:color="auto" w:fill="auto"/>
            <w:noWrap/>
            <w:vAlign w:val="bottom"/>
            <w:hideMark/>
          </w:tcPr>
          <w:p w14:paraId="6B801CDB"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$15,000.00</w:t>
            </w:r>
          </w:p>
        </w:tc>
      </w:tr>
      <w:tr w:rsidR="00DB0D5E" w:rsidRPr="0011449B" w14:paraId="3913C7DB" w14:textId="77777777" w:rsidTr="00735DF5">
        <w:trPr>
          <w:trHeight w:val="315"/>
        </w:trPr>
        <w:tc>
          <w:tcPr>
            <w:tcW w:w="2858" w:type="dxa"/>
            <w:tcBorders>
              <w:top w:val="nil"/>
              <w:left w:val="single" w:sz="8" w:space="0" w:color="auto"/>
              <w:bottom w:val="single" w:sz="8" w:space="0" w:color="auto"/>
              <w:right w:val="single" w:sz="4" w:space="0" w:color="auto"/>
            </w:tcBorders>
            <w:shd w:val="clear" w:color="auto" w:fill="auto"/>
            <w:vAlign w:val="center"/>
            <w:hideMark/>
          </w:tcPr>
          <w:p w14:paraId="23AA668B" w14:textId="77777777" w:rsidR="00DB0D5E" w:rsidRPr="0011449B" w:rsidRDefault="00DB0D5E" w:rsidP="000049FF">
            <w:pPr>
              <w:outlineLvl w:val="0"/>
              <w:rPr>
                <w:rFonts w:ascii="Verdana" w:hAnsi="Verdana"/>
                <w:color w:val="000000"/>
                <w:sz w:val="16"/>
              </w:rPr>
            </w:pPr>
            <w:r w:rsidRPr="0011449B">
              <w:rPr>
                <w:rFonts w:ascii="Verdana" w:hAnsi="Verdana"/>
                <w:color w:val="000000"/>
                <w:sz w:val="16"/>
              </w:rPr>
              <w:t>2.4     Package OPSL AIT</w:t>
            </w:r>
          </w:p>
        </w:tc>
        <w:tc>
          <w:tcPr>
            <w:tcW w:w="1527" w:type="dxa"/>
            <w:tcBorders>
              <w:top w:val="nil"/>
              <w:left w:val="nil"/>
              <w:bottom w:val="single" w:sz="8" w:space="0" w:color="auto"/>
              <w:right w:val="single" w:sz="4" w:space="0" w:color="auto"/>
            </w:tcBorders>
            <w:shd w:val="clear" w:color="auto" w:fill="auto"/>
            <w:noWrap/>
            <w:vAlign w:val="bottom"/>
            <w:hideMark/>
          </w:tcPr>
          <w:p w14:paraId="5B2CA8ED" w14:textId="77777777" w:rsidR="00DB0D5E" w:rsidRPr="0011449B" w:rsidRDefault="00DB0D5E" w:rsidP="000049FF">
            <w:pPr>
              <w:jc w:val="right"/>
              <w:outlineLvl w:val="0"/>
              <w:rPr>
                <w:rFonts w:ascii="Verdana" w:hAnsi="Verdana"/>
                <w:b/>
                <w:bCs/>
                <w:color w:val="000000"/>
                <w:sz w:val="16"/>
              </w:rPr>
            </w:pPr>
            <w:r w:rsidRPr="0011449B">
              <w:rPr>
                <w:rFonts w:ascii="Verdana" w:hAnsi="Verdana"/>
                <w:b/>
                <w:bCs/>
                <w:color w:val="000000"/>
                <w:sz w:val="16"/>
              </w:rPr>
              <w:t>$45,000.00</w:t>
            </w:r>
          </w:p>
        </w:tc>
        <w:tc>
          <w:tcPr>
            <w:tcW w:w="1527" w:type="dxa"/>
            <w:tcBorders>
              <w:top w:val="nil"/>
              <w:left w:val="nil"/>
              <w:bottom w:val="single" w:sz="8" w:space="0" w:color="auto"/>
              <w:right w:val="single" w:sz="4" w:space="0" w:color="auto"/>
            </w:tcBorders>
            <w:shd w:val="clear" w:color="auto" w:fill="auto"/>
            <w:noWrap/>
            <w:vAlign w:val="bottom"/>
            <w:hideMark/>
          </w:tcPr>
          <w:p w14:paraId="5B598268"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$5,000.00</w:t>
            </w:r>
          </w:p>
        </w:tc>
        <w:tc>
          <w:tcPr>
            <w:tcW w:w="1356" w:type="dxa"/>
            <w:tcBorders>
              <w:top w:val="nil"/>
              <w:left w:val="nil"/>
              <w:bottom w:val="single" w:sz="8" w:space="0" w:color="auto"/>
              <w:right w:val="single" w:sz="4" w:space="0" w:color="auto"/>
            </w:tcBorders>
            <w:shd w:val="clear" w:color="auto" w:fill="auto"/>
            <w:noWrap/>
            <w:vAlign w:val="bottom"/>
            <w:hideMark/>
          </w:tcPr>
          <w:p w14:paraId="13ECC8B8"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$0.00</w:t>
            </w:r>
          </w:p>
        </w:tc>
        <w:tc>
          <w:tcPr>
            <w:tcW w:w="1690" w:type="dxa"/>
            <w:tcBorders>
              <w:top w:val="nil"/>
              <w:left w:val="nil"/>
              <w:bottom w:val="single" w:sz="8" w:space="0" w:color="auto"/>
              <w:right w:val="single" w:sz="4" w:space="0" w:color="auto"/>
            </w:tcBorders>
            <w:shd w:val="clear" w:color="auto" w:fill="auto"/>
            <w:noWrap/>
            <w:vAlign w:val="bottom"/>
            <w:hideMark/>
          </w:tcPr>
          <w:p w14:paraId="7DDCF4C3"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$40,000.00</w:t>
            </w:r>
          </w:p>
        </w:tc>
        <w:tc>
          <w:tcPr>
            <w:tcW w:w="1242" w:type="dxa"/>
            <w:tcBorders>
              <w:top w:val="nil"/>
              <w:left w:val="nil"/>
              <w:bottom w:val="single" w:sz="8" w:space="0" w:color="auto"/>
              <w:right w:val="single" w:sz="8" w:space="0" w:color="auto"/>
            </w:tcBorders>
            <w:shd w:val="clear" w:color="auto" w:fill="auto"/>
            <w:noWrap/>
            <w:vAlign w:val="bottom"/>
            <w:hideMark/>
          </w:tcPr>
          <w:p w14:paraId="20A6C657"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 </w:t>
            </w:r>
          </w:p>
        </w:tc>
      </w:tr>
      <w:tr w:rsidR="00DB0D5E" w:rsidRPr="0011449B" w14:paraId="195C139A" w14:textId="77777777" w:rsidTr="00735DF5">
        <w:trPr>
          <w:trHeight w:val="510"/>
        </w:trPr>
        <w:tc>
          <w:tcPr>
            <w:tcW w:w="2858" w:type="dxa"/>
            <w:tcBorders>
              <w:top w:val="nil"/>
              <w:left w:val="single" w:sz="8" w:space="0" w:color="auto"/>
              <w:bottom w:val="single" w:sz="4" w:space="0" w:color="auto"/>
              <w:right w:val="single" w:sz="4" w:space="0" w:color="auto"/>
            </w:tcBorders>
            <w:shd w:val="clear" w:color="auto" w:fill="auto"/>
            <w:vAlign w:val="center"/>
            <w:hideMark/>
          </w:tcPr>
          <w:p w14:paraId="46E6E4A4" w14:textId="77777777" w:rsidR="00DB0D5E" w:rsidRPr="0011449B" w:rsidRDefault="00DB0D5E" w:rsidP="000049FF">
            <w:pPr>
              <w:rPr>
                <w:rFonts w:ascii="Verdana" w:hAnsi="Verdana"/>
                <w:b/>
                <w:bCs/>
                <w:color w:val="000000"/>
                <w:sz w:val="16"/>
              </w:rPr>
            </w:pPr>
            <w:r w:rsidRPr="0011449B">
              <w:rPr>
                <w:rFonts w:ascii="Verdana" w:hAnsi="Verdana"/>
                <w:b/>
                <w:bCs/>
                <w:color w:val="000000"/>
                <w:sz w:val="16"/>
              </w:rPr>
              <w:t>3       Standardized AIT Raw Data Format</w:t>
            </w:r>
          </w:p>
        </w:tc>
        <w:tc>
          <w:tcPr>
            <w:tcW w:w="1527" w:type="dxa"/>
            <w:tcBorders>
              <w:top w:val="nil"/>
              <w:left w:val="nil"/>
              <w:bottom w:val="single" w:sz="4" w:space="0" w:color="auto"/>
              <w:right w:val="single" w:sz="4" w:space="0" w:color="auto"/>
            </w:tcBorders>
            <w:shd w:val="clear" w:color="auto" w:fill="auto"/>
            <w:noWrap/>
            <w:vAlign w:val="bottom"/>
            <w:hideMark/>
          </w:tcPr>
          <w:p w14:paraId="22DE3761"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$291,500.00</w:t>
            </w:r>
          </w:p>
        </w:tc>
        <w:tc>
          <w:tcPr>
            <w:tcW w:w="1527" w:type="dxa"/>
            <w:tcBorders>
              <w:top w:val="nil"/>
              <w:left w:val="nil"/>
              <w:bottom w:val="single" w:sz="4" w:space="0" w:color="auto"/>
              <w:right w:val="single" w:sz="4" w:space="0" w:color="auto"/>
            </w:tcBorders>
            <w:shd w:val="clear" w:color="auto" w:fill="auto"/>
            <w:noWrap/>
            <w:vAlign w:val="bottom"/>
            <w:hideMark/>
          </w:tcPr>
          <w:p w14:paraId="41FF48DF"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$145,000.00</w:t>
            </w:r>
          </w:p>
        </w:tc>
        <w:tc>
          <w:tcPr>
            <w:tcW w:w="1356" w:type="dxa"/>
            <w:tcBorders>
              <w:top w:val="nil"/>
              <w:left w:val="nil"/>
              <w:bottom w:val="single" w:sz="4" w:space="0" w:color="auto"/>
              <w:right w:val="single" w:sz="4" w:space="0" w:color="auto"/>
            </w:tcBorders>
            <w:shd w:val="clear" w:color="auto" w:fill="auto"/>
            <w:noWrap/>
            <w:vAlign w:val="bottom"/>
            <w:hideMark/>
          </w:tcPr>
          <w:p w14:paraId="799B7B89"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$13,500.00</w:t>
            </w:r>
          </w:p>
        </w:tc>
        <w:tc>
          <w:tcPr>
            <w:tcW w:w="1690" w:type="dxa"/>
            <w:tcBorders>
              <w:top w:val="nil"/>
              <w:left w:val="nil"/>
              <w:bottom w:val="single" w:sz="4" w:space="0" w:color="auto"/>
              <w:right w:val="single" w:sz="4" w:space="0" w:color="auto"/>
            </w:tcBorders>
            <w:shd w:val="clear" w:color="auto" w:fill="auto"/>
            <w:noWrap/>
            <w:vAlign w:val="bottom"/>
            <w:hideMark/>
          </w:tcPr>
          <w:p w14:paraId="5CDF1F85"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$113,000.00</w:t>
            </w:r>
          </w:p>
        </w:tc>
        <w:tc>
          <w:tcPr>
            <w:tcW w:w="1242" w:type="dxa"/>
            <w:tcBorders>
              <w:top w:val="nil"/>
              <w:left w:val="nil"/>
              <w:bottom w:val="single" w:sz="4" w:space="0" w:color="auto"/>
              <w:right w:val="single" w:sz="8" w:space="0" w:color="auto"/>
            </w:tcBorders>
            <w:shd w:val="clear" w:color="auto" w:fill="auto"/>
            <w:noWrap/>
            <w:vAlign w:val="bottom"/>
            <w:hideMark/>
          </w:tcPr>
          <w:p w14:paraId="76C9089B"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$20,000.00</w:t>
            </w:r>
          </w:p>
        </w:tc>
      </w:tr>
      <w:tr w:rsidR="00DB0D5E" w:rsidRPr="0011449B" w14:paraId="40760374" w14:textId="77777777" w:rsidTr="00735DF5">
        <w:trPr>
          <w:trHeight w:val="548"/>
        </w:trPr>
        <w:tc>
          <w:tcPr>
            <w:tcW w:w="2858" w:type="dxa"/>
            <w:tcBorders>
              <w:top w:val="nil"/>
              <w:left w:val="single" w:sz="8" w:space="0" w:color="auto"/>
              <w:bottom w:val="single" w:sz="4" w:space="0" w:color="auto"/>
              <w:right w:val="single" w:sz="4" w:space="0" w:color="auto"/>
            </w:tcBorders>
            <w:shd w:val="clear" w:color="auto" w:fill="auto"/>
            <w:vAlign w:val="center"/>
            <w:hideMark/>
          </w:tcPr>
          <w:p w14:paraId="7C68C6FF" w14:textId="77777777" w:rsidR="00DB0D5E" w:rsidRPr="0011449B" w:rsidRDefault="00DB0D5E" w:rsidP="000049FF">
            <w:pPr>
              <w:rPr>
                <w:rFonts w:ascii="Verdana" w:hAnsi="Verdana"/>
                <w:color w:val="000000"/>
                <w:sz w:val="16"/>
              </w:rPr>
            </w:pPr>
            <w:r w:rsidRPr="0011449B">
              <w:rPr>
                <w:rFonts w:ascii="Verdana" w:hAnsi="Verdana"/>
                <w:color w:val="000000"/>
                <w:sz w:val="16"/>
              </w:rPr>
              <w:t>3.1     AIT Architecture/Industry Exploration</w:t>
            </w:r>
          </w:p>
        </w:tc>
        <w:tc>
          <w:tcPr>
            <w:tcW w:w="1527" w:type="dxa"/>
            <w:tcBorders>
              <w:top w:val="nil"/>
              <w:left w:val="nil"/>
              <w:bottom w:val="single" w:sz="4" w:space="0" w:color="auto"/>
              <w:right w:val="single" w:sz="4" w:space="0" w:color="auto"/>
            </w:tcBorders>
            <w:shd w:val="clear" w:color="auto" w:fill="auto"/>
            <w:noWrap/>
            <w:vAlign w:val="bottom"/>
            <w:hideMark/>
          </w:tcPr>
          <w:p w14:paraId="5AA70C7C"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$75,000.00</w:t>
            </w:r>
          </w:p>
        </w:tc>
        <w:tc>
          <w:tcPr>
            <w:tcW w:w="1527" w:type="dxa"/>
            <w:tcBorders>
              <w:top w:val="nil"/>
              <w:left w:val="nil"/>
              <w:bottom w:val="single" w:sz="4" w:space="0" w:color="auto"/>
              <w:right w:val="single" w:sz="4" w:space="0" w:color="auto"/>
            </w:tcBorders>
            <w:shd w:val="clear" w:color="auto" w:fill="auto"/>
            <w:noWrap/>
            <w:vAlign w:val="bottom"/>
            <w:hideMark/>
          </w:tcPr>
          <w:p w14:paraId="5596E7CF" w14:textId="77777777" w:rsidR="00DB0D5E" w:rsidRPr="0011449B" w:rsidRDefault="00DB0D5E" w:rsidP="000049FF">
            <w:pPr>
              <w:jc w:val="right"/>
              <w:rPr>
                <w:rFonts w:ascii="Verdana" w:hAnsi="Verdana"/>
                <w:color w:val="000000"/>
                <w:sz w:val="16"/>
              </w:rPr>
            </w:pPr>
            <w:r w:rsidRPr="0011449B">
              <w:rPr>
                <w:rFonts w:ascii="Verdana" w:hAnsi="Verdana"/>
                <w:color w:val="000000"/>
                <w:sz w:val="16"/>
              </w:rPr>
              <w:t>$45,000.00</w:t>
            </w:r>
          </w:p>
        </w:tc>
        <w:tc>
          <w:tcPr>
            <w:tcW w:w="1356" w:type="dxa"/>
            <w:tcBorders>
              <w:top w:val="nil"/>
              <w:left w:val="nil"/>
              <w:bottom w:val="single" w:sz="4" w:space="0" w:color="auto"/>
              <w:right w:val="single" w:sz="4" w:space="0" w:color="auto"/>
            </w:tcBorders>
            <w:shd w:val="clear" w:color="auto" w:fill="auto"/>
            <w:noWrap/>
            <w:vAlign w:val="bottom"/>
            <w:hideMark/>
          </w:tcPr>
          <w:p w14:paraId="1947C638" w14:textId="77777777" w:rsidR="00DB0D5E" w:rsidRPr="0011449B" w:rsidRDefault="00DB0D5E" w:rsidP="000049FF">
            <w:pPr>
              <w:jc w:val="right"/>
              <w:rPr>
                <w:rFonts w:ascii="Verdana" w:hAnsi="Verdana"/>
                <w:color w:val="000000"/>
                <w:sz w:val="16"/>
              </w:rPr>
            </w:pPr>
            <w:r w:rsidRPr="0011449B">
              <w:rPr>
                <w:rFonts w:ascii="Verdana" w:hAnsi="Verdana"/>
                <w:color w:val="000000"/>
                <w:sz w:val="16"/>
              </w:rPr>
              <w:t>$0.00</w:t>
            </w:r>
          </w:p>
        </w:tc>
        <w:tc>
          <w:tcPr>
            <w:tcW w:w="1690" w:type="dxa"/>
            <w:tcBorders>
              <w:top w:val="nil"/>
              <w:left w:val="nil"/>
              <w:bottom w:val="single" w:sz="4" w:space="0" w:color="auto"/>
              <w:right w:val="single" w:sz="4" w:space="0" w:color="auto"/>
            </w:tcBorders>
            <w:shd w:val="clear" w:color="auto" w:fill="auto"/>
            <w:noWrap/>
            <w:vAlign w:val="bottom"/>
            <w:hideMark/>
          </w:tcPr>
          <w:p w14:paraId="718C19E6" w14:textId="77777777" w:rsidR="00DB0D5E" w:rsidRPr="0011449B" w:rsidRDefault="00DB0D5E" w:rsidP="000049FF">
            <w:pPr>
              <w:jc w:val="right"/>
              <w:rPr>
                <w:rFonts w:ascii="Verdana" w:hAnsi="Verdana"/>
                <w:color w:val="000000"/>
                <w:sz w:val="16"/>
              </w:rPr>
            </w:pPr>
            <w:r w:rsidRPr="0011449B">
              <w:rPr>
                <w:rFonts w:ascii="Verdana" w:hAnsi="Verdana"/>
                <w:color w:val="000000"/>
                <w:sz w:val="16"/>
              </w:rPr>
              <w:t>$20,000.00</w:t>
            </w:r>
          </w:p>
        </w:tc>
        <w:tc>
          <w:tcPr>
            <w:tcW w:w="1242" w:type="dxa"/>
            <w:tcBorders>
              <w:top w:val="nil"/>
              <w:left w:val="nil"/>
              <w:bottom w:val="single" w:sz="4" w:space="0" w:color="auto"/>
              <w:right w:val="single" w:sz="8" w:space="0" w:color="auto"/>
            </w:tcBorders>
            <w:shd w:val="clear" w:color="auto" w:fill="auto"/>
            <w:noWrap/>
            <w:vAlign w:val="bottom"/>
            <w:hideMark/>
          </w:tcPr>
          <w:p w14:paraId="26CA784E" w14:textId="77777777" w:rsidR="00DB0D5E" w:rsidRPr="0011449B" w:rsidRDefault="00DB0D5E" w:rsidP="000049FF">
            <w:pPr>
              <w:jc w:val="right"/>
              <w:rPr>
                <w:rFonts w:ascii="Verdana" w:hAnsi="Verdana"/>
                <w:color w:val="000000"/>
                <w:sz w:val="16"/>
              </w:rPr>
            </w:pPr>
            <w:r w:rsidRPr="0011449B">
              <w:rPr>
                <w:rFonts w:ascii="Verdana" w:hAnsi="Verdana"/>
                <w:color w:val="000000"/>
                <w:sz w:val="16"/>
              </w:rPr>
              <w:t>$10,000.00</w:t>
            </w:r>
          </w:p>
        </w:tc>
      </w:tr>
      <w:tr w:rsidR="00DB0D5E" w:rsidRPr="0011449B" w14:paraId="2C91EBB4" w14:textId="77777777" w:rsidTr="00735DF5">
        <w:trPr>
          <w:trHeight w:val="300"/>
        </w:trPr>
        <w:tc>
          <w:tcPr>
            <w:tcW w:w="2858" w:type="dxa"/>
            <w:tcBorders>
              <w:top w:val="nil"/>
              <w:left w:val="single" w:sz="8" w:space="0" w:color="auto"/>
              <w:bottom w:val="single" w:sz="4" w:space="0" w:color="auto"/>
              <w:right w:val="single" w:sz="4" w:space="0" w:color="auto"/>
            </w:tcBorders>
            <w:shd w:val="clear" w:color="auto" w:fill="auto"/>
            <w:vAlign w:val="center"/>
            <w:hideMark/>
          </w:tcPr>
          <w:p w14:paraId="0A6F5F0C" w14:textId="77777777" w:rsidR="00DB0D5E" w:rsidRPr="0011449B" w:rsidRDefault="00DB0D5E" w:rsidP="000049FF">
            <w:pPr>
              <w:outlineLvl w:val="0"/>
              <w:rPr>
                <w:rFonts w:ascii="Verdana" w:hAnsi="Verdana"/>
                <w:color w:val="000000"/>
                <w:sz w:val="16"/>
              </w:rPr>
            </w:pPr>
            <w:r w:rsidRPr="0011449B">
              <w:rPr>
                <w:rFonts w:ascii="Verdana" w:hAnsi="Verdana"/>
                <w:color w:val="000000"/>
                <w:sz w:val="16"/>
              </w:rPr>
              <w:t>3.2     Draft Specification</w:t>
            </w:r>
          </w:p>
        </w:tc>
        <w:tc>
          <w:tcPr>
            <w:tcW w:w="1527" w:type="dxa"/>
            <w:tcBorders>
              <w:top w:val="nil"/>
              <w:left w:val="nil"/>
              <w:bottom w:val="single" w:sz="4" w:space="0" w:color="auto"/>
              <w:right w:val="single" w:sz="4" w:space="0" w:color="auto"/>
            </w:tcBorders>
            <w:shd w:val="clear" w:color="auto" w:fill="auto"/>
            <w:noWrap/>
            <w:vAlign w:val="bottom"/>
            <w:hideMark/>
          </w:tcPr>
          <w:p w14:paraId="6D9E0408" w14:textId="77777777" w:rsidR="00DB0D5E" w:rsidRPr="0011449B" w:rsidRDefault="00DB0D5E" w:rsidP="000049FF">
            <w:pPr>
              <w:jc w:val="right"/>
              <w:outlineLvl w:val="0"/>
              <w:rPr>
                <w:rFonts w:ascii="Verdana" w:hAnsi="Verdana"/>
                <w:b/>
                <w:bCs/>
                <w:color w:val="000000"/>
                <w:sz w:val="16"/>
              </w:rPr>
            </w:pPr>
            <w:r w:rsidRPr="0011449B">
              <w:rPr>
                <w:rFonts w:ascii="Verdana" w:hAnsi="Verdana"/>
                <w:b/>
                <w:bCs/>
                <w:color w:val="000000"/>
                <w:sz w:val="16"/>
              </w:rPr>
              <w:t>$28,000.00</w:t>
            </w:r>
          </w:p>
        </w:tc>
        <w:tc>
          <w:tcPr>
            <w:tcW w:w="1527" w:type="dxa"/>
            <w:tcBorders>
              <w:top w:val="nil"/>
              <w:left w:val="nil"/>
              <w:bottom w:val="single" w:sz="4" w:space="0" w:color="auto"/>
              <w:right w:val="single" w:sz="4" w:space="0" w:color="auto"/>
            </w:tcBorders>
            <w:shd w:val="clear" w:color="auto" w:fill="auto"/>
            <w:noWrap/>
            <w:vAlign w:val="bottom"/>
            <w:hideMark/>
          </w:tcPr>
          <w:p w14:paraId="620D9B58"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$20,000.00</w:t>
            </w:r>
          </w:p>
        </w:tc>
        <w:tc>
          <w:tcPr>
            <w:tcW w:w="1356" w:type="dxa"/>
            <w:tcBorders>
              <w:top w:val="nil"/>
              <w:left w:val="nil"/>
              <w:bottom w:val="single" w:sz="4" w:space="0" w:color="auto"/>
              <w:right w:val="single" w:sz="4" w:space="0" w:color="auto"/>
            </w:tcBorders>
            <w:shd w:val="clear" w:color="auto" w:fill="auto"/>
            <w:noWrap/>
            <w:vAlign w:val="bottom"/>
            <w:hideMark/>
          </w:tcPr>
          <w:p w14:paraId="3F0D6326"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$0.00</w:t>
            </w:r>
          </w:p>
        </w:tc>
        <w:tc>
          <w:tcPr>
            <w:tcW w:w="1690" w:type="dxa"/>
            <w:tcBorders>
              <w:top w:val="nil"/>
              <w:left w:val="nil"/>
              <w:bottom w:val="single" w:sz="4" w:space="0" w:color="auto"/>
              <w:right w:val="single" w:sz="4" w:space="0" w:color="auto"/>
            </w:tcBorders>
            <w:shd w:val="clear" w:color="auto" w:fill="auto"/>
            <w:noWrap/>
            <w:vAlign w:val="bottom"/>
            <w:hideMark/>
          </w:tcPr>
          <w:p w14:paraId="7FA17D05"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$8,000.00</w:t>
            </w:r>
          </w:p>
        </w:tc>
        <w:tc>
          <w:tcPr>
            <w:tcW w:w="1242" w:type="dxa"/>
            <w:tcBorders>
              <w:top w:val="nil"/>
              <w:left w:val="nil"/>
              <w:bottom w:val="single" w:sz="4" w:space="0" w:color="auto"/>
              <w:right w:val="single" w:sz="8" w:space="0" w:color="auto"/>
            </w:tcBorders>
            <w:shd w:val="clear" w:color="auto" w:fill="auto"/>
            <w:noWrap/>
            <w:vAlign w:val="bottom"/>
            <w:hideMark/>
          </w:tcPr>
          <w:p w14:paraId="71462F4F"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$0.00</w:t>
            </w:r>
          </w:p>
        </w:tc>
      </w:tr>
      <w:tr w:rsidR="00DB0D5E" w:rsidRPr="0011449B" w14:paraId="036FECDF" w14:textId="77777777" w:rsidTr="00735DF5">
        <w:trPr>
          <w:trHeight w:val="300"/>
        </w:trPr>
        <w:tc>
          <w:tcPr>
            <w:tcW w:w="2858" w:type="dxa"/>
            <w:tcBorders>
              <w:top w:val="nil"/>
              <w:left w:val="single" w:sz="8" w:space="0" w:color="auto"/>
              <w:bottom w:val="single" w:sz="4" w:space="0" w:color="auto"/>
              <w:right w:val="single" w:sz="4" w:space="0" w:color="auto"/>
            </w:tcBorders>
            <w:shd w:val="clear" w:color="auto" w:fill="auto"/>
            <w:vAlign w:val="center"/>
            <w:hideMark/>
          </w:tcPr>
          <w:p w14:paraId="750C118F" w14:textId="77777777" w:rsidR="00DB0D5E" w:rsidRPr="0011449B" w:rsidRDefault="00DB0D5E" w:rsidP="000049FF">
            <w:pPr>
              <w:outlineLvl w:val="0"/>
              <w:rPr>
                <w:rFonts w:ascii="Verdana" w:hAnsi="Verdana"/>
                <w:color w:val="000000"/>
                <w:sz w:val="16"/>
              </w:rPr>
            </w:pPr>
            <w:r w:rsidRPr="0011449B">
              <w:rPr>
                <w:rFonts w:ascii="Verdana" w:hAnsi="Verdana"/>
                <w:color w:val="000000"/>
                <w:sz w:val="16"/>
              </w:rPr>
              <w:t>3.3     SDK</w:t>
            </w:r>
          </w:p>
        </w:tc>
        <w:tc>
          <w:tcPr>
            <w:tcW w:w="1527" w:type="dxa"/>
            <w:tcBorders>
              <w:top w:val="nil"/>
              <w:left w:val="nil"/>
              <w:bottom w:val="single" w:sz="4" w:space="0" w:color="auto"/>
              <w:right w:val="single" w:sz="4" w:space="0" w:color="auto"/>
            </w:tcBorders>
            <w:shd w:val="clear" w:color="auto" w:fill="auto"/>
            <w:noWrap/>
            <w:vAlign w:val="bottom"/>
            <w:hideMark/>
          </w:tcPr>
          <w:p w14:paraId="6B0A8B7D" w14:textId="77777777" w:rsidR="00DB0D5E" w:rsidRPr="0011449B" w:rsidRDefault="00DB0D5E" w:rsidP="000049FF">
            <w:pPr>
              <w:jc w:val="right"/>
              <w:outlineLvl w:val="0"/>
              <w:rPr>
                <w:rFonts w:ascii="Verdana" w:hAnsi="Verdana"/>
                <w:b/>
                <w:bCs/>
                <w:color w:val="000000"/>
                <w:sz w:val="16"/>
              </w:rPr>
            </w:pPr>
            <w:r w:rsidRPr="0011449B">
              <w:rPr>
                <w:rFonts w:ascii="Verdana" w:hAnsi="Verdana"/>
                <w:b/>
                <w:bCs/>
                <w:color w:val="000000"/>
                <w:sz w:val="16"/>
              </w:rPr>
              <w:t>$83,500.00</w:t>
            </w:r>
          </w:p>
        </w:tc>
        <w:tc>
          <w:tcPr>
            <w:tcW w:w="1527" w:type="dxa"/>
            <w:tcBorders>
              <w:top w:val="nil"/>
              <w:left w:val="nil"/>
              <w:bottom w:val="single" w:sz="4" w:space="0" w:color="auto"/>
              <w:right w:val="single" w:sz="4" w:space="0" w:color="auto"/>
            </w:tcBorders>
            <w:shd w:val="clear" w:color="auto" w:fill="auto"/>
            <w:noWrap/>
            <w:vAlign w:val="bottom"/>
            <w:hideMark/>
          </w:tcPr>
          <w:p w14:paraId="0E9633DF"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$30,000.00</w:t>
            </w:r>
          </w:p>
        </w:tc>
        <w:tc>
          <w:tcPr>
            <w:tcW w:w="1356" w:type="dxa"/>
            <w:tcBorders>
              <w:top w:val="nil"/>
              <w:left w:val="nil"/>
              <w:bottom w:val="single" w:sz="4" w:space="0" w:color="auto"/>
              <w:right w:val="single" w:sz="4" w:space="0" w:color="auto"/>
            </w:tcBorders>
            <w:shd w:val="clear" w:color="auto" w:fill="auto"/>
            <w:noWrap/>
            <w:vAlign w:val="bottom"/>
            <w:hideMark/>
          </w:tcPr>
          <w:p w14:paraId="3350B66C"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$3,500.00</w:t>
            </w:r>
          </w:p>
        </w:tc>
        <w:tc>
          <w:tcPr>
            <w:tcW w:w="1690" w:type="dxa"/>
            <w:tcBorders>
              <w:top w:val="nil"/>
              <w:left w:val="nil"/>
              <w:bottom w:val="single" w:sz="4" w:space="0" w:color="auto"/>
              <w:right w:val="single" w:sz="4" w:space="0" w:color="auto"/>
            </w:tcBorders>
            <w:shd w:val="clear" w:color="auto" w:fill="auto"/>
            <w:noWrap/>
            <w:vAlign w:val="bottom"/>
            <w:hideMark/>
          </w:tcPr>
          <w:p w14:paraId="3A7320DB"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$50,000.00</w:t>
            </w:r>
          </w:p>
        </w:tc>
        <w:tc>
          <w:tcPr>
            <w:tcW w:w="1242" w:type="dxa"/>
            <w:tcBorders>
              <w:top w:val="nil"/>
              <w:left w:val="nil"/>
              <w:bottom w:val="single" w:sz="4" w:space="0" w:color="auto"/>
              <w:right w:val="single" w:sz="8" w:space="0" w:color="auto"/>
            </w:tcBorders>
            <w:shd w:val="clear" w:color="auto" w:fill="auto"/>
            <w:noWrap/>
            <w:vAlign w:val="bottom"/>
            <w:hideMark/>
          </w:tcPr>
          <w:p w14:paraId="6DC0404E"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$0.00</w:t>
            </w:r>
          </w:p>
        </w:tc>
      </w:tr>
      <w:tr w:rsidR="00DB0D5E" w:rsidRPr="0011449B" w14:paraId="2E5C4571" w14:textId="77777777" w:rsidTr="00735DF5">
        <w:trPr>
          <w:trHeight w:val="300"/>
        </w:trPr>
        <w:tc>
          <w:tcPr>
            <w:tcW w:w="2858" w:type="dxa"/>
            <w:tcBorders>
              <w:top w:val="nil"/>
              <w:left w:val="single" w:sz="8" w:space="0" w:color="auto"/>
              <w:bottom w:val="single" w:sz="4" w:space="0" w:color="auto"/>
              <w:right w:val="single" w:sz="4" w:space="0" w:color="auto"/>
            </w:tcBorders>
            <w:shd w:val="clear" w:color="auto" w:fill="auto"/>
            <w:vAlign w:val="center"/>
            <w:hideMark/>
          </w:tcPr>
          <w:p w14:paraId="77DED623" w14:textId="77777777" w:rsidR="00DB0D5E" w:rsidRPr="0011449B" w:rsidRDefault="00DB0D5E" w:rsidP="000049FF">
            <w:pPr>
              <w:outlineLvl w:val="0"/>
              <w:rPr>
                <w:rFonts w:ascii="Verdana" w:hAnsi="Verdana"/>
                <w:color w:val="000000"/>
                <w:sz w:val="16"/>
              </w:rPr>
            </w:pPr>
            <w:r w:rsidRPr="0011449B">
              <w:rPr>
                <w:rFonts w:ascii="Verdana" w:hAnsi="Verdana"/>
                <w:color w:val="000000"/>
                <w:sz w:val="16"/>
              </w:rPr>
              <w:lastRenderedPageBreak/>
              <w:t>3.4     MVP Demo</w:t>
            </w:r>
          </w:p>
        </w:tc>
        <w:tc>
          <w:tcPr>
            <w:tcW w:w="1527" w:type="dxa"/>
            <w:tcBorders>
              <w:top w:val="nil"/>
              <w:left w:val="nil"/>
              <w:bottom w:val="single" w:sz="4" w:space="0" w:color="auto"/>
              <w:right w:val="single" w:sz="4" w:space="0" w:color="auto"/>
            </w:tcBorders>
            <w:shd w:val="clear" w:color="auto" w:fill="auto"/>
            <w:noWrap/>
            <w:vAlign w:val="bottom"/>
            <w:hideMark/>
          </w:tcPr>
          <w:p w14:paraId="3ACA0695" w14:textId="77777777" w:rsidR="00DB0D5E" w:rsidRPr="0011449B" w:rsidRDefault="00DB0D5E" w:rsidP="000049FF">
            <w:pPr>
              <w:jc w:val="right"/>
              <w:outlineLvl w:val="0"/>
              <w:rPr>
                <w:rFonts w:ascii="Verdana" w:hAnsi="Verdana"/>
                <w:b/>
                <w:bCs/>
                <w:color w:val="000000"/>
                <w:sz w:val="16"/>
              </w:rPr>
            </w:pPr>
            <w:r w:rsidRPr="0011449B">
              <w:rPr>
                <w:rFonts w:ascii="Verdana" w:hAnsi="Verdana"/>
                <w:b/>
                <w:bCs/>
                <w:color w:val="000000"/>
                <w:sz w:val="16"/>
              </w:rPr>
              <w:t>$70,000.00</w:t>
            </w:r>
          </w:p>
        </w:tc>
        <w:tc>
          <w:tcPr>
            <w:tcW w:w="1527" w:type="dxa"/>
            <w:tcBorders>
              <w:top w:val="nil"/>
              <w:left w:val="nil"/>
              <w:bottom w:val="single" w:sz="4" w:space="0" w:color="auto"/>
              <w:right w:val="single" w:sz="4" w:space="0" w:color="auto"/>
            </w:tcBorders>
            <w:shd w:val="clear" w:color="auto" w:fill="auto"/>
            <w:noWrap/>
            <w:vAlign w:val="bottom"/>
            <w:hideMark/>
          </w:tcPr>
          <w:p w14:paraId="736B645B"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$40,000.00</w:t>
            </w:r>
          </w:p>
        </w:tc>
        <w:tc>
          <w:tcPr>
            <w:tcW w:w="1356" w:type="dxa"/>
            <w:tcBorders>
              <w:top w:val="nil"/>
              <w:left w:val="nil"/>
              <w:bottom w:val="single" w:sz="4" w:space="0" w:color="auto"/>
              <w:right w:val="single" w:sz="4" w:space="0" w:color="auto"/>
            </w:tcBorders>
            <w:shd w:val="clear" w:color="auto" w:fill="auto"/>
            <w:noWrap/>
            <w:vAlign w:val="bottom"/>
            <w:hideMark/>
          </w:tcPr>
          <w:p w14:paraId="79F5FC47"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$10,000.00</w:t>
            </w:r>
          </w:p>
        </w:tc>
        <w:tc>
          <w:tcPr>
            <w:tcW w:w="1690" w:type="dxa"/>
            <w:tcBorders>
              <w:top w:val="nil"/>
              <w:left w:val="nil"/>
              <w:bottom w:val="single" w:sz="4" w:space="0" w:color="auto"/>
              <w:right w:val="single" w:sz="4" w:space="0" w:color="auto"/>
            </w:tcBorders>
            <w:shd w:val="clear" w:color="auto" w:fill="auto"/>
            <w:noWrap/>
            <w:vAlign w:val="bottom"/>
            <w:hideMark/>
          </w:tcPr>
          <w:p w14:paraId="6CDC2E58"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$10,000.00</w:t>
            </w:r>
          </w:p>
        </w:tc>
        <w:tc>
          <w:tcPr>
            <w:tcW w:w="1242" w:type="dxa"/>
            <w:tcBorders>
              <w:top w:val="nil"/>
              <w:left w:val="nil"/>
              <w:bottom w:val="single" w:sz="4" w:space="0" w:color="auto"/>
              <w:right w:val="single" w:sz="8" w:space="0" w:color="auto"/>
            </w:tcBorders>
            <w:shd w:val="clear" w:color="auto" w:fill="auto"/>
            <w:noWrap/>
            <w:vAlign w:val="bottom"/>
            <w:hideMark/>
          </w:tcPr>
          <w:p w14:paraId="55EADE3A"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$10,000.00</w:t>
            </w:r>
          </w:p>
        </w:tc>
      </w:tr>
      <w:tr w:rsidR="00DB0D5E" w:rsidRPr="0011449B" w14:paraId="36DF2C73" w14:textId="77777777" w:rsidTr="00735DF5">
        <w:trPr>
          <w:trHeight w:val="315"/>
        </w:trPr>
        <w:tc>
          <w:tcPr>
            <w:tcW w:w="2858" w:type="dxa"/>
            <w:tcBorders>
              <w:top w:val="nil"/>
              <w:left w:val="single" w:sz="8" w:space="0" w:color="auto"/>
              <w:bottom w:val="single" w:sz="8" w:space="0" w:color="auto"/>
              <w:right w:val="single" w:sz="4" w:space="0" w:color="auto"/>
            </w:tcBorders>
            <w:shd w:val="clear" w:color="auto" w:fill="auto"/>
            <w:vAlign w:val="center"/>
            <w:hideMark/>
          </w:tcPr>
          <w:p w14:paraId="24E0C8E2" w14:textId="77777777" w:rsidR="00DB0D5E" w:rsidRPr="0011449B" w:rsidRDefault="00DB0D5E" w:rsidP="000049FF">
            <w:pPr>
              <w:outlineLvl w:val="0"/>
              <w:rPr>
                <w:rFonts w:ascii="Verdana" w:hAnsi="Verdana"/>
                <w:color w:val="000000"/>
                <w:sz w:val="16"/>
              </w:rPr>
            </w:pPr>
            <w:r w:rsidRPr="0011449B">
              <w:rPr>
                <w:rFonts w:ascii="Verdana" w:hAnsi="Verdana"/>
                <w:color w:val="000000"/>
                <w:sz w:val="16"/>
              </w:rPr>
              <w:t>3.5     Package SDK</w:t>
            </w:r>
          </w:p>
        </w:tc>
        <w:tc>
          <w:tcPr>
            <w:tcW w:w="1527" w:type="dxa"/>
            <w:tcBorders>
              <w:top w:val="nil"/>
              <w:left w:val="nil"/>
              <w:bottom w:val="single" w:sz="8" w:space="0" w:color="auto"/>
              <w:right w:val="single" w:sz="4" w:space="0" w:color="auto"/>
            </w:tcBorders>
            <w:shd w:val="clear" w:color="auto" w:fill="auto"/>
            <w:noWrap/>
            <w:vAlign w:val="bottom"/>
            <w:hideMark/>
          </w:tcPr>
          <w:p w14:paraId="5E874EDB" w14:textId="77777777" w:rsidR="00DB0D5E" w:rsidRPr="0011449B" w:rsidRDefault="00DB0D5E" w:rsidP="000049FF">
            <w:pPr>
              <w:jc w:val="right"/>
              <w:outlineLvl w:val="0"/>
              <w:rPr>
                <w:rFonts w:ascii="Verdana" w:hAnsi="Verdana"/>
                <w:b/>
                <w:bCs/>
                <w:color w:val="000000"/>
                <w:sz w:val="16"/>
              </w:rPr>
            </w:pPr>
            <w:r w:rsidRPr="0011449B">
              <w:rPr>
                <w:rFonts w:ascii="Verdana" w:hAnsi="Verdana"/>
                <w:b/>
                <w:bCs/>
                <w:color w:val="000000"/>
                <w:sz w:val="16"/>
              </w:rPr>
              <w:t>$35,000.00</w:t>
            </w:r>
          </w:p>
        </w:tc>
        <w:tc>
          <w:tcPr>
            <w:tcW w:w="1527" w:type="dxa"/>
            <w:tcBorders>
              <w:top w:val="nil"/>
              <w:left w:val="nil"/>
              <w:bottom w:val="single" w:sz="8" w:space="0" w:color="auto"/>
              <w:right w:val="single" w:sz="4" w:space="0" w:color="auto"/>
            </w:tcBorders>
            <w:shd w:val="clear" w:color="auto" w:fill="auto"/>
            <w:noWrap/>
            <w:vAlign w:val="bottom"/>
            <w:hideMark/>
          </w:tcPr>
          <w:p w14:paraId="07E90FB6"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$10,000.00</w:t>
            </w:r>
          </w:p>
        </w:tc>
        <w:tc>
          <w:tcPr>
            <w:tcW w:w="1356" w:type="dxa"/>
            <w:tcBorders>
              <w:top w:val="nil"/>
              <w:left w:val="nil"/>
              <w:bottom w:val="single" w:sz="8" w:space="0" w:color="auto"/>
              <w:right w:val="single" w:sz="4" w:space="0" w:color="auto"/>
            </w:tcBorders>
            <w:shd w:val="clear" w:color="auto" w:fill="auto"/>
            <w:noWrap/>
            <w:vAlign w:val="bottom"/>
            <w:hideMark/>
          </w:tcPr>
          <w:p w14:paraId="130C7F07"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$0.00</w:t>
            </w:r>
          </w:p>
        </w:tc>
        <w:tc>
          <w:tcPr>
            <w:tcW w:w="1690" w:type="dxa"/>
            <w:tcBorders>
              <w:top w:val="nil"/>
              <w:left w:val="nil"/>
              <w:bottom w:val="single" w:sz="8" w:space="0" w:color="auto"/>
              <w:right w:val="single" w:sz="4" w:space="0" w:color="auto"/>
            </w:tcBorders>
            <w:shd w:val="clear" w:color="auto" w:fill="auto"/>
            <w:noWrap/>
            <w:vAlign w:val="bottom"/>
            <w:hideMark/>
          </w:tcPr>
          <w:p w14:paraId="6171F513"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$25,000.00</w:t>
            </w:r>
          </w:p>
        </w:tc>
        <w:tc>
          <w:tcPr>
            <w:tcW w:w="1242" w:type="dxa"/>
            <w:tcBorders>
              <w:top w:val="nil"/>
              <w:left w:val="nil"/>
              <w:bottom w:val="single" w:sz="8" w:space="0" w:color="auto"/>
              <w:right w:val="single" w:sz="8" w:space="0" w:color="auto"/>
            </w:tcBorders>
            <w:shd w:val="clear" w:color="auto" w:fill="auto"/>
            <w:noWrap/>
            <w:vAlign w:val="bottom"/>
            <w:hideMark/>
          </w:tcPr>
          <w:p w14:paraId="6BD3C952"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$0.00</w:t>
            </w:r>
          </w:p>
        </w:tc>
      </w:tr>
      <w:tr w:rsidR="00DB0D5E" w:rsidRPr="0011449B" w14:paraId="4567A4B1" w14:textId="77777777" w:rsidTr="00735DF5">
        <w:trPr>
          <w:trHeight w:val="300"/>
        </w:trPr>
        <w:tc>
          <w:tcPr>
            <w:tcW w:w="2858" w:type="dxa"/>
            <w:tcBorders>
              <w:top w:val="nil"/>
              <w:left w:val="single" w:sz="8" w:space="0" w:color="auto"/>
              <w:bottom w:val="single" w:sz="4" w:space="0" w:color="auto"/>
              <w:right w:val="single" w:sz="4" w:space="0" w:color="auto"/>
            </w:tcBorders>
            <w:shd w:val="clear" w:color="auto" w:fill="auto"/>
            <w:vAlign w:val="center"/>
            <w:hideMark/>
          </w:tcPr>
          <w:p w14:paraId="2AB91391" w14:textId="77777777" w:rsidR="00DB0D5E" w:rsidRPr="0011449B" w:rsidRDefault="00DB0D5E" w:rsidP="000049FF">
            <w:pPr>
              <w:rPr>
                <w:rFonts w:ascii="Verdana" w:hAnsi="Verdana"/>
                <w:b/>
                <w:bCs/>
                <w:color w:val="000000"/>
                <w:sz w:val="16"/>
              </w:rPr>
            </w:pPr>
            <w:r w:rsidRPr="0011449B">
              <w:rPr>
                <w:rFonts w:ascii="Verdana" w:hAnsi="Verdana"/>
                <w:b/>
                <w:bCs/>
                <w:color w:val="000000"/>
                <w:sz w:val="16"/>
              </w:rPr>
              <w:t>4       MRAD Development</w:t>
            </w:r>
          </w:p>
        </w:tc>
        <w:tc>
          <w:tcPr>
            <w:tcW w:w="1527" w:type="dxa"/>
            <w:tcBorders>
              <w:top w:val="nil"/>
              <w:left w:val="nil"/>
              <w:bottom w:val="single" w:sz="4" w:space="0" w:color="auto"/>
              <w:right w:val="single" w:sz="4" w:space="0" w:color="auto"/>
            </w:tcBorders>
            <w:shd w:val="clear" w:color="auto" w:fill="auto"/>
            <w:noWrap/>
            <w:vAlign w:val="bottom"/>
            <w:hideMark/>
          </w:tcPr>
          <w:p w14:paraId="193068B6"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$210,000.00</w:t>
            </w:r>
          </w:p>
        </w:tc>
        <w:tc>
          <w:tcPr>
            <w:tcW w:w="1527" w:type="dxa"/>
            <w:tcBorders>
              <w:top w:val="nil"/>
              <w:left w:val="nil"/>
              <w:bottom w:val="single" w:sz="4" w:space="0" w:color="auto"/>
              <w:right w:val="single" w:sz="4" w:space="0" w:color="auto"/>
            </w:tcBorders>
            <w:shd w:val="clear" w:color="auto" w:fill="auto"/>
            <w:noWrap/>
            <w:vAlign w:val="bottom"/>
            <w:hideMark/>
          </w:tcPr>
          <w:p w14:paraId="712DC915"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$190,000.00</w:t>
            </w:r>
          </w:p>
        </w:tc>
        <w:tc>
          <w:tcPr>
            <w:tcW w:w="1356" w:type="dxa"/>
            <w:tcBorders>
              <w:top w:val="nil"/>
              <w:left w:val="nil"/>
              <w:bottom w:val="single" w:sz="4" w:space="0" w:color="auto"/>
              <w:right w:val="single" w:sz="4" w:space="0" w:color="auto"/>
            </w:tcBorders>
            <w:shd w:val="clear" w:color="auto" w:fill="auto"/>
            <w:noWrap/>
            <w:vAlign w:val="bottom"/>
            <w:hideMark/>
          </w:tcPr>
          <w:p w14:paraId="048828F6"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$11,500.00</w:t>
            </w:r>
          </w:p>
        </w:tc>
        <w:tc>
          <w:tcPr>
            <w:tcW w:w="1690" w:type="dxa"/>
            <w:tcBorders>
              <w:top w:val="nil"/>
              <w:left w:val="nil"/>
              <w:bottom w:val="single" w:sz="4" w:space="0" w:color="auto"/>
              <w:right w:val="single" w:sz="4" w:space="0" w:color="auto"/>
            </w:tcBorders>
            <w:shd w:val="clear" w:color="auto" w:fill="auto"/>
            <w:noWrap/>
            <w:vAlign w:val="bottom"/>
            <w:hideMark/>
          </w:tcPr>
          <w:p w14:paraId="76982248"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$0.00</w:t>
            </w:r>
          </w:p>
        </w:tc>
        <w:tc>
          <w:tcPr>
            <w:tcW w:w="1242" w:type="dxa"/>
            <w:tcBorders>
              <w:top w:val="nil"/>
              <w:left w:val="nil"/>
              <w:bottom w:val="single" w:sz="4" w:space="0" w:color="auto"/>
              <w:right w:val="single" w:sz="8" w:space="0" w:color="auto"/>
            </w:tcBorders>
            <w:shd w:val="clear" w:color="auto" w:fill="auto"/>
            <w:noWrap/>
            <w:vAlign w:val="bottom"/>
            <w:hideMark/>
          </w:tcPr>
          <w:p w14:paraId="456817D8"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$8,500.00</w:t>
            </w:r>
          </w:p>
        </w:tc>
      </w:tr>
      <w:tr w:rsidR="00DB0D5E" w:rsidRPr="0011449B" w14:paraId="75B7B5DD" w14:textId="77777777" w:rsidTr="00735DF5">
        <w:trPr>
          <w:trHeight w:val="510"/>
        </w:trPr>
        <w:tc>
          <w:tcPr>
            <w:tcW w:w="2858" w:type="dxa"/>
            <w:tcBorders>
              <w:top w:val="nil"/>
              <w:left w:val="single" w:sz="8" w:space="0" w:color="auto"/>
              <w:bottom w:val="single" w:sz="4" w:space="0" w:color="auto"/>
              <w:right w:val="single" w:sz="4" w:space="0" w:color="auto"/>
            </w:tcBorders>
            <w:shd w:val="clear" w:color="auto" w:fill="auto"/>
            <w:vAlign w:val="center"/>
            <w:hideMark/>
          </w:tcPr>
          <w:p w14:paraId="54233213" w14:textId="1E7E6815" w:rsidR="00DB0D5E" w:rsidRPr="0011449B" w:rsidRDefault="00DB0D5E" w:rsidP="00735DF5">
            <w:pPr>
              <w:outlineLvl w:val="0"/>
              <w:rPr>
                <w:rFonts w:ascii="Verdana" w:hAnsi="Verdana"/>
                <w:color w:val="000000"/>
                <w:sz w:val="16"/>
              </w:rPr>
            </w:pPr>
            <w:r w:rsidRPr="0011449B">
              <w:rPr>
                <w:rFonts w:ascii="Verdana" w:hAnsi="Verdana"/>
                <w:color w:val="000000"/>
                <w:sz w:val="16"/>
              </w:rPr>
              <w:t>4.</w:t>
            </w:r>
            <w:r w:rsidR="00735DF5">
              <w:rPr>
                <w:rFonts w:ascii="Verdana" w:hAnsi="Verdana"/>
                <w:color w:val="000000"/>
                <w:sz w:val="16"/>
              </w:rPr>
              <w:t>1</w:t>
            </w:r>
            <w:r w:rsidRPr="0011449B">
              <w:rPr>
                <w:rFonts w:ascii="Verdana" w:hAnsi="Verdana"/>
                <w:color w:val="000000"/>
                <w:sz w:val="16"/>
              </w:rPr>
              <w:t>     Create/Integrate AIT Database</w:t>
            </w:r>
          </w:p>
        </w:tc>
        <w:tc>
          <w:tcPr>
            <w:tcW w:w="1527" w:type="dxa"/>
            <w:tcBorders>
              <w:top w:val="nil"/>
              <w:left w:val="nil"/>
              <w:bottom w:val="single" w:sz="4" w:space="0" w:color="auto"/>
              <w:right w:val="single" w:sz="4" w:space="0" w:color="auto"/>
            </w:tcBorders>
            <w:shd w:val="clear" w:color="auto" w:fill="auto"/>
            <w:noWrap/>
            <w:vAlign w:val="bottom"/>
            <w:hideMark/>
          </w:tcPr>
          <w:p w14:paraId="6544E26F" w14:textId="77777777" w:rsidR="00DB0D5E" w:rsidRPr="0011449B" w:rsidRDefault="00DB0D5E" w:rsidP="000049FF">
            <w:pPr>
              <w:jc w:val="right"/>
              <w:outlineLvl w:val="0"/>
              <w:rPr>
                <w:rFonts w:ascii="Verdana" w:hAnsi="Verdana"/>
                <w:b/>
                <w:bCs/>
                <w:color w:val="000000"/>
                <w:sz w:val="16"/>
              </w:rPr>
            </w:pPr>
            <w:r w:rsidRPr="0011449B">
              <w:rPr>
                <w:rFonts w:ascii="Verdana" w:hAnsi="Verdana"/>
                <w:b/>
                <w:bCs/>
                <w:color w:val="000000"/>
                <w:sz w:val="16"/>
              </w:rPr>
              <w:t>$65,000.00</w:t>
            </w:r>
          </w:p>
        </w:tc>
        <w:tc>
          <w:tcPr>
            <w:tcW w:w="1527" w:type="dxa"/>
            <w:tcBorders>
              <w:top w:val="nil"/>
              <w:left w:val="nil"/>
              <w:bottom w:val="single" w:sz="4" w:space="0" w:color="auto"/>
              <w:right w:val="single" w:sz="4" w:space="0" w:color="auto"/>
            </w:tcBorders>
            <w:shd w:val="clear" w:color="auto" w:fill="auto"/>
            <w:noWrap/>
            <w:vAlign w:val="bottom"/>
            <w:hideMark/>
          </w:tcPr>
          <w:p w14:paraId="1EAFACDE"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$60,000.00</w:t>
            </w:r>
          </w:p>
        </w:tc>
        <w:tc>
          <w:tcPr>
            <w:tcW w:w="1356" w:type="dxa"/>
            <w:tcBorders>
              <w:top w:val="nil"/>
              <w:left w:val="nil"/>
              <w:bottom w:val="single" w:sz="4" w:space="0" w:color="auto"/>
              <w:right w:val="single" w:sz="4" w:space="0" w:color="auto"/>
            </w:tcBorders>
            <w:shd w:val="clear" w:color="auto" w:fill="auto"/>
            <w:noWrap/>
            <w:vAlign w:val="bottom"/>
            <w:hideMark/>
          </w:tcPr>
          <w:p w14:paraId="548793BE"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$5,000.00</w:t>
            </w:r>
          </w:p>
        </w:tc>
        <w:tc>
          <w:tcPr>
            <w:tcW w:w="1690" w:type="dxa"/>
            <w:tcBorders>
              <w:top w:val="nil"/>
              <w:left w:val="nil"/>
              <w:bottom w:val="single" w:sz="4" w:space="0" w:color="auto"/>
              <w:right w:val="single" w:sz="4" w:space="0" w:color="auto"/>
            </w:tcBorders>
            <w:shd w:val="clear" w:color="auto" w:fill="auto"/>
            <w:noWrap/>
            <w:vAlign w:val="bottom"/>
            <w:hideMark/>
          </w:tcPr>
          <w:p w14:paraId="703BCAB8"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$0.00</w:t>
            </w:r>
          </w:p>
        </w:tc>
        <w:tc>
          <w:tcPr>
            <w:tcW w:w="1242" w:type="dxa"/>
            <w:tcBorders>
              <w:top w:val="nil"/>
              <w:left w:val="nil"/>
              <w:bottom w:val="single" w:sz="4" w:space="0" w:color="auto"/>
              <w:right w:val="single" w:sz="8" w:space="0" w:color="auto"/>
            </w:tcBorders>
            <w:shd w:val="clear" w:color="auto" w:fill="auto"/>
            <w:noWrap/>
            <w:vAlign w:val="bottom"/>
            <w:hideMark/>
          </w:tcPr>
          <w:p w14:paraId="40DCE7DC"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$0.00</w:t>
            </w:r>
          </w:p>
        </w:tc>
      </w:tr>
      <w:tr w:rsidR="00DB0D5E" w:rsidRPr="0011449B" w14:paraId="5820B17A" w14:textId="77777777" w:rsidTr="00735DF5">
        <w:trPr>
          <w:trHeight w:val="765"/>
        </w:trPr>
        <w:tc>
          <w:tcPr>
            <w:tcW w:w="2858" w:type="dxa"/>
            <w:tcBorders>
              <w:top w:val="nil"/>
              <w:left w:val="single" w:sz="8" w:space="0" w:color="auto"/>
              <w:bottom w:val="single" w:sz="4" w:space="0" w:color="auto"/>
              <w:right w:val="single" w:sz="4" w:space="0" w:color="auto"/>
            </w:tcBorders>
            <w:shd w:val="clear" w:color="auto" w:fill="auto"/>
            <w:vAlign w:val="center"/>
            <w:hideMark/>
          </w:tcPr>
          <w:p w14:paraId="23C8E269" w14:textId="27A2C860" w:rsidR="00DB0D5E" w:rsidRPr="0011449B" w:rsidRDefault="00DB0D5E" w:rsidP="00735DF5">
            <w:pPr>
              <w:outlineLvl w:val="0"/>
              <w:rPr>
                <w:rFonts w:ascii="Verdana" w:hAnsi="Verdana"/>
                <w:color w:val="000000"/>
                <w:sz w:val="16"/>
              </w:rPr>
            </w:pPr>
            <w:r w:rsidRPr="0011449B">
              <w:rPr>
                <w:rFonts w:ascii="Verdana" w:hAnsi="Verdana"/>
                <w:color w:val="000000"/>
                <w:sz w:val="16"/>
              </w:rPr>
              <w:t>4.</w:t>
            </w:r>
            <w:r w:rsidR="00735DF5">
              <w:rPr>
                <w:rFonts w:ascii="Verdana" w:hAnsi="Verdana"/>
                <w:color w:val="000000"/>
                <w:sz w:val="16"/>
              </w:rPr>
              <w:t>2</w:t>
            </w:r>
            <w:r w:rsidRPr="0011449B">
              <w:rPr>
                <w:rFonts w:ascii="Verdana" w:hAnsi="Verdana"/>
                <w:color w:val="000000"/>
                <w:sz w:val="16"/>
              </w:rPr>
              <w:t>     Augment MRAD to execute AIT algorithms against an AIT dataset</w:t>
            </w:r>
          </w:p>
        </w:tc>
        <w:tc>
          <w:tcPr>
            <w:tcW w:w="1527" w:type="dxa"/>
            <w:tcBorders>
              <w:top w:val="nil"/>
              <w:left w:val="nil"/>
              <w:bottom w:val="single" w:sz="4" w:space="0" w:color="auto"/>
              <w:right w:val="single" w:sz="4" w:space="0" w:color="auto"/>
            </w:tcBorders>
            <w:shd w:val="clear" w:color="auto" w:fill="auto"/>
            <w:noWrap/>
            <w:vAlign w:val="bottom"/>
            <w:hideMark/>
          </w:tcPr>
          <w:p w14:paraId="6CA2AB09" w14:textId="77777777" w:rsidR="00DB0D5E" w:rsidRPr="0011449B" w:rsidRDefault="00DB0D5E" w:rsidP="000049FF">
            <w:pPr>
              <w:jc w:val="right"/>
              <w:outlineLvl w:val="0"/>
              <w:rPr>
                <w:rFonts w:ascii="Verdana" w:hAnsi="Verdana"/>
                <w:b/>
                <w:bCs/>
                <w:color w:val="000000"/>
                <w:sz w:val="16"/>
              </w:rPr>
            </w:pPr>
            <w:r w:rsidRPr="0011449B">
              <w:rPr>
                <w:rFonts w:ascii="Verdana" w:hAnsi="Verdana"/>
                <w:b/>
                <w:bCs/>
                <w:color w:val="000000"/>
                <w:sz w:val="16"/>
              </w:rPr>
              <w:t>$100,000.00</w:t>
            </w:r>
          </w:p>
        </w:tc>
        <w:tc>
          <w:tcPr>
            <w:tcW w:w="1527" w:type="dxa"/>
            <w:tcBorders>
              <w:top w:val="nil"/>
              <w:left w:val="nil"/>
              <w:bottom w:val="single" w:sz="4" w:space="0" w:color="auto"/>
              <w:right w:val="single" w:sz="4" w:space="0" w:color="auto"/>
            </w:tcBorders>
            <w:shd w:val="clear" w:color="auto" w:fill="auto"/>
            <w:noWrap/>
            <w:vAlign w:val="bottom"/>
            <w:hideMark/>
          </w:tcPr>
          <w:p w14:paraId="378870C1"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$90,000.00</w:t>
            </w:r>
          </w:p>
        </w:tc>
        <w:tc>
          <w:tcPr>
            <w:tcW w:w="1356" w:type="dxa"/>
            <w:tcBorders>
              <w:top w:val="nil"/>
              <w:left w:val="nil"/>
              <w:bottom w:val="single" w:sz="4" w:space="0" w:color="auto"/>
              <w:right w:val="single" w:sz="4" w:space="0" w:color="auto"/>
            </w:tcBorders>
            <w:shd w:val="clear" w:color="auto" w:fill="auto"/>
            <w:noWrap/>
            <w:vAlign w:val="bottom"/>
            <w:hideMark/>
          </w:tcPr>
          <w:p w14:paraId="085A78F4"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$5,000.00</w:t>
            </w:r>
          </w:p>
        </w:tc>
        <w:tc>
          <w:tcPr>
            <w:tcW w:w="1690" w:type="dxa"/>
            <w:tcBorders>
              <w:top w:val="nil"/>
              <w:left w:val="nil"/>
              <w:bottom w:val="single" w:sz="4" w:space="0" w:color="auto"/>
              <w:right w:val="single" w:sz="4" w:space="0" w:color="auto"/>
            </w:tcBorders>
            <w:shd w:val="clear" w:color="auto" w:fill="auto"/>
            <w:noWrap/>
            <w:vAlign w:val="bottom"/>
            <w:hideMark/>
          </w:tcPr>
          <w:p w14:paraId="11DEDE24"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$0.00</w:t>
            </w:r>
          </w:p>
        </w:tc>
        <w:tc>
          <w:tcPr>
            <w:tcW w:w="1242" w:type="dxa"/>
            <w:tcBorders>
              <w:top w:val="nil"/>
              <w:left w:val="nil"/>
              <w:bottom w:val="single" w:sz="4" w:space="0" w:color="auto"/>
              <w:right w:val="single" w:sz="8" w:space="0" w:color="auto"/>
            </w:tcBorders>
            <w:shd w:val="clear" w:color="auto" w:fill="auto"/>
            <w:noWrap/>
            <w:vAlign w:val="bottom"/>
            <w:hideMark/>
          </w:tcPr>
          <w:p w14:paraId="2DFCD914"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$5,000.00</w:t>
            </w:r>
          </w:p>
        </w:tc>
      </w:tr>
      <w:tr w:rsidR="00DB0D5E" w:rsidRPr="0011449B" w14:paraId="2E2CEA41" w14:textId="77777777" w:rsidTr="00735DF5">
        <w:trPr>
          <w:trHeight w:val="315"/>
        </w:trPr>
        <w:tc>
          <w:tcPr>
            <w:tcW w:w="2858" w:type="dxa"/>
            <w:tcBorders>
              <w:top w:val="nil"/>
              <w:left w:val="single" w:sz="8" w:space="0" w:color="auto"/>
              <w:bottom w:val="single" w:sz="8" w:space="0" w:color="auto"/>
              <w:right w:val="single" w:sz="4" w:space="0" w:color="auto"/>
            </w:tcBorders>
            <w:shd w:val="clear" w:color="auto" w:fill="auto"/>
            <w:vAlign w:val="center"/>
            <w:hideMark/>
          </w:tcPr>
          <w:p w14:paraId="79456DA8" w14:textId="03215585" w:rsidR="00DB0D5E" w:rsidRPr="0011449B" w:rsidRDefault="00DB0D5E" w:rsidP="00735DF5">
            <w:pPr>
              <w:outlineLvl w:val="0"/>
              <w:rPr>
                <w:rFonts w:ascii="Verdana" w:hAnsi="Verdana"/>
                <w:color w:val="000000"/>
                <w:sz w:val="16"/>
              </w:rPr>
            </w:pPr>
            <w:r w:rsidRPr="0011449B">
              <w:rPr>
                <w:rFonts w:ascii="Verdana" w:hAnsi="Verdana"/>
                <w:color w:val="000000"/>
                <w:sz w:val="16"/>
              </w:rPr>
              <w:t>4.</w:t>
            </w:r>
            <w:r w:rsidR="00735DF5">
              <w:rPr>
                <w:rFonts w:ascii="Verdana" w:hAnsi="Verdana"/>
                <w:color w:val="000000"/>
                <w:sz w:val="16"/>
              </w:rPr>
              <w:t>3</w:t>
            </w:r>
            <w:r w:rsidRPr="0011449B">
              <w:rPr>
                <w:rFonts w:ascii="Verdana" w:hAnsi="Verdana"/>
                <w:color w:val="000000"/>
                <w:sz w:val="16"/>
              </w:rPr>
              <w:t>     MRAD Demo</w:t>
            </w:r>
          </w:p>
        </w:tc>
        <w:tc>
          <w:tcPr>
            <w:tcW w:w="1527" w:type="dxa"/>
            <w:tcBorders>
              <w:top w:val="nil"/>
              <w:left w:val="nil"/>
              <w:bottom w:val="single" w:sz="8" w:space="0" w:color="auto"/>
              <w:right w:val="single" w:sz="4" w:space="0" w:color="auto"/>
            </w:tcBorders>
            <w:shd w:val="clear" w:color="auto" w:fill="auto"/>
            <w:noWrap/>
            <w:vAlign w:val="bottom"/>
            <w:hideMark/>
          </w:tcPr>
          <w:p w14:paraId="778CCC26" w14:textId="77777777" w:rsidR="00DB0D5E" w:rsidRPr="0011449B" w:rsidRDefault="00DB0D5E" w:rsidP="000049FF">
            <w:pPr>
              <w:jc w:val="right"/>
              <w:outlineLvl w:val="0"/>
              <w:rPr>
                <w:rFonts w:ascii="Verdana" w:hAnsi="Verdana"/>
                <w:b/>
                <w:bCs/>
                <w:color w:val="000000"/>
                <w:sz w:val="16"/>
              </w:rPr>
            </w:pPr>
            <w:r w:rsidRPr="0011449B">
              <w:rPr>
                <w:rFonts w:ascii="Verdana" w:hAnsi="Verdana"/>
                <w:b/>
                <w:bCs/>
                <w:color w:val="000000"/>
                <w:sz w:val="16"/>
              </w:rPr>
              <w:t>$45,000.00</w:t>
            </w:r>
          </w:p>
        </w:tc>
        <w:tc>
          <w:tcPr>
            <w:tcW w:w="1527" w:type="dxa"/>
            <w:tcBorders>
              <w:top w:val="nil"/>
              <w:left w:val="nil"/>
              <w:bottom w:val="single" w:sz="8" w:space="0" w:color="auto"/>
              <w:right w:val="single" w:sz="4" w:space="0" w:color="auto"/>
            </w:tcBorders>
            <w:shd w:val="clear" w:color="auto" w:fill="auto"/>
            <w:noWrap/>
            <w:vAlign w:val="bottom"/>
            <w:hideMark/>
          </w:tcPr>
          <w:p w14:paraId="6F80D340"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$40,000.00</w:t>
            </w:r>
          </w:p>
        </w:tc>
        <w:tc>
          <w:tcPr>
            <w:tcW w:w="1356" w:type="dxa"/>
            <w:tcBorders>
              <w:top w:val="nil"/>
              <w:left w:val="nil"/>
              <w:bottom w:val="single" w:sz="8" w:space="0" w:color="auto"/>
              <w:right w:val="single" w:sz="4" w:space="0" w:color="auto"/>
            </w:tcBorders>
            <w:shd w:val="clear" w:color="auto" w:fill="auto"/>
            <w:noWrap/>
            <w:vAlign w:val="bottom"/>
            <w:hideMark/>
          </w:tcPr>
          <w:p w14:paraId="3C352B6C"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$1,500.00</w:t>
            </w:r>
          </w:p>
        </w:tc>
        <w:tc>
          <w:tcPr>
            <w:tcW w:w="1690" w:type="dxa"/>
            <w:tcBorders>
              <w:top w:val="nil"/>
              <w:left w:val="nil"/>
              <w:bottom w:val="single" w:sz="8" w:space="0" w:color="auto"/>
              <w:right w:val="single" w:sz="4" w:space="0" w:color="auto"/>
            </w:tcBorders>
            <w:shd w:val="clear" w:color="auto" w:fill="auto"/>
            <w:noWrap/>
            <w:vAlign w:val="bottom"/>
            <w:hideMark/>
          </w:tcPr>
          <w:p w14:paraId="5ECF9ABC"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$0.00</w:t>
            </w:r>
          </w:p>
        </w:tc>
        <w:tc>
          <w:tcPr>
            <w:tcW w:w="1242" w:type="dxa"/>
            <w:tcBorders>
              <w:top w:val="nil"/>
              <w:left w:val="nil"/>
              <w:bottom w:val="single" w:sz="8" w:space="0" w:color="auto"/>
              <w:right w:val="single" w:sz="8" w:space="0" w:color="auto"/>
            </w:tcBorders>
            <w:shd w:val="clear" w:color="auto" w:fill="auto"/>
            <w:noWrap/>
            <w:vAlign w:val="bottom"/>
            <w:hideMark/>
          </w:tcPr>
          <w:p w14:paraId="5D700998" w14:textId="77777777" w:rsidR="00DB0D5E" w:rsidRPr="0011449B" w:rsidRDefault="00DB0D5E" w:rsidP="000049FF">
            <w:pPr>
              <w:jc w:val="right"/>
              <w:outlineLvl w:val="0"/>
              <w:rPr>
                <w:rFonts w:ascii="Verdana" w:hAnsi="Verdana"/>
                <w:color w:val="000000"/>
                <w:sz w:val="16"/>
              </w:rPr>
            </w:pPr>
            <w:r w:rsidRPr="0011449B">
              <w:rPr>
                <w:rFonts w:ascii="Verdana" w:hAnsi="Verdana"/>
                <w:color w:val="000000"/>
                <w:sz w:val="16"/>
              </w:rPr>
              <w:t>$3,500.00</w:t>
            </w:r>
          </w:p>
        </w:tc>
      </w:tr>
      <w:tr w:rsidR="00DB0D5E" w:rsidRPr="0011449B" w14:paraId="588B8154" w14:textId="77777777" w:rsidTr="00735DF5">
        <w:trPr>
          <w:trHeight w:val="1035"/>
        </w:trPr>
        <w:tc>
          <w:tcPr>
            <w:tcW w:w="2858" w:type="dxa"/>
            <w:tcBorders>
              <w:top w:val="nil"/>
              <w:left w:val="single" w:sz="8" w:space="0" w:color="auto"/>
              <w:bottom w:val="single" w:sz="8" w:space="0" w:color="auto"/>
              <w:right w:val="single" w:sz="8" w:space="0" w:color="auto"/>
            </w:tcBorders>
            <w:shd w:val="clear" w:color="auto" w:fill="auto"/>
            <w:vAlign w:val="center"/>
            <w:hideMark/>
          </w:tcPr>
          <w:p w14:paraId="0C2397E2" w14:textId="453221B9" w:rsidR="00DB0D5E" w:rsidRPr="0011449B" w:rsidRDefault="00DB0D5E" w:rsidP="007E33F9">
            <w:pPr>
              <w:rPr>
                <w:rFonts w:ascii="Verdana" w:hAnsi="Verdana"/>
                <w:b/>
                <w:bCs/>
                <w:color w:val="000000"/>
                <w:sz w:val="16"/>
              </w:rPr>
            </w:pPr>
            <w:r w:rsidRPr="0011449B">
              <w:rPr>
                <w:rFonts w:ascii="Verdana" w:hAnsi="Verdana"/>
                <w:b/>
                <w:bCs/>
                <w:color w:val="000000"/>
                <w:sz w:val="16"/>
              </w:rPr>
              <w:t>5  Accelerate A'-A' for CT (Integrate 3rd Party Detectors with Lab Grade CT)</w:t>
            </w:r>
          </w:p>
        </w:tc>
        <w:tc>
          <w:tcPr>
            <w:tcW w:w="1527" w:type="dxa"/>
            <w:tcBorders>
              <w:top w:val="nil"/>
              <w:left w:val="nil"/>
              <w:bottom w:val="single" w:sz="8" w:space="0" w:color="auto"/>
              <w:right w:val="single" w:sz="8" w:space="0" w:color="auto"/>
            </w:tcBorders>
            <w:shd w:val="clear" w:color="auto" w:fill="auto"/>
            <w:noWrap/>
            <w:vAlign w:val="bottom"/>
            <w:hideMark/>
          </w:tcPr>
          <w:p w14:paraId="4C866B87"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$260,000.00</w:t>
            </w:r>
          </w:p>
        </w:tc>
        <w:tc>
          <w:tcPr>
            <w:tcW w:w="1527" w:type="dxa"/>
            <w:tcBorders>
              <w:top w:val="nil"/>
              <w:left w:val="nil"/>
              <w:bottom w:val="single" w:sz="8" w:space="0" w:color="auto"/>
              <w:right w:val="single" w:sz="8" w:space="0" w:color="auto"/>
            </w:tcBorders>
            <w:shd w:val="clear" w:color="auto" w:fill="auto"/>
            <w:noWrap/>
            <w:vAlign w:val="bottom"/>
            <w:hideMark/>
          </w:tcPr>
          <w:p w14:paraId="5BD7FD3F"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$200,000.00</w:t>
            </w:r>
          </w:p>
        </w:tc>
        <w:tc>
          <w:tcPr>
            <w:tcW w:w="1356" w:type="dxa"/>
            <w:tcBorders>
              <w:top w:val="nil"/>
              <w:left w:val="nil"/>
              <w:bottom w:val="single" w:sz="8" w:space="0" w:color="auto"/>
              <w:right w:val="single" w:sz="8" w:space="0" w:color="auto"/>
            </w:tcBorders>
            <w:shd w:val="clear" w:color="auto" w:fill="auto"/>
            <w:noWrap/>
            <w:vAlign w:val="bottom"/>
            <w:hideMark/>
          </w:tcPr>
          <w:p w14:paraId="081B469D"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$60,000.00</w:t>
            </w:r>
          </w:p>
        </w:tc>
        <w:tc>
          <w:tcPr>
            <w:tcW w:w="1690" w:type="dxa"/>
            <w:tcBorders>
              <w:top w:val="nil"/>
              <w:left w:val="nil"/>
              <w:bottom w:val="single" w:sz="8" w:space="0" w:color="auto"/>
              <w:right w:val="single" w:sz="8" w:space="0" w:color="auto"/>
            </w:tcBorders>
            <w:shd w:val="clear" w:color="auto" w:fill="auto"/>
            <w:noWrap/>
            <w:vAlign w:val="bottom"/>
            <w:hideMark/>
          </w:tcPr>
          <w:p w14:paraId="197097A8"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$0.00</w:t>
            </w:r>
          </w:p>
        </w:tc>
        <w:tc>
          <w:tcPr>
            <w:tcW w:w="1242" w:type="dxa"/>
            <w:tcBorders>
              <w:top w:val="nil"/>
              <w:left w:val="nil"/>
              <w:bottom w:val="single" w:sz="8" w:space="0" w:color="auto"/>
              <w:right w:val="single" w:sz="8" w:space="0" w:color="auto"/>
            </w:tcBorders>
            <w:shd w:val="clear" w:color="auto" w:fill="auto"/>
            <w:noWrap/>
            <w:vAlign w:val="bottom"/>
            <w:hideMark/>
          </w:tcPr>
          <w:p w14:paraId="0F76B85D"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$0.00</w:t>
            </w:r>
          </w:p>
        </w:tc>
      </w:tr>
      <w:tr w:rsidR="00DB0D5E" w:rsidRPr="0011449B" w14:paraId="482CFDF3" w14:textId="77777777" w:rsidTr="00735DF5">
        <w:trPr>
          <w:trHeight w:val="525"/>
        </w:trPr>
        <w:tc>
          <w:tcPr>
            <w:tcW w:w="2858" w:type="dxa"/>
            <w:tcBorders>
              <w:top w:val="nil"/>
              <w:left w:val="single" w:sz="8" w:space="0" w:color="auto"/>
              <w:bottom w:val="single" w:sz="8" w:space="0" w:color="auto"/>
              <w:right w:val="single" w:sz="8" w:space="0" w:color="auto"/>
            </w:tcBorders>
            <w:shd w:val="clear" w:color="auto" w:fill="auto"/>
            <w:vAlign w:val="center"/>
            <w:hideMark/>
          </w:tcPr>
          <w:p w14:paraId="7AED6088" w14:textId="72B620C8" w:rsidR="00DB0D5E" w:rsidRPr="0011449B" w:rsidRDefault="00DB0D5E" w:rsidP="007E33F9">
            <w:pPr>
              <w:rPr>
                <w:rFonts w:ascii="Verdana" w:hAnsi="Verdana"/>
                <w:b/>
                <w:bCs/>
                <w:color w:val="000000"/>
                <w:sz w:val="16"/>
              </w:rPr>
            </w:pPr>
            <w:r w:rsidRPr="0011449B">
              <w:rPr>
                <w:rFonts w:ascii="Verdana" w:hAnsi="Verdana"/>
                <w:b/>
                <w:bCs/>
                <w:color w:val="000000"/>
                <w:sz w:val="16"/>
              </w:rPr>
              <w:t>6   Accelerate ATR/Reconstruction for CT</w:t>
            </w:r>
          </w:p>
        </w:tc>
        <w:tc>
          <w:tcPr>
            <w:tcW w:w="1527" w:type="dxa"/>
            <w:tcBorders>
              <w:top w:val="nil"/>
              <w:left w:val="nil"/>
              <w:bottom w:val="single" w:sz="8" w:space="0" w:color="auto"/>
              <w:right w:val="single" w:sz="8" w:space="0" w:color="auto"/>
            </w:tcBorders>
            <w:shd w:val="clear" w:color="auto" w:fill="auto"/>
            <w:noWrap/>
            <w:vAlign w:val="bottom"/>
            <w:hideMark/>
          </w:tcPr>
          <w:p w14:paraId="7F9D4C9F"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$280,000.00</w:t>
            </w:r>
          </w:p>
        </w:tc>
        <w:tc>
          <w:tcPr>
            <w:tcW w:w="1527" w:type="dxa"/>
            <w:tcBorders>
              <w:top w:val="nil"/>
              <w:left w:val="nil"/>
              <w:bottom w:val="single" w:sz="8" w:space="0" w:color="auto"/>
              <w:right w:val="single" w:sz="8" w:space="0" w:color="auto"/>
            </w:tcBorders>
            <w:shd w:val="clear" w:color="auto" w:fill="auto"/>
            <w:noWrap/>
            <w:vAlign w:val="bottom"/>
            <w:hideMark/>
          </w:tcPr>
          <w:p w14:paraId="50915C55"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$100,000.00</w:t>
            </w:r>
          </w:p>
        </w:tc>
        <w:tc>
          <w:tcPr>
            <w:tcW w:w="1356" w:type="dxa"/>
            <w:tcBorders>
              <w:top w:val="nil"/>
              <w:left w:val="nil"/>
              <w:bottom w:val="single" w:sz="8" w:space="0" w:color="auto"/>
              <w:right w:val="single" w:sz="8" w:space="0" w:color="auto"/>
            </w:tcBorders>
            <w:shd w:val="clear" w:color="auto" w:fill="auto"/>
            <w:noWrap/>
            <w:vAlign w:val="bottom"/>
            <w:hideMark/>
          </w:tcPr>
          <w:p w14:paraId="73900A5C"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$0.00</w:t>
            </w:r>
          </w:p>
        </w:tc>
        <w:tc>
          <w:tcPr>
            <w:tcW w:w="1690" w:type="dxa"/>
            <w:tcBorders>
              <w:top w:val="nil"/>
              <w:left w:val="nil"/>
              <w:bottom w:val="single" w:sz="8" w:space="0" w:color="auto"/>
              <w:right w:val="single" w:sz="8" w:space="0" w:color="auto"/>
            </w:tcBorders>
            <w:shd w:val="clear" w:color="auto" w:fill="auto"/>
            <w:noWrap/>
            <w:vAlign w:val="bottom"/>
            <w:hideMark/>
          </w:tcPr>
          <w:p w14:paraId="77EA5152"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$180,000.00</w:t>
            </w:r>
          </w:p>
        </w:tc>
        <w:tc>
          <w:tcPr>
            <w:tcW w:w="1242" w:type="dxa"/>
            <w:tcBorders>
              <w:top w:val="nil"/>
              <w:left w:val="nil"/>
              <w:bottom w:val="single" w:sz="8" w:space="0" w:color="auto"/>
              <w:right w:val="single" w:sz="8" w:space="0" w:color="auto"/>
            </w:tcBorders>
            <w:shd w:val="clear" w:color="auto" w:fill="auto"/>
            <w:noWrap/>
            <w:vAlign w:val="bottom"/>
            <w:hideMark/>
          </w:tcPr>
          <w:p w14:paraId="733EB830"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$0.00</w:t>
            </w:r>
          </w:p>
        </w:tc>
      </w:tr>
      <w:tr w:rsidR="00DB0D5E" w:rsidRPr="0011449B" w14:paraId="66054CEC" w14:textId="77777777" w:rsidTr="00735DF5">
        <w:trPr>
          <w:trHeight w:val="780"/>
        </w:trPr>
        <w:tc>
          <w:tcPr>
            <w:tcW w:w="2858" w:type="dxa"/>
            <w:tcBorders>
              <w:top w:val="nil"/>
              <w:left w:val="single" w:sz="8" w:space="0" w:color="auto"/>
              <w:bottom w:val="single" w:sz="8" w:space="0" w:color="auto"/>
              <w:right w:val="single" w:sz="8" w:space="0" w:color="auto"/>
            </w:tcBorders>
            <w:shd w:val="clear" w:color="auto" w:fill="auto"/>
            <w:vAlign w:val="center"/>
            <w:hideMark/>
          </w:tcPr>
          <w:p w14:paraId="01173E81" w14:textId="3EB7FE6F" w:rsidR="00DB0D5E" w:rsidRPr="0011449B" w:rsidRDefault="00DB0D5E" w:rsidP="007E33F9">
            <w:pPr>
              <w:rPr>
                <w:rFonts w:ascii="Verdana" w:hAnsi="Verdana"/>
                <w:b/>
                <w:bCs/>
                <w:color w:val="000000"/>
                <w:sz w:val="16"/>
              </w:rPr>
            </w:pPr>
            <w:r w:rsidRPr="0011449B">
              <w:rPr>
                <w:rFonts w:ascii="Verdana" w:hAnsi="Verdana"/>
                <w:b/>
                <w:bCs/>
                <w:color w:val="000000"/>
                <w:sz w:val="16"/>
              </w:rPr>
              <w:t>7   Systems Engineering Exploration &amp; Analysis</w:t>
            </w:r>
          </w:p>
        </w:tc>
        <w:tc>
          <w:tcPr>
            <w:tcW w:w="1527" w:type="dxa"/>
            <w:tcBorders>
              <w:top w:val="nil"/>
              <w:left w:val="nil"/>
              <w:bottom w:val="single" w:sz="8" w:space="0" w:color="auto"/>
              <w:right w:val="single" w:sz="8" w:space="0" w:color="auto"/>
            </w:tcBorders>
            <w:shd w:val="clear" w:color="auto" w:fill="auto"/>
            <w:noWrap/>
            <w:vAlign w:val="bottom"/>
            <w:hideMark/>
          </w:tcPr>
          <w:p w14:paraId="73C58B90" w14:textId="33A8BFFE" w:rsidR="00DB0D5E" w:rsidRPr="0011449B" w:rsidRDefault="007E33F9" w:rsidP="007E33F9">
            <w:pPr>
              <w:rPr>
                <w:rFonts w:ascii="Verdana" w:hAnsi="Verdana"/>
                <w:b/>
                <w:bCs/>
                <w:color w:val="000000"/>
                <w:sz w:val="16"/>
              </w:rPr>
            </w:pPr>
            <w:r w:rsidRPr="0011449B">
              <w:rPr>
                <w:rFonts w:ascii="Verdana" w:hAnsi="Verdana"/>
                <w:b/>
                <w:bCs/>
                <w:color w:val="000000"/>
                <w:sz w:val="16"/>
              </w:rPr>
              <w:t xml:space="preserve">  </w:t>
            </w:r>
            <w:r w:rsidR="00DB0D5E" w:rsidRPr="0011449B">
              <w:rPr>
                <w:rFonts w:ascii="Verdana" w:hAnsi="Verdana"/>
                <w:b/>
                <w:bCs/>
                <w:color w:val="000000"/>
                <w:sz w:val="16"/>
              </w:rPr>
              <w:t>$167,748.00</w:t>
            </w:r>
          </w:p>
        </w:tc>
        <w:tc>
          <w:tcPr>
            <w:tcW w:w="1527" w:type="dxa"/>
            <w:tcBorders>
              <w:top w:val="nil"/>
              <w:left w:val="nil"/>
              <w:bottom w:val="single" w:sz="8" w:space="0" w:color="auto"/>
              <w:right w:val="single" w:sz="8" w:space="0" w:color="auto"/>
            </w:tcBorders>
            <w:shd w:val="clear" w:color="auto" w:fill="auto"/>
            <w:noWrap/>
            <w:vAlign w:val="bottom"/>
            <w:hideMark/>
          </w:tcPr>
          <w:p w14:paraId="7C88160F"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$135,000.00</w:t>
            </w:r>
          </w:p>
        </w:tc>
        <w:tc>
          <w:tcPr>
            <w:tcW w:w="1356" w:type="dxa"/>
            <w:tcBorders>
              <w:top w:val="nil"/>
              <w:left w:val="nil"/>
              <w:bottom w:val="single" w:sz="8" w:space="0" w:color="auto"/>
              <w:right w:val="single" w:sz="8" w:space="0" w:color="auto"/>
            </w:tcBorders>
            <w:shd w:val="clear" w:color="auto" w:fill="auto"/>
            <w:noWrap/>
            <w:vAlign w:val="bottom"/>
            <w:hideMark/>
          </w:tcPr>
          <w:p w14:paraId="0BC347B2"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$0.00</w:t>
            </w:r>
          </w:p>
        </w:tc>
        <w:tc>
          <w:tcPr>
            <w:tcW w:w="1690" w:type="dxa"/>
            <w:tcBorders>
              <w:top w:val="nil"/>
              <w:left w:val="nil"/>
              <w:bottom w:val="single" w:sz="8" w:space="0" w:color="auto"/>
              <w:right w:val="single" w:sz="8" w:space="0" w:color="auto"/>
            </w:tcBorders>
            <w:shd w:val="clear" w:color="auto" w:fill="auto"/>
            <w:noWrap/>
            <w:vAlign w:val="bottom"/>
            <w:hideMark/>
          </w:tcPr>
          <w:p w14:paraId="5DA23015"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$25,248.00</w:t>
            </w:r>
          </w:p>
        </w:tc>
        <w:tc>
          <w:tcPr>
            <w:tcW w:w="1242" w:type="dxa"/>
            <w:tcBorders>
              <w:top w:val="nil"/>
              <w:left w:val="nil"/>
              <w:bottom w:val="single" w:sz="8" w:space="0" w:color="auto"/>
              <w:right w:val="single" w:sz="8" w:space="0" w:color="auto"/>
            </w:tcBorders>
            <w:shd w:val="clear" w:color="auto" w:fill="auto"/>
            <w:noWrap/>
            <w:vAlign w:val="bottom"/>
            <w:hideMark/>
          </w:tcPr>
          <w:p w14:paraId="321B8D37"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$7,500.00</w:t>
            </w:r>
          </w:p>
        </w:tc>
      </w:tr>
      <w:tr w:rsidR="00DB0D5E" w:rsidRPr="0011449B" w14:paraId="2EC25400" w14:textId="77777777" w:rsidTr="00735DF5">
        <w:trPr>
          <w:trHeight w:val="315"/>
        </w:trPr>
        <w:tc>
          <w:tcPr>
            <w:tcW w:w="2858" w:type="dxa"/>
            <w:tcBorders>
              <w:top w:val="nil"/>
              <w:left w:val="single" w:sz="8" w:space="0" w:color="auto"/>
              <w:bottom w:val="single" w:sz="8" w:space="0" w:color="auto"/>
              <w:right w:val="single" w:sz="8" w:space="0" w:color="auto"/>
            </w:tcBorders>
            <w:shd w:val="clear" w:color="000000" w:fill="FFFFFF"/>
            <w:vAlign w:val="center"/>
            <w:hideMark/>
          </w:tcPr>
          <w:p w14:paraId="7464E0AF" w14:textId="77777777" w:rsidR="00DB0D5E" w:rsidRPr="0011449B" w:rsidRDefault="00DB0D5E" w:rsidP="0011449B">
            <w:pPr>
              <w:ind w:firstLineChars="300" w:firstLine="482"/>
              <w:rPr>
                <w:rFonts w:ascii="Verdana" w:hAnsi="Verdana"/>
                <w:b/>
                <w:bCs/>
                <w:color w:val="000000"/>
                <w:sz w:val="16"/>
              </w:rPr>
            </w:pPr>
            <w:r w:rsidRPr="0011449B">
              <w:rPr>
                <w:rFonts w:ascii="Verdana" w:hAnsi="Verdana"/>
                <w:b/>
                <w:bCs/>
                <w:color w:val="000000"/>
                <w:sz w:val="16"/>
              </w:rPr>
              <w:t>Total</w:t>
            </w:r>
          </w:p>
        </w:tc>
        <w:tc>
          <w:tcPr>
            <w:tcW w:w="1527" w:type="dxa"/>
            <w:tcBorders>
              <w:top w:val="nil"/>
              <w:left w:val="nil"/>
              <w:bottom w:val="single" w:sz="8" w:space="0" w:color="auto"/>
              <w:right w:val="single" w:sz="8" w:space="0" w:color="auto"/>
            </w:tcBorders>
            <w:shd w:val="clear" w:color="auto" w:fill="auto"/>
            <w:noWrap/>
            <w:vAlign w:val="bottom"/>
            <w:hideMark/>
          </w:tcPr>
          <w:p w14:paraId="5D0C8971" w14:textId="519BE082" w:rsidR="00DB0D5E" w:rsidRPr="0011449B" w:rsidRDefault="00DB0D5E" w:rsidP="00735DF5">
            <w:pPr>
              <w:jc w:val="right"/>
              <w:rPr>
                <w:rFonts w:ascii="Verdana" w:hAnsi="Verdana"/>
                <w:b/>
                <w:bCs/>
                <w:color w:val="000000"/>
                <w:sz w:val="16"/>
              </w:rPr>
            </w:pPr>
            <w:r w:rsidRPr="0011449B">
              <w:rPr>
                <w:rFonts w:ascii="Verdana" w:hAnsi="Verdana"/>
                <w:b/>
                <w:bCs/>
                <w:color w:val="000000"/>
                <w:sz w:val="16"/>
              </w:rPr>
              <w:t>$1,</w:t>
            </w:r>
            <w:r w:rsidR="00735DF5">
              <w:rPr>
                <w:rFonts w:ascii="Verdana" w:hAnsi="Verdana"/>
                <w:b/>
                <w:bCs/>
                <w:color w:val="000000"/>
                <w:sz w:val="16"/>
              </w:rPr>
              <w:t>587,248</w:t>
            </w:r>
            <w:bookmarkStart w:id="2" w:name="_GoBack"/>
            <w:bookmarkEnd w:id="2"/>
            <w:r w:rsidRPr="0011449B">
              <w:rPr>
                <w:rFonts w:ascii="Verdana" w:hAnsi="Verdana"/>
                <w:b/>
                <w:bCs/>
                <w:color w:val="000000"/>
                <w:sz w:val="16"/>
              </w:rPr>
              <w:t>.00</w:t>
            </w:r>
          </w:p>
        </w:tc>
        <w:tc>
          <w:tcPr>
            <w:tcW w:w="1527" w:type="dxa"/>
            <w:tcBorders>
              <w:top w:val="nil"/>
              <w:left w:val="nil"/>
              <w:bottom w:val="single" w:sz="8" w:space="0" w:color="auto"/>
              <w:right w:val="single" w:sz="8" w:space="0" w:color="auto"/>
            </w:tcBorders>
            <w:shd w:val="clear" w:color="000000" w:fill="FFFFFF"/>
            <w:noWrap/>
            <w:vAlign w:val="bottom"/>
            <w:hideMark/>
          </w:tcPr>
          <w:p w14:paraId="4501953C" w14:textId="215EE87D" w:rsidR="00DB0D5E" w:rsidRPr="0011449B" w:rsidRDefault="00DB0D5E" w:rsidP="00410AC7">
            <w:pPr>
              <w:jc w:val="right"/>
              <w:rPr>
                <w:rFonts w:ascii="Verdana" w:hAnsi="Verdana"/>
                <w:b/>
                <w:bCs/>
                <w:color w:val="000000"/>
                <w:sz w:val="16"/>
              </w:rPr>
            </w:pPr>
            <w:r w:rsidRPr="0011449B">
              <w:rPr>
                <w:rFonts w:ascii="Verdana" w:hAnsi="Verdana"/>
                <w:b/>
                <w:bCs/>
                <w:color w:val="000000"/>
                <w:sz w:val="16"/>
              </w:rPr>
              <w:t>$</w:t>
            </w:r>
            <w:r w:rsidR="00410AC7">
              <w:rPr>
                <w:rFonts w:ascii="Verdana" w:hAnsi="Verdana"/>
                <w:b/>
                <w:bCs/>
                <w:color w:val="000000"/>
                <w:sz w:val="16"/>
              </w:rPr>
              <w:t>1,150</w:t>
            </w:r>
            <w:r w:rsidRPr="0011449B">
              <w:rPr>
                <w:rFonts w:ascii="Verdana" w:hAnsi="Verdana"/>
                <w:b/>
                <w:bCs/>
                <w:color w:val="000000"/>
                <w:sz w:val="16"/>
              </w:rPr>
              <w:t>,000.00</w:t>
            </w:r>
          </w:p>
        </w:tc>
        <w:tc>
          <w:tcPr>
            <w:tcW w:w="1356" w:type="dxa"/>
            <w:tcBorders>
              <w:top w:val="nil"/>
              <w:left w:val="nil"/>
              <w:bottom w:val="single" w:sz="8" w:space="0" w:color="auto"/>
              <w:right w:val="single" w:sz="8" w:space="0" w:color="auto"/>
            </w:tcBorders>
            <w:shd w:val="clear" w:color="000000" w:fill="FFFFFF"/>
            <w:noWrap/>
            <w:vAlign w:val="bottom"/>
            <w:hideMark/>
          </w:tcPr>
          <w:p w14:paraId="68C6E8D3" w14:textId="0809F2B4" w:rsidR="00DB0D5E" w:rsidRPr="0011449B" w:rsidRDefault="00DB0D5E" w:rsidP="00410AC7">
            <w:pPr>
              <w:jc w:val="right"/>
              <w:rPr>
                <w:rFonts w:ascii="Verdana" w:hAnsi="Verdana"/>
                <w:b/>
                <w:bCs/>
                <w:color w:val="000000"/>
                <w:sz w:val="16"/>
              </w:rPr>
            </w:pPr>
            <w:r w:rsidRPr="0011449B">
              <w:rPr>
                <w:rFonts w:ascii="Verdana" w:hAnsi="Verdana"/>
                <w:b/>
                <w:bCs/>
                <w:color w:val="000000"/>
                <w:sz w:val="16"/>
              </w:rPr>
              <w:t>$</w:t>
            </w:r>
            <w:r w:rsidR="00410AC7">
              <w:rPr>
                <w:rFonts w:ascii="Verdana" w:hAnsi="Verdana"/>
                <w:b/>
                <w:bCs/>
                <w:color w:val="000000"/>
                <w:sz w:val="16"/>
              </w:rPr>
              <w:t>12</w:t>
            </w:r>
            <w:r w:rsidRPr="0011449B">
              <w:rPr>
                <w:rFonts w:ascii="Verdana" w:hAnsi="Verdana"/>
                <w:b/>
                <w:bCs/>
                <w:color w:val="000000"/>
                <w:sz w:val="16"/>
              </w:rPr>
              <w:t>2,500.00</w:t>
            </w:r>
          </w:p>
        </w:tc>
        <w:tc>
          <w:tcPr>
            <w:tcW w:w="1690" w:type="dxa"/>
            <w:tcBorders>
              <w:top w:val="nil"/>
              <w:left w:val="nil"/>
              <w:bottom w:val="single" w:sz="8" w:space="0" w:color="auto"/>
              <w:right w:val="single" w:sz="8" w:space="0" w:color="auto"/>
            </w:tcBorders>
            <w:shd w:val="clear" w:color="000000" w:fill="FFFFFF"/>
            <w:noWrap/>
            <w:vAlign w:val="bottom"/>
            <w:hideMark/>
          </w:tcPr>
          <w:p w14:paraId="31DED22D" w14:textId="77777777" w:rsidR="00DB0D5E" w:rsidRPr="0011449B" w:rsidRDefault="00DB0D5E" w:rsidP="000049FF">
            <w:pPr>
              <w:jc w:val="right"/>
              <w:rPr>
                <w:rFonts w:ascii="Verdana" w:hAnsi="Verdana"/>
                <w:b/>
                <w:bCs/>
                <w:color w:val="000000"/>
                <w:sz w:val="16"/>
              </w:rPr>
            </w:pPr>
            <w:r w:rsidRPr="0011449B">
              <w:rPr>
                <w:rFonts w:ascii="Verdana" w:hAnsi="Verdana"/>
                <w:b/>
                <w:bCs/>
                <w:color w:val="000000"/>
                <w:sz w:val="16"/>
              </w:rPr>
              <w:t>$560,248.00</w:t>
            </w:r>
          </w:p>
        </w:tc>
        <w:tc>
          <w:tcPr>
            <w:tcW w:w="1242" w:type="dxa"/>
            <w:tcBorders>
              <w:top w:val="nil"/>
              <w:left w:val="nil"/>
              <w:bottom w:val="single" w:sz="8" w:space="0" w:color="auto"/>
              <w:right w:val="single" w:sz="8" w:space="0" w:color="auto"/>
            </w:tcBorders>
            <w:shd w:val="clear" w:color="000000" w:fill="FFFFFF"/>
            <w:noWrap/>
            <w:vAlign w:val="bottom"/>
            <w:hideMark/>
          </w:tcPr>
          <w:p w14:paraId="4C31D4ED" w14:textId="3F41F72A" w:rsidR="00DB0D5E" w:rsidRPr="0011449B" w:rsidRDefault="00410AC7" w:rsidP="000049FF">
            <w:pPr>
              <w:jc w:val="right"/>
              <w:rPr>
                <w:rFonts w:ascii="Verdana" w:hAnsi="Verdana"/>
                <w:b/>
                <w:bCs/>
                <w:color w:val="000000"/>
                <w:sz w:val="16"/>
              </w:rPr>
            </w:pPr>
            <w:r>
              <w:rPr>
                <w:rFonts w:ascii="Verdana" w:hAnsi="Verdana"/>
                <w:b/>
                <w:bCs/>
                <w:color w:val="000000"/>
                <w:sz w:val="16"/>
              </w:rPr>
              <w:t>$67</w:t>
            </w:r>
            <w:r w:rsidR="00DB0D5E" w:rsidRPr="0011449B">
              <w:rPr>
                <w:rFonts w:ascii="Verdana" w:hAnsi="Verdana"/>
                <w:b/>
                <w:bCs/>
                <w:color w:val="000000"/>
                <w:sz w:val="16"/>
              </w:rPr>
              <w:t>,500.00</w:t>
            </w:r>
          </w:p>
        </w:tc>
      </w:tr>
    </w:tbl>
    <w:p w14:paraId="08A49FB6" w14:textId="77777777" w:rsidR="001209A0" w:rsidRPr="0011449B" w:rsidRDefault="001209A0" w:rsidP="001209A0">
      <w:pPr>
        <w:rPr>
          <w:rFonts w:ascii="Verdana" w:hAnsi="Verdana"/>
          <w:sz w:val="20"/>
          <w:u w:val="single"/>
        </w:rPr>
      </w:pPr>
    </w:p>
    <w:p w14:paraId="08A49FF7" w14:textId="77777777" w:rsidR="00D9673D" w:rsidRPr="0011449B" w:rsidRDefault="00D9673D" w:rsidP="00D9673D">
      <w:pPr>
        <w:ind w:left="2160"/>
        <w:rPr>
          <w:rFonts w:ascii="Verdana" w:hAnsi="Verdana"/>
          <w:i/>
          <w:color w:val="FF0000"/>
          <w:sz w:val="20"/>
        </w:rPr>
      </w:pPr>
      <w:r w:rsidRPr="0011449B">
        <w:rPr>
          <w:rFonts w:ascii="Verdana" w:hAnsi="Verdana"/>
          <w:i/>
          <w:color w:val="FF0000"/>
          <w:sz w:val="20"/>
        </w:rPr>
        <w:t xml:space="preserve">                                                                                                                                                                                                                                                                                                              </w:t>
      </w:r>
      <w:r w:rsidRPr="0011449B">
        <w:rPr>
          <w:rFonts w:ascii="Verdana" w:hAnsi="Verdana"/>
          <w:b/>
          <w:sz w:val="20"/>
        </w:rPr>
        <w:t xml:space="preserve">                                                                     </w:t>
      </w:r>
      <w:r w:rsidRPr="0011449B">
        <w:rPr>
          <w:rFonts w:ascii="Verdana" w:hAnsi="Verdana"/>
          <w:i/>
          <w:color w:val="FF0000"/>
          <w:sz w:val="20"/>
        </w:rPr>
        <w:t>*Describe specific costs included in this column.</w:t>
      </w:r>
    </w:p>
    <w:p w14:paraId="08A49FF8" w14:textId="77777777" w:rsidR="00D9673D" w:rsidRPr="0011449B" w:rsidRDefault="00D9673D" w:rsidP="00D9673D">
      <w:pPr>
        <w:ind w:left="720"/>
        <w:rPr>
          <w:rFonts w:ascii="Verdana" w:hAnsi="Verdana"/>
          <w:b/>
          <w:sz w:val="20"/>
        </w:rPr>
      </w:pPr>
    </w:p>
    <w:p w14:paraId="08A49FF9" w14:textId="77777777" w:rsidR="00D9673D" w:rsidRPr="0011449B" w:rsidRDefault="00D9673D">
      <w:pPr>
        <w:rPr>
          <w:rFonts w:ascii="Verdana" w:hAnsi="Verdana"/>
          <w:color w:val="FF0000"/>
          <w:sz w:val="20"/>
        </w:rPr>
      </w:pPr>
    </w:p>
    <w:p w14:paraId="08A49FFA" w14:textId="77777777" w:rsidR="00561263" w:rsidRPr="0011449B" w:rsidRDefault="00827F2A" w:rsidP="00D9673D">
      <w:pPr>
        <w:rPr>
          <w:rFonts w:ascii="Verdana" w:hAnsi="Verdana"/>
          <w:color w:val="FF0000"/>
          <w:sz w:val="20"/>
        </w:rPr>
      </w:pPr>
      <w:r w:rsidRPr="0011449B">
        <w:rPr>
          <w:rFonts w:ascii="Verdana" w:hAnsi="Verdana"/>
          <w:color w:val="FF0000"/>
          <w:sz w:val="20"/>
        </w:rPr>
        <w:t>*</w:t>
      </w:r>
      <w:r w:rsidR="00D9673D" w:rsidRPr="0011449B">
        <w:rPr>
          <w:rFonts w:ascii="Verdana" w:hAnsi="Verdana"/>
          <w:color w:val="FF0000"/>
          <w:sz w:val="20"/>
        </w:rPr>
        <w:t>*</w:t>
      </w:r>
      <w:r w:rsidR="00141238" w:rsidRPr="0011449B">
        <w:rPr>
          <w:rFonts w:ascii="Verdana" w:hAnsi="Verdana"/>
          <w:color w:val="FF0000"/>
          <w:sz w:val="20"/>
        </w:rPr>
        <w:t>The DOE National L</w:t>
      </w:r>
      <w:r w:rsidRPr="0011449B">
        <w:rPr>
          <w:rFonts w:ascii="Verdana" w:hAnsi="Verdana"/>
          <w:color w:val="FF0000"/>
          <w:sz w:val="20"/>
        </w:rPr>
        <w:t>aboratory</w:t>
      </w:r>
      <w:r w:rsidR="00141238" w:rsidRPr="0011449B">
        <w:rPr>
          <w:rFonts w:ascii="Verdana" w:hAnsi="Verdana"/>
          <w:color w:val="FF0000"/>
          <w:sz w:val="20"/>
        </w:rPr>
        <w:t xml:space="preserve">’s/Site’s </w:t>
      </w:r>
      <w:r w:rsidRPr="0011449B">
        <w:rPr>
          <w:rFonts w:ascii="Verdana" w:hAnsi="Verdana"/>
          <w:color w:val="FF0000"/>
          <w:sz w:val="20"/>
        </w:rPr>
        <w:t>Directed Research and Development</w:t>
      </w:r>
      <w:r w:rsidR="00141238" w:rsidRPr="0011449B">
        <w:rPr>
          <w:rFonts w:ascii="Verdana" w:hAnsi="Verdana"/>
          <w:color w:val="FF0000"/>
          <w:sz w:val="20"/>
        </w:rPr>
        <w:t xml:space="preserve"> (LDRD) </w:t>
      </w:r>
      <w:r w:rsidRPr="0011449B">
        <w:rPr>
          <w:rFonts w:ascii="Verdana" w:hAnsi="Verdana"/>
          <w:color w:val="FF0000"/>
          <w:sz w:val="20"/>
        </w:rPr>
        <w:t xml:space="preserve">cost as defined in Section 4.d. of the Standard Terms and </w:t>
      </w:r>
      <w:r w:rsidR="00141238" w:rsidRPr="0011449B">
        <w:rPr>
          <w:rFonts w:ascii="Verdana" w:hAnsi="Verdana"/>
          <w:color w:val="FF0000"/>
          <w:sz w:val="20"/>
        </w:rPr>
        <w:t>C</w:t>
      </w:r>
      <w:r w:rsidRPr="0011449B">
        <w:rPr>
          <w:rFonts w:ascii="Verdana" w:hAnsi="Verdana"/>
          <w:color w:val="FF0000"/>
          <w:sz w:val="20"/>
        </w:rPr>
        <w:t>onditions</w:t>
      </w:r>
      <w:r w:rsidR="00141238" w:rsidRPr="0011449B">
        <w:rPr>
          <w:rFonts w:ascii="Verdana" w:hAnsi="Verdana"/>
          <w:color w:val="FF0000"/>
          <w:sz w:val="20"/>
        </w:rPr>
        <w:t xml:space="preserve"> is included in the total funding amount specified above</w:t>
      </w:r>
      <w:r w:rsidRPr="0011449B">
        <w:rPr>
          <w:rFonts w:ascii="Verdana" w:hAnsi="Verdana"/>
          <w:color w:val="FF0000"/>
          <w:sz w:val="20"/>
        </w:rPr>
        <w:t>.</w:t>
      </w:r>
      <w:r w:rsidRPr="0011449B" w:rsidDel="00827F2A">
        <w:rPr>
          <w:rFonts w:ascii="Verdana" w:hAnsi="Verdana"/>
          <w:color w:val="FF0000"/>
          <w:sz w:val="20"/>
        </w:rPr>
        <w:t xml:space="preserve"> </w:t>
      </w:r>
    </w:p>
    <w:p w14:paraId="08A49FFB" w14:textId="77777777" w:rsidR="006C1EB7" w:rsidRPr="0011449B" w:rsidRDefault="006C1EB7" w:rsidP="00D9673D">
      <w:pPr>
        <w:rPr>
          <w:rFonts w:ascii="Verdana" w:hAnsi="Verdana"/>
          <w:color w:val="FF0000"/>
          <w:sz w:val="20"/>
        </w:rPr>
      </w:pPr>
    </w:p>
    <w:p w14:paraId="08A49FFC" w14:textId="77777777" w:rsidR="006C1EB7" w:rsidRPr="0011449B" w:rsidRDefault="006C1EB7" w:rsidP="00D9673D">
      <w:pPr>
        <w:rPr>
          <w:rFonts w:ascii="Verdana" w:hAnsi="Verdana"/>
          <w:color w:val="FF0000"/>
          <w:sz w:val="20"/>
        </w:rPr>
      </w:pPr>
      <w:r w:rsidRPr="0011449B">
        <w:rPr>
          <w:rFonts w:ascii="Verdana" w:hAnsi="Verdana"/>
          <w:color w:val="FF0000"/>
          <w:sz w:val="20"/>
        </w:rPr>
        <w:t xml:space="preserve">*** If the funding described in this table includes an item or items of </w:t>
      </w:r>
      <w:r w:rsidR="00C14B8A" w:rsidRPr="0011449B">
        <w:rPr>
          <w:rFonts w:ascii="Verdana" w:hAnsi="Verdana"/>
          <w:color w:val="FF0000"/>
          <w:sz w:val="20"/>
        </w:rPr>
        <w:t xml:space="preserve">Contractor </w:t>
      </w:r>
      <w:r w:rsidR="00CB4322" w:rsidRPr="0011449B">
        <w:rPr>
          <w:rFonts w:ascii="Verdana" w:hAnsi="Verdana"/>
          <w:color w:val="FF0000"/>
          <w:sz w:val="20"/>
        </w:rPr>
        <w:t>A</w:t>
      </w:r>
      <w:r w:rsidR="00C14B8A" w:rsidRPr="0011449B">
        <w:rPr>
          <w:rFonts w:ascii="Verdana" w:hAnsi="Verdana"/>
          <w:color w:val="FF0000"/>
          <w:sz w:val="20"/>
        </w:rPr>
        <w:t xml:space="preserve">cquired </w:t>
      </w:r>
      <w:r w:rsidR="00CB4322" w:rsidRPr="0011449B">
        <w:rPr>
          <w:rFonts w:ascii="Verdana" w:hAnsi="Verdana"/>
          <w:color w:val="FF0000"/>
          <w:sz w:val="20"/>
        </w:rPr>
        <w:t>P</w:t>
      </w:r>
      <w:r w:rsidR="00C14B8A" w:rsidRPr="0011449B">
        <w:rPr>
          <w:rFonts w:ascii="Verdana" w:hAnsi="Verdana"/>
          <w:color w:val="FF0000"/>
          <w:sz w:val="20"/>
        </w:rPr>
        <w:t xml:space="preserve">roperty </w:t>
      </w:r>
      <w:r w:rsidRPr="0011449B">
        <w:rPr>
          <w:rFonts w:ascii="Verdana" w:hAnsi="Verdana"/>
          <w:color w:val="FF0000"/>
          <w:sz w:val="20"/>
        </w:rPr>
        <w:t>with a value in excess of $5000 but below the threshold</w:t>
      </w:r>
      <w:r w:rsidR="00C14B8A" w:rsidRPr="0011449B">
        <w:rPr>
          <w:rFonts w:ascii="Verdana" w:hAnsi="Verdana"/>
          <w:color w:val="FF0000"/>
          <w:sz w:val="20"/>
        </w:rPr>
        <w:t>,</w:t>
      </w:r>
      <w:r w:rsidRPr="0011449B">
        <w:rPr>
          <w:rFonts w:ascii="Verdana" w:hAnsi="Verdana"/>
          <w:color w:val="FF0000"/>
          <w:sz w:val="20"/>
        </w:rPr>
        <w:t xml:space="preserve"> agreed to </w:t>
      </w:r>
      <w:r w:rsidR="00E463C8" w:rsidRPr="0011449B">
        <w:rPr>
          <w:rFonts w:ascii="Verdana" w:hAnsi="Verdana"/>
          <w:color w:val="FF0000"/>
          <w:sz w:val="20"/>
        </w:rPr>
        <w:t>by</w:t>
      </w:r>
      <w:r w:rsidRPr="0011449B">
        <w:rPr>
          <w:rFonts w:ascii="Verdana" w:hAnsi="Verdana"/>
          <w:color w:val="FF0000"/>
          <w:sz w:val="20"/>
        </w:rPr>
        <w:t xml:space="preserve"> </w:t>
      </w:r>
      <w:r w:rsidR="00CB4322" w:rsidRPr="0011449B">
        <w:rPr>
          <w:rFonts w:ascii="Verdana" w:hAnsi="Verdana"/>
          <w:color w:val="FF0000"/>
          <w:sz w:val="20"/>
        </w:rPr>
        <w:t>DOE</w:t>
      </w:r>
      <w:r w:rsidRPr="0011449B">
        <w:rPr>
          <w:rFonts w:ascii="Verdana" w:hAnsi="Verdana"/>
          <w:color w:val="FF0000"/>
          <w:sz w:val="20"/>
        </w:rPr>
        <w:t xml:space="preserve"> and </w:t>
      </w:r>
      <w:r w:rsidR="00C14B8A" w:rsidRPr="0011449B">
        <w:rPr>
          <w:rFonts w:ascii="Verdana" w:hAnsi="Verdana"/>
          <w:color w:val="FF0000"/>
          <w:sz w:val="20"/>
        </w:rPr>
        <w:t xml:space="preserve">its </w:t>
      </w:r>
      <w:r w:rsidR="00CB4322" w:rsidRPr="0011449B">
        <w:rPr>
          <w:rFonts w:ascii="Verdana" w:hAnsi="Verdana"/>
          <w:color w:val="FF0000"/>
          <w:sz w:val="20"/>
        </w:rPr>
        <w:t xml:space="preserve">facility management Contractor/M&amp;O </w:t>
      </w:r>
      <w:r w:rsidR="00C14B8A" w:rsidRPr="0011449B">
        <w:rPr>
          <w:rFonts w:ascii="Verdana" w:hAnsi="Verdana"/>
          <w:color w:val="FF0000"/>
          <w:sz w:val="20"/>
        </w:rPr>
        <w:t xml:space="preserve">in their current </w:t>
      </w:r>
      <w:r w:rsidR="00CB4322" w:rsidRPr="0011449B">
        <w:rPr>
          <w:rFonts w:ascii="Verdana" w:hAnsi="Verdana"/>
          <w:color w:val="FF0000"/>
          <w:sz w:val="20"/>
        </w:rPr>
        <w:t xml:space="preserve">negotiated </w:t>
      </w:r>
      <w:r w:rsidR="00C14B8A" w:rsidRPr="0011449B">
        <w:rPr>
          <w:rFonts w:ascii="Verdana" w:hAnsi="Verdana"/>
          <w:color w:val="FF0000"/>
          <w:sz w:val="20"/>
        </w:rPr>
        <w:t xml:space="preserve">contract, for the purposes of </w:t>
      </w:r>
      <w:r w:rsidR="006B5AC7" w:rsidRPr="0011449B">
        <w:rPr>
          <w:rFonts w:ascii="Verdana" w:hAnsi="Verdana"/>
          <w:color w:val="FF0000"/>
          <w:sz w:val="20"/>
        </w:rPr>
        <w:t>maintaining accountability procedures</w:t>
      </w:r>
      <w:r w:rsidR="00C14B8A" w:rsidRPr="0011449B">
        <w:rPr>
          <w:rFonts w:ascii="Verdana" w:hAnsi="Verdana"/>
          <w:color w:val="FF0000"/>
          <w:sz w:val="20"/>
        </w:rPr>
        <w:t xml:space="preserve">, </w:t>
      </w:r>
      <w:r w:rsidR="003010AD" w:rsidRPr="0011449B">
        <w:rPr>
          <w:rFonts w:ascii="Verdana" w:hAnsi="Verdana"/>
          <w:color w:val="FF0000"/>
          <w:sz w:val="20"/>
        </w:rPr>
        <w:t xml:space="preserve">such item or item(s) shall be </w:t>
      </w:r>
      <w:r w:rsidR="00E463C8" w:rsidRPr="0011449B">
        <w:rPr>
          <w:rFonts w:ascii="Verdana" w:hAnsi="Verdana"/>
          <w:color w:val="FF0000"/>
          <w:sz w:val="20"/>
        </w:rPr>
        <w:t xml:space="preserve">specifically </w:t>
      </w:r>
      <w:r w:rsidR="003010AD" w:rsidRPr="0011449B">
        <w:rPr>
          <w:rFonts w:ascii="Verdana" w:hAnsi="Verdana"/>
          <w:color w:val="FF0000"/>
          <w:sz w:val="20"/>
        </w:rPr>
        <w:t>identified in accordance with Sec</w:t>
      </w:r>
      <w:r w:rsidR="00CB4322" w:rsidRPr="0011449B">
        <w:rPr>
          <w:rFonts w:ascii="Verdana" w:hAnsi="Verdana"/>
          <w:color w:val="FF0000"/>
          <w:sz w:val="20"/>
        </w:rPr>
        <w:t>tion VI.</w:t>
      </w:r>
      <w:r w:rsidR="003010AD" w:rsidRPr="0011449B">
        <w:rPr>
          <w:rFonts w:ascii="Verdana" w:hAnsi="Verdana"/>
          <w:color w:val="FF0000"/>
          <w:sz w:val="20"/>
        </w:rPr>
        <w:t>4.</w:t>
      </w:r>
      <w:r w:rsidR="00E92817" w:rsidRPr="0011449B">
        <w:rPr>
          <w:rFonts w:ascii="Verdana" w:hAnsi="Verdana"/>
          <w:color w:val="FF0000"/>
          <w:sz w:val="20"/>
        </w:rPr>
        <w:t xml:space="preserve"> </w:t>
      </w:r>
      <w:proofErr w:type="gramStart"/>
      <w:r w:rsidR="003010AD" w:rsidRPr="0011449B">
        <w:rPr>
          <w:rFonts w:ascii="Verdana" w:hAnsi="Verdana"/>
          <w:color w:val="FF0000"/>
          <w:sz w:val="20"/>
        </w:rPr>
        <w:t>of</w:t>
      </w:r>
      <w:proofErr w:type="gramEnd"/>
      <w:r w:rsidR="003010AD" w:rsidRPr="0011449B">
        <w:rPr>
          <w:rFonts w:ascii="Verdana" w:hAnsi="Verdana"/>
          <w:color w:val="FF0000"/>
          <w:sz w:val="20"/>
        </w:rPr>
        <w:t xml:space="preserve"> this SOW</w:t>
      </w:r>
      <w:r w:rsidR="00E463C8" w:rsidRPr="0011449B">
        <w:rPr>
          <w:rFonts w:ascii="Verdana" w:hAnsi="Verdana"/>
          <w:color w:val="FF0000"/>
          <w:sz w:val="20"/>
        </w:rPr>
        <w:t xml:space="preserve">. </w:t>
      </w:r>
      <w:r w:rsidR="00CB4322" w:rsidRPr="0011449B">
        <w:rPr>
          <w:rFonts w:ascii="Verdana" w:hAnsi="Verdana"/>
          <w:color w:val="FF0000"/>
          <w:sz w:val="20"/>
        </w:rPr>
        <w:t xml:space="preserve"> </w:t>
      </w:r>
      <w:r w:rsidR="00E463C8" w:rsidRPr="0011449B">
        <w:rPr>
          <w:rFonts w:ascii="Verdana" w:hAnsi="Verdana"/>
          <w:color w:val="FF0000"/>
          <w:sz w:val="20"/>
        </w:rPr>
        <w:t>Such item</w:t>
      </w:r>
      <w:r w:rsidR="00CB4322" w:rsidRPr="0011449B">
        <w:rPr>
          <w:rFonts w:ascii="Verdana" w:hAnsi="Verdana"/>
          <w:color w:val="FF0000"/>
          <w:sz w:val="20"/>
        </w:rPr>
        <w:t>/</w:t>
      </w:r>
      <w:r w:rsidR="00E463C8" w:rsidRPr="0011449B">
        <w:rPr>
          <w:rFonts w:ascii="Verdana" w:hAnsi="Verdana"/>
          <w:color w:val="FF0000"/>
          <w:sz w:val="20"/>
        </w:rPr>
        <w:t xml:space="preserve">items </w:t>
      </w:r>
      <w:r w:rsidR="00CB4322" w:rsidRPr="0011449B">
        <w:rPr>
          <w:rFonts w:ascii="Verdana" w:hAnsi="Verdana"/>
          <w:color w:val="FF0000"/>
          <w:sz w:val="20"/>
        </w:rPr>
        <w:t xml:space="preserve">may or may not at the discretion of DHS </w:t>
      </w:r>
      <w:r w:rsidR="003010AD" w:rsidRPr="0011449B">
        <w:rPr>
          <w:rFonts w:ascii="Verdana" w:hAnsi="Verdana"/>
          <w:color w:val="FF0000"/>
          <w:sz w:val="20"/>
        </w:rPr>
        <w:t>be tagged, tracked, reported on, and disposed of as DHS property in the same manner as Contractor acquired property in excess of the value established under the aforementioned contract for maintaining accountability procedures, in accordance with Articles 8 and 9 of the Standard Terms and Conditions of this IA.</w:t>
      </w:r>
      <w:r w:rsidR="00CB4322" w:rsidRPr="0011449B">
        <w:rPr>
          <w:rFonts w:ascii="Verdana" w:hAnsi="Verdana"/>
          <w:color w:val="FF0000"/>
          <w:sz w:val="20"/>
        </w:rPr>
        <w:t xml:space="preserve"> </w:t>
      </w:r>
      <w:r w:rsidR="003010AD" w:rsidRPr="0011449B">
        <w:rPr>
          <w:rFonts w:ascii="Verdana" w:hAnsi="Verdana"/>
          <w:color w:val="FF0000"/>
          <w:sz w:val="20"/>
        </w:rPr>
        <w:t xml:space="preserve"> </w:t>
      </w:r>
      <w:r w:rsidR="00E463C8" w:rsidRPr="0011449B">
        <w:rPr>
          <w:rFonts w:ascii="Verdana" w:hAnsi="Verdana"/>
          <w:color w:val="FF0000"/>
          <w:sz w:val="20"/>
        </w:rPr>
        <w:t>The Servicing Agency shall include in its proposal to DHS S&amp;T for this IA the reasonable,</w:t>
      </w:r>
      <w:r w:rsidR="006B5AC7" w:rsidRPr="0011449B">
        <w:rPr>
          <w:rFonts w:ascii="Verdana" w:hAnsi="Verdana"/>
          <w:color w:val="FF0000"/>
          <w:sz w:val="20"/>
        </w:rPr>
        <w:t xml:space="preserve"> </w:t>
      </w:r>
      <w:r w:rsidR="00E463C8" w:rsidRPr="0011449B">
        <w:rPr>
          <w:rFonts w:ascii="Verdana" w:hAnsi="Verdana"/>
          <w:color w:val="FF0000"/>
          <w:sz w:val="20"/>
        </w:rPr>
        <w:t xml:space="preserve">allowable and allocable costs of maintaining accountability of such item(s) in accordance with the aforementioned procedures.    </w:t>
      </w:r>
      <w:r w:rsidR="003010AD" w:rsidRPr="0011449B">
        <w:rPr>
          <w:rFonts w:ascii="Verdana" w:hAnsi="Verdana"/>
          <w:color w:val="FF0000"/>
          <w:sz w:val="20"/>
        </w:rPr>
        <w:t xml:space="preserve"> </w:t>
      </w:r>
      <w:r w:rsidR="00C14B8A" w:rsidRPr="0011449B">
        <w:rPr>
          <w:rFonts w:ascii="Verdana" w:hAnsi="Verdana"/>
          <w:color w:val="FF0000"/>
          <w:sz w:val="20"/>
        </w:rPr>
        <w:t xml:space="preserve"> </w:t>
      </w:r>
    </w:p>
    <w:p w14:paraId="08A49FFD" w14:textId="77777777" w:rsidR="00C3383B" w:rsidRPr="0011449B" w:rsidRDefault="00C3383B" w:rsidP="00827F2A">
      <w:pPr>
        <w:rPr>
          <w:rFonts w:ascii="Verdana" w:hAnsi="Verdana"/>
          <w:b/>
          <w:sz w:val="20"/>
        </w:rPr>
      </w:pPr>
    </w:p>
    <w:p w14:paraId="08A49FFE" w14:textId="77777777" w:rsidR="004F5F78" w:rsidRPr="0011449B" w:rsidRDefault="004F5F78" w:rsidP="001166CC">
      <w:pPr>
        <w:pStyle w:val="StyleHeading114ptNotItalicNounderline"/>
        <w:numPr>
          <w:ilvl w:val="2"/>
          <w:numId w:val="3"/>
        </w:numPr>
        <w:ind w:hanging="2790"/>
        <w:rPr>
          <w:rFonts w:ascii="Verdana" w:hAnsi="Verdana"/>
          <w:sz w:val="20"/>
        </w:rPr>
      </w:pPr>
      <w:r w:rsidRPr="0011449B">
        <w:rPr>
          <w:rFonts w:ascii="Verdana" w:hAnsi="Verdana"/>
          <w:sz w:val="20"/>
        </w:rPr>
        <w:t>Points of Contact</w:t>
      </w:r>
    </w:p>
    <w:p w14:paraId="08A49FFF" w14:textId="77777777" w:rsidR="004F5F78" w:rsidRPr="0011449B" w:rsidRDefault="004F5F78">
      <w:pPr>
        <w:rPr>
          <w:rFonts w:ascii="Verdana" w:hAnsi="Verdana"/>
          <w:sz w:val="20"/>
        </w:rPr>
      </w:pPr>
    </w:p>
    <w:p w14:paraId="08A4A000" w14:textId="1DD49230" w:rsidR="004F5F78" w:rsidRPr="0011449B" w:rsidRDefault="00DB0D5E">
      <w:pPr>
        <w:rPr>
          <w:rFonts w:ascii="Verdana" w:hAnsi="Verdana"/>
          <w:color w:val="000000"/>
          <w:sz w:val="20"/>
        </w:rPr>
      </w:pPr>
      <w:r w:rsidRPr="0011449B">
        <w:rPr>
          <w:rFonts w:ascii="Verdana" w:hAnsi="Verdana"/>
          <w:sz w:val="20"/>
        </w:rPr>
        <w:t>Sandia National Laboratory</w:t>
      </w:r>
      <w:r w:rsidR="00905332" w:rsidRPr="0011449B">
        <w:rPr>
          <w:rFonts w:ascii="Verdana" w:hAnsi="Verdana"/>
          <w:sz w:val="20"/>
        </w:rPr>
        <w:t xml:space="preserve"> </w:t>
      </w:r>
      <w:r w:rsidR="004F5F78" w:rsidRPr="0011449B">
        <w:rPr>
          <w:rFonts w:ascii="Verdana" w:hAnsi="Verdana"/>
          <w:color w:val="000000"/>
          <w:sz w:val="20"/>
        </w:rPr>
        <w:t xml:space="preserve">Points of Contact (POCs) </w:t>
      </w:r>
      <w:r w:rsidR="0033202A" w:rsidRPr="0011449B">
        <w:rPr>
          <w:rFonts w:ascii="Verdana" w:hAnsi="Verdana"/>
          <w:color w:val="000000"/>
          <w:sz w:val="20"/>
        </w:rPr>
        <w:t xml:space="preserve">(name, mailing address, office phone number, and email address) </w:t>
      </w:r>
      <w:r w:rsidR="004F5F78" w:rsidRPr="0011449B">
        <w:rPr>
          <w:rFonts w:ascii="Verdana" w:hAnsi="Verdana"/>
          <w:color w:val="000000"/>
          <w:sz w:val="20"/>
        </w:rPr>
        <w:t>are as follows:</w:t>
      </w:r>
    </w:p>
    <w:p w14:paraId="5A55ACAB" w14:textId="77777777" w:rsidR="00DB0D5E" w:rsidRPr="0011449B" w:rsidRDefault="00DB0D5E">
      <w:pPr>
        <w:rPr>
          <w:rFonts w:ascii="Verdana" w:hAnsi="Verdana"/>
          <w:color w:val="000000"/>
          <w:sz w:val="20"/>
        </w:rPr>
      </w:pPr>
    </w:p>
    <w:p w14:paraId="7EF903BD" w14:textId="77777777" w:rsidR="00DB0D5E" w:rsidRPr="0011449B" w:rsidRDefault="00DB0D5E" w:rsidP="00DB0D5E">
      <w:pPr>
        <w:ind w:left="720"/>
        <w:rPr>
          <w:rFonts w:ascii="Verdana" w:hAnsi="Verdana"/>
          <w:b/>
          <w:color w:val="000000"/>
          <w:sz w:val="20"/>
        </w:rPr>
      </w:pPr>
      <w:r w:rsidRPr="0011449B">
        <w:rPr>
          <w:rFonts w:ascii="Verdana" w:hAnsi="Verdana"/>
          <w:b/>
          <w:color w:val="000000"/>
          <w:sz w:val="20"/>
        </w:rPr>
        <w:lastRenderedPageBreak/>
        <w:t xml:space="preserve">Technical POC –      </w:t>
      </w:r>
      <w:r w:rsidRPr="0011449B">
        <w:rPr>
          <w:rFonts w:ascii="Verdana" w:hAnsi="Verdana"/>
          <w:b/>
          <w:color w:val="000000"/>
          <w:sz w:val="20"/>
        </w:rPr>
        <w:br/>
      </w:r>
      <w:r w:rsidRPr="0011449B">
        <w:rPr>
          <w:rFonts w:ascii="Verdana" w:hAnsi="Verdana"/>
          <w:color w:val="000000"/>
          <w:sz w:val="20"/>
        </w:rPr>
        <w:t>Andrew Cox</w:t>
      </w:r>
      <w:r w:rsidRPr="0011449B">
        <w:rPr>
          <w:rFonts w:ascii="Verdana" w:hAnsi="Verdana"/>
          <w:color w:val="000000"/>
          <w:sz w:val="20"/>
        </w:rPr>
        <w:br/>
        <w:t>Sandia National Labs</w:t>
      </w:r>
    </w:p>
    <w:p w14:paraId="321174BA" w14:textId="77777777" w:rsidR="00DB0D5E" w:rsidRPr="0011449B" w:rsidRDefault="00DB0D5E" w:rsidP="00DB0D5E">
      <w:pPr>
        <w:ind w:left="720"/>
        <w:rPr>
          <w:rFonts w:ascii="Verdana" w:hAnsi="Verdana"/>
          <w:color w:val="000000"/>
          <w:sz w:val="20"/>
        </w:rPr>
      </w:pPr>
      <w:r w:rsidRPr="0011449B">
        <w:rPr>
          <w:rFonts w:ascii="Verdana" w:hAnsi="Verdana"/>
          <w:color w:val="000000"/>
          <w:sz w:val="20"/>
        </w:rPr>
        <w:t>7011 East Ave</w:t>
      </w:r>
    </w:p>
    <w:p w14:paraId="62B7E234" w14:textId="77777777" w:rsidR="00DB0D5E" w:rsidRPr="0011449B" w:rsidRDefault="00DB0D5E" w:rsidP="00DB0D5E">
      <w:pPr>
        <w:ind w:left="720"/>
        <w:rPr>
          <w:rFonts w:ascii="Verdana" w:hAnsi="Verdana"/>
          <w:color w:val="000000"/>
          <w:sz w:val="20"/>
        </w:rPr>
      </w:pPr>
      <w:r w:rsidRPr="0011449B">
        <w:rPr>
          <w:rFonts w:ascii="Verdana" w:hAnsi="Verdana"/>
          <w:color w:val="000000"/>
          <w:sz w:val="20"/>
        </w:rPr>
        <w:t>Livermore, CA 94550</w:t>
      </w:r>
    </w:p>
    <w:p w14:paraId="436DCE8A" w14:textId="77777777" w:rsidR="00DB0D5E" w:rsidRPr="0011449B" w:rsidRDefault="00DB0D5E" w:rsidP="00DB0D5E">
      <w:pPr>
        <w:ind w:left="720"/>
        <w:rPr>
          <w:rFonts w:ascii="Verdana" w:hAnsi="Verdana"/>
          <w:color w:val="000000"/>
          <w:sz w:val="20"/>
        </w:rPr>
      </w:pPr>
      <w:r w:rsidRPr="0011449B">
        <w:rPr>
          <w:rFonts w:ascii="Verdana" w:hAnsi="Verdana"/>
          <w:color w:val="000000"/>
          <w:sz w:val="20"/>
        </w:rPr>
        <w:t>Phone: (925) 337-1845</w:t>
      </w:r>
    </w:p>
    <w:p w14:paraId="66996251" w14:textId="77777777" w:rsidR="00DB0D5E" w:rsidRPr="0011449B" w:rsidRDefault="00DB0D5E" w:rsidP="00DB0D5E">
      <w:pPr>
        <w:ind w:left="720"/>
        <w:rPr>
          <w:rFonts w:ascii="Verdana" w:hAnsi="Verdana"/>
          <w:color w:val="000000"/>
          <w:sz w:val="20"/>
        </w:rPr>
      </w:pPr>
      <w:r w:rsidRPr="0011449B">
        <w:rPr>
          <w:rFonts w:ascii="Verdana" w:hAnsi="Verdana"/>
          <w:color w:val="000000"/>
          <w:sz w:val="20"/>
        </w:rPr>
        <w:t>Email: acox@sandia.gov</w:t>
      </w:r>
    </w:p>
    <w:p w14:paraId="255DA3A1" w14:textId="77777777" w:rsidR="00DB0D5E" w:rsidRPr="0011449B" w:rsidRDefault="00DB0D5E" w:rsidP="00DB0D5E">
      <w:pPr>
        <w:ind w:left="720"/>
        <w:rPr>
          <w:rFonts w:ascii="Verdana" w:hAnsi="Verdana"/>
          <w:color w:val="000000"/>
          <w:sz w:val="20"/>
        </w:rPr>
      </w:pPr>
    </w:p>
    <w:p w14:paraId="145B280A" w14:textId="77777777" w:rsidR="00DB0D5E" w:rsidRPr="0011449B" w:rsidRDefault="00DB0D5E" w:rsidP="00DB0D5E">
      <w:pPr>
        <w:ind w:left="720"/>
        <w:rPr>
          <w:rFonts w:ascii="Verdana" w:hAnsi="Verdana"/>
          <w:b/>
          <w:color w:val="000000"/>
          <w:sz w:val="20"/>
        </w:rPr>
      </w:pPr>
      <w:r w:rsidRPr="0011449B">
        <w:rPr>
          <w:rFonts w:ascii="Verdana" w:hAnsi="Verdana"/>
          <w:b/>
          <w:color w:val="000000"/>
          <w:sz w:val="20"/>
        </w:rPr>
        <w:t xml:space="preserve">Financial POC –       </w:t>
      </w:r>
    </w:p>
    <w:p w14:paraId="081BC53A" w14:textId="77777777" w:rsidR="00DB0D5E" w:rsidRPr="0011449B" w:rsidRDefault="00DB0D5E" w:rsidP="00DB0D5E">
      <w:pPr>
        <w:rPr>
          <w:rFonts w:ascii="Verdana" w:hAnsi="Verdana"/>
          <w:color w:val="000000"/>
          <w:sz w:val="20"/>
        </w:rPr>
      </w:pPr>
      <w:r w:rsidRPr="0011449B">
        <w:rPr>
          <w:rFonts w:ascii="Verdana" w:hAnsi="Verdana"/>
          <w:color w:val="000000"/>
          <w:sz w:val="20"/>
        </w:rPr>
        <w:tab/>
        <w:t>Angela Hsu</w:t>
      </w:r>
    </w:p>
    <w:p w14:paraId="2C6A0163" w14:textId="77777777" w:rsidR="00DB0D5E" w:rsidRPr="0011449B" w:rsidRDefault="00DB0D5E" w:rsidP="00DB0D5E">
      <w:pPr>
        <w:ind w:firstLine="720"/>
        <w:rPr>
          <w:rFonts w:ascii="Verdana" w:hAnsi="Verdana"/>
          <w:color w:val="000000"/>
          <w:sz w:val="20"/>
        </w:rPr>
      </w:pPr>
      <w:r w:rsidRPr="0011449B">
        <w:rPr>
          <w:rFonts w:ascii="Verdana" w:hAnsi="Verdana"/>
          <w:color w:val="000000"/>
          <w:sz w:val="20"/>
        </w:rPr>
        <w:t>Sandia National Labs</w:t>
      </w:r>
    </w:p>
    <w:p w14:paraId="79C3F918" w14:textId="77777777" w:rsidR="00DB0D5E" w:rsidRPr="0011449B" w:rsidRDefault="00DB0D5E" w:rsidP="00DB0D5E">
      <w:pPr>
        <w:ind w:firstLine="720"/>
        <w:rPr>
          <w:rFonts w:ascii="Verdana" w:hAnsi="Verdana"/>
          <w:color w:val="000000"/>
          <w:sz w:val="20"/>
        </w:rPr>
      </w:pPr>
      <w:r w:rsidRPr="0011449B">
        <w:rPr>
          <w:rFonts w:ascii="Verdana" w:hAnsi="Verdana"/>
          <w:color w:val="000000"/>
          <w:sz w:val="20"/>
        </w:rPr>
        <w:t>7011 East Ave</w:t>
      </w:r>
    </w:p>
    <w:p w14:paraId="6E380E85" w14:textId="77777777" w:rsidR="00DB0D5E" w:rsidRPr="0011449B" w:rsidRDefault="00DB0D5E" w:rsidP="00DB0D5E">
      <w:pPr>
        <w:ind w:firstLine="720"/>
        <w:rPr>
          <w:rFonts w:ascii="Verdana" w:hAnsi="Verdana"/>
          <w:color w:val="000000"/>
          <w:sz w:val="20"/>
        </w:rPr>
      </w:pPr>
      <w:r w:rsidRPr="0011449B">
        <w:rPr>
          <w:rFonts w:ascii="Verdana" w:hAnsi="Verdana"/>
          <w:color w:val="000000"/>
          <w:sz w:val="20"/>
        </w:rPr>
        <w:t>Livermore, CA 94550</w:t>
      </w:r>
    </w:p>
    <w:p w14:paraId="7791E772" w14:textId="77777777" w:rsidR="00DB0D5E" w:rsidRPr="0011449B" w:rsidRDefault="00DB0D5E" w:rsidP="00DB0D5E">
      <w:pPr>
        <w:ind w:firstLine="720"/>
        <w:rPr>
          <w:rFonts w:ascii="Verdana" w:hAnsi="Verdana"/>
          <w:color w:val="000000"/>
          <w:sz w:val="20"/>
        </w:rPr>
      </w:pPr>
      <w:r w:rsidRPr="0011449B">
        <w:rPr>
          <w:rFonts w:ascii="Verdana" w:hAnsi="Verdana"/>
          <w:color w:val="000000"/>
          <w:sz w:val="20"/>
        </w:rPr>
        <w:t>Phone: (925) 294-3776</w:t>
      </w:r>
    </w:p>
    <w:p w14:paraId="3368E63E" w14:textId="77777777" w:rsidR="00DB0D5E" w:rsidRPr="0011449B" w:rsidRDefault="00DB0D5E" w:rsidP="00DB0D5E">
      <w:pPr>
        <w:ind w:firstLine="720"/>
        <w:rPr>
          <w:rFonts w:ascii="Verdana" w:hAnsi="Verdana"/>
          <w:color w:val="000000"/>
          <w:sz w:val="20"/>
        </w:rPr>
      </w:pPr>
      <w:r w:rsidRPr="0011449B">
        <w:rPr>
          <w:rFonts w:ascii="Verdana" w:hAnsi="Verdana"/>
          <w:color w:val="000000"/>
          <w:sz w:val="20"/>
        </w:rPr>
        <w:t>Email: ahsu@sandia.gov</w:t>
      </w:r>
    </w:p>
    <w:p w14:paraId="08A4A004" w14:textId="77777777" w:rsidR="00731F10" w:rsidRPr="0011449B" w:rsidRDefault="00731F10">
      <w:pPr>
        <w:rPr>
          <w:rFonts w:ascii="Verdana" w:hAnsi="Verdana"/>
          <w:color w:val="000000"/>
          <w:sz w:val="20"/>
        </w:rPr>
      </w:pPr>
    </w:p>
    <w:p w14:paraId="383275CF" w14:textId="77777777" w:rsidR="00DB0D5E" w:rsidRPr="0011449B" w:rsidRDefault="00DB0D5E" w:rsidP="00DB0D5E">
      <w:pPr>
        <w:rPr>
          <w:rFonts w:ascii="Verdana" w:hAnsi="Verdana"/>
          <w:color w:val="000000"/>
          <w:sz w:val="20"/>
        </w:rPr>
      </w:pPr>
      <w:bookmarkStart w:id="3" w:name="OLE_LINK2"/>
      <w:bookmarkStart w:id="4" w:name="OLE_LINK3"/>
      <w:bookmarkStart w:id="5" w:name="OLE_LINK6"/>
      <w:r w:rsidRPr="0011449B">
        <w:rPr>
          <w:rFonts w:ascii="Verdana" w:hAnsi="Verdana"/>
          <w:color w:val="000000"/>
          <w:sz w:val="20"/>
        </w:rPr>
        <w:t>The DHS POCs are as follows:</w:t>
      </w:r>
    </w:p>
    <w:p w14:paraId="02DE5810" w14:textId="77777777" w:rsidR="00DB0D5E" w:rsidRPr="0011449B" w:rsidRDefault="00DB0D5E" w:rsidP="00DB0D5E">
      <w:pPr>
        <w:ind w:left="720"/>
        <w:rPr>
          <w:rFonts w:ascii="Verdana" w:hAnsi="Verdana"/>
          <w:sz w:val="20"/>
        </w:rPr>
      </w:pPr>
    </w:p>
    <w:p w14:paraId="26E50F1E" w14:textId="77777777" w:rsidR="00DB0D5E" w:rsidRPr="0011449B" w:rsidRDefault="00DB0D5E" w:rsidP="00DB0D5E">
      <w:pPr>
        <w:ind w:left="720"/>
        <w:rPr>
          <w:rFonts w:ascii="Verdana" w:hAnsi="Verdana"/>
          <w:color w:val="000000"/>
          <w:sz w:val="20"/>
        </w:rPr>
      </w:pPr>
      <w:r w:rsidRPr="0011449B">
        <w:rPr>
          <w:rFonts w:ascii="Verdana" w:hAnsi="Verdana"/>
          <w:b/>
          <w:color w:val="000000"/>
          <w:sz w:val="20"/>
        </w:rPr>
        <w:t>DHS S&amp;T COR</w:t>
      </w:r>
    </w:p>
    <w:p w14:paraId="3C81B94F" w14:textId="77777777" w:rsidR="00DB0D5E" w:rsidRPr="0011449B" w:rsidRDefault="00DB0D5E" w:rsidP="00DB0D5E">
      <w:pPr>
        <w:ind w:left="720"/>
        <w:rPr>
          <w:rFonts w:ascii="Verdana" w:hAnsi="Verdana"/>
          <w:color w:val="000000"/>
          <w:sz w:val="20"/>
        </w:rPr>
      </w:pPr>
      <w:r w:rsidRPr="0011449B">
        <w:rPr>
          <w:rFonts w:ascii="Verdana" w:hAnsi="Verdana"/>
          <w:color w:val="000000"/>
          <w:sz w:val="20"/>
        </w:rPr>
        <w:t>Dr. John Fortune</w:t>
      </w:r>
    </w:p>
    <w:p w14:paraId="57AEDA26" w14:textId="77777777" w:rsidR="00DB0D5E" w:rsidRPr="0011449B" w:rsidRDefault="00DB0D5E" w:rsidP="00DB0D5E">
      <w:pPr>
        <w:ind w:left="720"/>
        <w:rPr>
          <w:rFonts w:ascii="Verdana" w:hAnsi="Verdana"/>
          <w:color w:val="000000"/>
          <w:sz w:val="20"/>
        </w:rPr>
      </w:pPr>
      <w:r w:rsidRPr="0011449B">
        <w:rPr>
          <w:rFonts w:ascii="Verdana" w:hAnsi="Verdana"/>
          <w:color w:val="000000"/>
          <w:sz w:val="20"/>
        </w:rPr>
        <w:t>Explosives Division</w:t>
      </w:r>
    </w:p>
    <w:p w14:paraId="69F3C476" w14:textId="77777777" w:rsidR="00DB0D5E" w:rsidRPr="0011449B" w:rsidRDefault="00DB0D5E" w:rsidP="00DB0D5E">
      <w:pPr>
        <w:ind w:left="720"/>
        <w:rPr>
          <w:rFonts w:ascii="Verdana" w:hAnsi="Verdana"/>
          <w:color w:val="000000"/>
          <w:sz w:val="20"/>
        </w:rPr>
      </w:pPr>
      <w:r w:rsidRPr="0011449B">
        <w:rPr>
          <w:rFonts w:ascii="Verdana" w:hAnsi="Verdana"/>
          <w:color w:val="000000"/>
          <w:sz w:val="20"/>
        </w:rPr>
        <w:t>Science and Technology Directorate</w:t>
      </w:r>
    </w:p>
    <w:p w14:paraId="47C4C8D8" w14:textId="77777777" w:rsidR="00DB0D5E" w:rsidRPr="0011449B" w:rsidRDefault="00DB0D5E" w:rsidP="00DB0D5E">
      <w:pPr>
        <w:ind w:left="720"/>
        <w:rPr>
          <w:rFonts w:ascii="Verdana" w:hAnsi="Verdana"/>
          <w:color w:val="000000"/>
          <w:sz w:val="20"/>
        </w:rPr>
      </w:pPr>
      <w:r w:rsidRPr="0011449B">
        <w:rPr>
          <w:rFonts w:ascii="Verdana" w:hAnsi="Verdana"/>
          <w:color w:val="000000"/>
          <w:sz w:val="20"/>
        </w:rPr>
        <w:t>245 Murray Lane, SW</w:t>
      </w:r>
    </w:p>
    <w:p w14:paraId="6359E879" w14:textId="77777777" w:rsidR="00DB0D5E" w:rsidRPr="0011449B" w:rsidRDefault="00DB0D5E" w:rsidP="00DB0D5E">
      <w:pPr>
        <w:ind w:left="720"/>
        <w:rPr>
          <w:rFonts w:ascii="Verdana" w:hAnsi="Verdana"/>
          <w:color w:val="000000"/>
          <w:sz w:val="20"/>
        </w:rPr>
      </w:pPr>
      <w:r w:rsidRPr="0011449B">
        <w:rPr>
          <w:rFonts w:ascii="Verdana" w:hAnsi="Verdana"/>
          <w:color w:val="000000"/>
          <w:sz w:val="20"/>
        </w:rPr>
        <w:t>Washington, DC 20528</w:t>
      </w:r>
    </w:p>
    <w:p w14:paraId="0B385A47" w14:textId="77777777" w:rsidR="00DB0D5E" w:rsidRPr="0011449B" w:rsidRDefault="00DB0D5E" w:rsidP="00DB0D5E">
      <w:pPr>
        <w:ind w:left="720"/>
        <w:rPr>
          <w:rFonts w:ascii="Verdana" w:hAnsi="Verdana"/>
          <w:color w:val="000000"/>
          <w:sz w:val="20"/>
        </w:rPr>
      </w:pPr>
      <w:r w:rsidRPr="0011449B">
        <w:rPr>
          <w:rFonts w:ascii="Verdana" w:hAnsi="Verdana"/>
          <w:color w:val="000000"/>
          <w:sz w:val="20"/>
        </w:rPr>
        <w:t>Phone: (202) 254-6622</w:t>
      </w:r>
    </w:p>
    <w:p w14:paraId="0BEC13FD" w14:textId="77777777" w:rsidR="00DB0D5E" w:rsidRPr="0011449B" w:rsidRDefault="00DB0D5E" w:rsidP="00DB0D5E">
      <w:pPr>
        <w:ind w:left="720"/>
        <w:rPr>
          <w:rFonts w:ascii="Verdana" w:hAnsi="Verdana"/>
          <w:color w:val="000000"/>
          <w:sz w:val="20"/>
        </w:rPr>
      </w:pPr>
      <w:r w:rsidRPr="0011449B">
        <w:rPr>
          <w:rFonts w:ascii="Verdana" w:hAnsi="Verdana"/>
          <w:color w:val="000000"/>
          <w:sz w:val="20"/>
        </w:rPr>
        <w:t>Email:  john.fortune@hq.dhs.gov</w:t>
      </w:r>
    </w:p>
    <w:p w14:paraId="7AC77B3E" w14:textId="77777777" w:rsidR="00DB0D5E" w:rsidRPr="0011449B" w:rsidRDefault="00DB0D5E" w:rsidP="00DB0D5E">
      <w:pPr>
        <w:ind w:left="720"/>
        <w:rPr>
          <w:rFonts w:ascii="Verdana" w:hAnsi="Verdana"/>
          <w:color w:val="000000"/>
          <w:sz w:val="20"/>
        </w:rPr>
      </w:pPr>
    </w:p>
    <w:p w14:paraId="51CFEB6A" w14:textId="77777777" w:rsidR="00DB0D5E" w:rsidRPr="0011449B" w:rsidRDefault="00DB0D5E" w:rsidP="00DB0D5E">
      <w:pPr>
        <w:ind w:left="720"/>
        <w:rPr>
          <w:rFonts w:ascii="Verdana" w:hAnsi="Verdana"/>
          <w:b/>
          <w:color w:val="000000"/>
          <w:sz w:val="20"/>
        </w:rPr>
      </w:pPr>
      <w:r w:rsidRPr="0011449B">
        <w:rPr>
          <w:rFonts w:ascii="Verdana" w:hAnsi="Verdana"/>
          <w:b/>
          <w:color w:val="000000"/>
          <w:sz w:val="20"/>
        </w:rPr>
        <w:t xml:space="preserve">DHS S&amp;T Financial Analyst </w:t>
      </w:r>
    </w:p>
    <w:p w14:paraId="30871EF2" w14:textId="77777777" w:rsidR="00DB0D5E" w:rsidRPr="0011449B" w:rsidRDefault="00DB0D5E" w:rsidP="00DB0D5E">
      <w:pPr>
        <w:ind w:left="360" w:firstLine="360"/>
        <w:rPr>
          <w:rFonts w:ascii="Verdana" w:hAnsi="Verdana"/>
          <w:color w:val="000000"/>
          <w:sz w:val="20"/>
        </w:rPr>
      </w:pPr>
      <w:r w:rsidRPr="0011449B">
        <w:rPr>
          <w:rFonts w:ascii="Verdana" w:hAnsi="Verdana"/>
          <w:color w:val="000000"/>
          <w:sz w:val="20"/>
        </w:rPr>
        <w:t>Mingming Yu</w:t>
      </w:r>
    </w:p>
    <w:p w14:paraId="4ABAF0CC" w14:textId="77777777" w:rsidR="00DB0D5E" w:rsidRPr="0011449B" w:rsidRDefault="00DB0D5E" w:rsidP="00DB0D5E">
      <w:pPr>
        <w:ind w:left="360" w:firstLine="360"/>
        <w:rPr>
          <w:rFonts w:ascii="Verdana" w:hAnsi="Verdana"/>
          <w:color w:val="000000"/>
          <w:sz w:val="20"/>
        </w:rPr>
      </w:pPr>
      <w:r w:rsidRPr="0011449B">
        <w:rPr>
          <w:rFonts w:ascii="Verdana" w:hAnsi="Verdana"/>
          <w:color w:val="000000"/>
          <w:sz w:val="20"/>
        </w:rPr>
        <w:t>DHS S&amp;T FBD MS0200</w:t>
      </w:r>
    </w:p>
    <w:p w14:paraId="00B49582" w14:textId="77777777" w:rsidR="00DB0D5E" w:rsidRPr="0011449B" w:rsidRDefault="00DB0D5E" w:rsidP="00DB0D5E">
      <w:pPr>
        <w:ind w:left="360" w:firstLine="360"/>
        <w:rPr>
          <w:rFonts w:ascii="Verdana" w:hAnsi="Verdana"/>
          <w:color w:val="000000"/>
          <w:sz w:val="20"/>
        </w:rPr>
      </w:pPr>
      <w:r w:rsidRPr="0011449B">
        <w:rPr>
          <w:rFonts w:ascii="Verdana" w:hAnsi="Verdana"/>
          <w:color w:val="000000"/>
          <w:sz w:val="20"/>
        </w:rPr>
        <w:t>245 Murray Lane</w:t>
      </w:r>
    </w:p>
    <w:p w14:paraId="2AD85613" w14:textId="77777777" w:rsidR="00DB0D5E" w:rsidRPr="0011449B" w:rsidRDefault="00DB0D5E" w:rsidP="00DB0D5E">
      <w:pPr>
        <w:ind w:left="360" w:firstLine="360"/>
        <w:rPr>
          <w:rFonts w:ascii="Verdana" w:hAnsi="Verdana"/>
          <w:color w:val="000000"/>
          <w:sz w:val="20"/>
        </w:rPr>
      </w:pPr>
      <w:r w:rsidRPr="0011449B">
        <w:rPr>
          <w:rFonts w:ascii="Verdana" w:hAnsi="Verdana"/>
          <w:color w:val="000000"/>
          <w:sz w:val="20"/>
        </w:rPr>
        <w:t>Washington, DC 20528-0200</w:t>
      </w:r>
    </w:p>
    <w:p w14:paraId="486AD312" w14:textId="77777777" w:rsidR="00DB0D5E" w:rsidRPr="0011449B" w:rsidRDefault="00DB0D5E" w:rsidP="00DB0D5E">
      <w:pPr>
        <w:ind w:left="360" w:firstLine="360"/>
        <w:rPr>
          <w:rFonts w:ascii="Verdana" w:hAnsi="Verdana"/>
          <w:color w:val="000000"/>
          <w:sz w:val="20"/>
        </w:rPr>
      </w:pPr>
      <w:r w:rsidRPr="0011449B">
        <w:rPr>
          <w:rFonts w:ascii="Verdana" w:hAnsi="Verdana"/>
          <w:color w:val="000000"/>
          <w:sz w:val="20"/>
        </w:rPr>
        <w:t>Telephone: 202-254-5309</w:t>
      </w:r>
    </w:p>
    <w:p w14:paraId="45303969" w14:textId="77777777" w:rsidR="00DB0D5E" w:rsidRPr="0011449B" w:rsidRDefault="00DB0D5E" w:rsidP="00DB0D5E">
      <w:pPr>
        <w:ind w:left="360" w:firstLine="360"/>
        <w:rPr>
          <w:rFonts w:ascii="Verdana" w:hAnsi="Verdana"/>
          <w:color w:val="000000"/>
          <w:sz w:val="20"/>
        </w:rPr>
      </w:pPr>
      <w:r w:rsidRPr="0011449B">
        <w:rPr>
          <w:rFonts w:ascii="Verdana" w:hAnsi="Verdana"/>
          <w:color w:val="000000"/>
          <w:sz w:val="20"/>
        </w:rPr>
        <w:t>Fax: 202-254-5392</w:t>
      </w:r>
    </w:p>
    <w:p w14:paraId="66174789" w14:textId="77777777" w:rsidR="00DB0D5E" w:rsidRPr="0011449B" w:rsidRDefault="00DB0D5E" w:rsidP="00DB0D5E">
      <w:pPr>
        <w:ind w:left="360" w:firstLine="360"/>
        <w:rPr>
          <w:rFonts w:ascii="Verdana" w:hAnsi="Verdana"/>
          <w:color w:val="000000"/>
          <w:sz w:val="20"/>
        </w:rPr>
      </w:pPr>
      <w:r w:rsidRPr="0011449B">
        <w:rPr>
          <w:rFonts w:ascii="Verdana" w:hAnsi="Verdana"/>
          <w:color w:val="000000"/>
          <w:sz w:val="20"/>
        </w:rPr>
        <w:t xml:space="preserve">Email:  </w:t>
      </w:r>
      <w:hyperlink r:id="rId13" w:history="1">
        <w:r w:rsidRPr="0011449B">
          <w:rPr>
            <w:rFonts w:ascii="Verdana" w:hAnsi="Verdana"/>
            <w:color w:val="0000FF"/>
            <w:sz w:val="20"/>
            <w:u w:val="single"/>
          </w:rPr>
          <w:t>Mingming.Yu@hq.dhs.gov</w:t>
        </w:r>
      </w:hyperlink>
    </w:p>
    <w:p w14:paraId="26203D2B" w14:textId="77777777" w:rsidR="00DB0D5E" w:rsidRPr="0011449B" w:rsidRDefault="00DB0D5E" w:rsidP="00DB0D5E">
      <w:pPr>
        <w:rPr>
          <w:rFonts w:ascii="Verdana" w:hAnsi="Verdana"/>
          <w:b/>
          <w:sz w:val="20"/>
        </w:rPr>
      </w:pPr>
    </w:p>
    <w:p w14:paraId="3DD771C3" w14:textId="77777777" w:rsidR="00DB0D5E" w:rsidRPr="0011449B" w:rsidRDefault="00DB0D5E" w:rsidP="00DB0D5E">
      <w:pPr>
        <w:ind w:firstLine="720"/>
        <w:rPr>
          <w:rFonts w:ascii="Verdana" w:hAnsi="Verdana" w:cstheme="minorBidi"/>
          <w:sz w:val="20"/>
        </w:rPr>
      </w:pPr>
      <w:r w:rsidRPr="0011449B">
        <w:rPr>
          <w:rFonts w:ascii="Verdana" w:hAnsi="Verdana" w:cstheme="minorBidi"/>
          <w:b/>
          <w:bCs/>
          <w:spacing w:val="-1"/>
          <w:sz w:val="20"/>
        </w:rPr>
        <w:t>DHS</w:t>
      </w:r>
      <w:r w:rsidRPr="0011449B">
        <w:rPr>
          <w:rFonts w:ascii="Verdana" w:hAnsi="Verdana" w:cstheme="minorBidi"/>
          <w:b/>
          <w:bCs/>
          <w:sz w:val="20"/>
        </w:rPr>
        <w:t xml:space="preserve"> </w:t>
      </w:r>
      <w:r w:rsidRPr="0011449B">
        <w:rPr>
          <w:rFonts w:ascii="Verdana" w:hAnsi="Verdana" w:cstheme="minorBidi"/>
          <w:b/>
          <w:bCs/>
          <w:spacing w:val="-1"/>
          <w:sz w:val="20"/>
        </w:rPr>
        <w:t>S&amp;T</w:t>
      </w:r>
      <w:r w:rsidRPr="0011449B">
        <w:rPr>
          <w:rFonts w:ascii="Verdana" w:hAnsi="Verdana" w:cstheme="minorBidi"/>
          <w:b/>
          <w:bCs/>
          <w:sz w:val="20"/>
        </w:rPr>
        <w:t xml:space="preserve"> </w:t>
      </w:r>
      <w:r w:rsidRPr="0011449B">
        <w:rPr>
          <w:rFonts w:ascii="Verdana" w:hAnsi="Verdana" w:cstheme="minorBidi"/>
          <w:b/>
          <w:bCs/>
          <w:spacing w:val="-1"/>
          <w:sz w:val="20"/>
        </w:rPr>
        <w:t>Invoicing</w:t>
      </w:r>
    </w:p>
    <w:p w14:paraId="0D342933" w14:textId="77777777" w:rsidR="00DB0D5E" w:rsidRPr="0011449B" w:rsidRDefault="00DB0D5E" w:rsidP="00DB0D5E">
      <w:pPr>
        <w:widowControl w:val="0"/>
        <w:spacing w:line="274" w:lineRule="exact"/>
        <w:ind w:left="760"/>
        <w:rPr>
          <w:rFonts w:ascii="Verdana" w:hAnsi="Verdana" w:cstheme="minorBidi"/>
          <w:sz w:val="20"/>
        </w:rPr>
      </w:pPr>
      <w:r w:rsidRPr="0011449B">
        <w:rPr>
          <w:rFonts w:ascii="Verdana" w:hAnsi="Verdana" w:cstheme="minorBidi"/>
          <w:spacing w:val="-1"/>
          <w:sz w:val="20"/>
        </w:rPr>
        <w:t>DHS</w:t>
      </w:r>
      <w:r w:rsidRPr="0011449B">
        <w:rPr>
          <w:rFonts w:ascii="Verdana" w:hAnsi="Verdana" w:cstheme="minorBidi"/>
          <w:spacing w:val="3"/>
          <w:sz w:val="20"/>
        </w:rPr>
        <w:t xml:space="preserve"> </w:t>
      </w:r>
      <w:r w:rsidRPr="0011449B">
        <w:rPr>
          <w:rFonts w:ascii="Verdana" w:hAnsi="Verdana" w:cstheme="minorBidi"/>
          <w:spacing w:val="-2"/>
          <w:sz w:val="20"/>
        </w:rPr>
        <w:t>ICE</w:t>
      </w:r>
    </w:p>
    <w:p w14:paraId="251D3776" w14:textId="77777777" w:rsidR="00DB0D5E" w:rsidRPr="0011449B" w:rsidRDefault="00DB0D5E" w:rsidP="00DB0D5E">
      <w:pPr>
        <w:widowControl w:val="0"/>
        <w:ind w:left="760"/>
        <w:rPr>
          <w:rFonts w:ascii="Verdana" w:hAnsi="Verdana" w:cstheme="minorBidi"/>
          <w:sz w:val="20"/>
        </w:rPr>
      </w:pPr>
      <w:r w:rsidRPr="0011449B">
        <w:rPr>
          <w:rFonts w:ascii="Verdana" w:hAnsi="Verdana" w:cstheme="minorBidi"/>
          <w:spacing w:val="-1"/>
          <w:sz w:val="20"/>
        </w:rPr>
        <w:t>Attn:</w:t>
      </w:r>
      <w:r w:rsidRPr="0011449B">
        <w:rPr>
          <w:rFonts w:ascii="Verdana" w:hAnsi="Verdana" w:cstheme="minorBidi"/>
          <w:sz w:val="20"/>
        </w:rPr>
        <w:t xml:space="preserve"> </w:t>
      </w:r>
      <w:r w:rsidRPr="0011449B">
        <w:rPr>
          <w:rFonts w:ascii="Verdana" w:hAnsi="Verdana" w:cstheme="minorBidi"/>
          <w:spacing w:val="-1"/>
          <w:sz w:val="20"/>
        </w:rPr>
        <w:t>S&amp;T EXD</w:t>
      </w:r>
      <w:r w:rsidRPr="0011449B">
        <w:rPr>
          <w:rFonts w:ascii="Verdana" w:hAnsi="Verdana" w:cstheme="minorBidi"/>
          <w:spacing w:val="1"/>
          <w:sz w:val="20"/>
        </w:rPr>
        <w:t xml:space="preserve"> </w:t>
      </w:r>
      <w:r w:rsidRPr="0011449B">
        <w:rPr>
          <w:rFonts w:ascii="Verdana" w:hAnsi="Verdana" w:cstheme="minorBidi"/>
          <w:spacing w:val="-1"/>
          <w:sz w:val="20"/>
        </w:rPr>
        <w:t>Invoice</w:t>
      </w:r>
    </w:p>
    <w:p w14:paraId="6CE56A9A" w14:textId="77777777" w:rsidR="00DB0D5E" w:rsidRPr="0011449B" w:rsidRDefault="00DB0D5E" w:rsidP="00DB0D5E">
      <w:pPr>
        <w:widowControl w:val="0"/>
        <w:ind w:left="760" w:right="5385"/>
        <w:rPr>
          <w:rFonts w:ascii="Verdana" w:hAnsi="Verdana" w:cstheme="minorBidi"/>
          <w:sz w:val="20"/>
        </w:rPr>
      </w:pPr>
      <w:r w:rsidRPr="0011449B">
        <w:rPr>
          <w:rFonts w:ascii="Verdana" w:hAnsi="Verdana" w:cstheme="minorBidi"/>
          <w:spacing w:val="-1"/>
          <w:sz w:val="20"/>
        </w:rPr>
        <w:t>Dallas</w:t>
      </w:r>
      <w:r w:rsidRPr="0011449B">
        <w:rPr>
          <w:rFonts w:ascii="Verdana" w:hAnsi="Verdana" w:cstheme="minorBidi"/>
          <w:sz w:val="20"/>
        </w:rPr>
        <w:t xml:space="preserve"> </w:t>
      </w:r>
      <w:r w:rsidRPr="0011449B">
        <w:rPr>
          <w:rFonts w:ascii="Verdana" w:hAnsi="Verdana" w:cstheme="minorBidi"/>
          <w:spacing w:val="-1"/>
          <w:sz w:val="20"/>
        </w:rPr>
        <w:t>Finance Payment</w:t>
      </w:r>
      <w:r w:rsidRPr="0011449B">
        <w:rPr>
          <w:rFonts w:ascii="Verdana" w:hAnsi="Verdana" w:cstheme="minorBidi"/>
          <w:spacing w:val="2"/>
          <w:sz w:val="20"/>
        </w:rPr>
        <w:t xml:space="preserve"> </w:t>
      </w:r>
      <w:r w:rsidRPr="0011449B">
        <w:rPr>
          <w:rFonts w:ascii="Verdana" w:hAnsi="Verdana" w:cstheme="minorBidi"/>
          <w:spacing w:val="-1"/>
          <w:sz w:val="20"/>
        </w:rPr>
        <w:t>Address</w:t>
      </w:r>
      <w:r w:rsidRPr="0011449B">
        <w:rPr>
          <w:rFonts w:ascii="Verdana" w:hAnsi="Verdana" w:cstheme="minorBidi"/>
          <w:spacing w:val="33"/>
          <w:sz w:val="20"/>
        </w:rPr>
        <w:t xml:space="preserve"> </w:t>
      </w:r>
      <w:r w:rsidRPr="0011449B">
        <w:rPr>
          <w:rFonts w:ascii="Verdana" w:hAnsi="Verdana" w:cstheme="minorBidi"/>
          <w:sz w:val="20"/>
        </w:rPr>
        <w:t>1605</w:t>
      </w:r>
      <w:r w:rsidRPr="0011449B">
        <w:rPr>
          <w:rFonts w:ascii="Verdana" w:hAnsi="Verdana" w:cstheme="minorBidi"/>
          <w:spacing w:val="2"/>
          <w:sz w:val="20"/>
        </w:rPr>
        <w:t xml:space="preserve"> </w:t>
      </w:r>
      <w:r w:rsidRPr="0011449B">
        <w:rPr>
          <w:rFonts w:ascii="Verdana" w:hAnsi="Verdana" w:cstheme="minorBidi"/>
          <w:spacing w:val="-2"/>
          <w:sz w:val="20"/>
        </w:rPr>
        <w:t>LBJ</w:t>
      </w:r>
      <w:r w:rsidRPr="0011449B">
        <w:rPr>
          <w:rFonts w:ascii="Verdana" w:hAnsi="Verdana" w:cstheme="minorBidi"/>
          <w:spacing w:val="2"/>
          <w:sz w:val="20"/>
        </w:rPr>
        <w:t xml:space="preserve"> </w:t>
      </w:r>
      <w:r w:rsidRPr="0011449B">
        <w:rPr>
          <w:rFonts w:ascii="Verdana" w:hAnsi="Verdana" w:cstheme="minorBidi"/>
          <w:sz w:val="20"/>
        </w:rPr>
        <w:t>HWY</w:t>
      </w:r>
    </w:p>
    <w:p w14:paraId="383793C0" w14:textId="77777777" w:rsidR="00DB0D5E" w:rsidRPr="0011449B" w:rsidRDefault="00DB0D5E" w:rsidP="00DB0D5E">
      <w:pPr>
        <w:widowControl w:val="0"/>
        <w:ind w:left="760"/>
        <w:rPr>
          <w:rFonts w:ascii="Verdana" w:hAnsi="Verdana" w:cstheme="minorBidi"/>
          <w:sz w:val="20"/>
        </w:rPr>
      </w:pPr>
      <w:r w:rsidRPr="0011449B">
        <w:rPr>
          <w:rFonts w:ascii="Verdana" w:hAnsi="Verdana" w:cstheme="minorBidi"/>
          <w:sz w:val="20"/>
        </w:rPr>
        <w:t>Suite</w:t>
      </w:r>
      <w:r w:rsidRPr="0011449B">
        <w:rPr>
          <w:rFonts w:ascii="Verdana" w:hAnsi="Verdana" w:cstheme="minorBidi"/>
          <w:spacing w:val="-1"/>
          <w:sz w:val="20"/>
        </w:rPr>
        <w:t xml:space="preserve"> </w:t>
      </w:r>
      <w:r w:rsidRPr="0011449B">
        <w:rPr>
          <w:rFonts w:ascii="Verdana" w:hAnsi="Verdana" w:cstheme="minorBidi"/>
          <w:sz w:val="20"/>
        </w:rPr>
        <w:t>300</w:t>
      </w:r>
    </w:p>
    <w:p w14:paraId="472C05B1" w14:textId="77777777" w:rsidR="00DB0D5E" w:rsidRPr="0011449B" w:rsidRDefault="00DB0D5E" w:rsidP="00DB0D5E">
      <w:pPr>
        <w:widowControl w:val="0"/>
        <w:ind w:left="760" w:right="5385"/>
        <w:rPr>
          <w:rFonts w:ascii="Verdana" w:hAnsi="Verdana" w:cstheme="minorBidi"/>
          <w:color w:val="0000FF"/>
          <w:spacing w:val="-1"/>
          <w:sz w:val="20"/>
          <w:u w:val="single" w:color="0000FF"/>
        </w:rPr>
      </w:pPr>
      <w:r w:rsidRPr="0011449B">
        <w:rPr>
          <w:rFonts w:ascii="Verdana" w:hAnsi="Verdana" w:cstheme="minorBidi"/>
          <w:spacing w:val="-1"/>
          <w:sz w:val="20"/>
        </w:rPr>
        <w:t>Farmers</w:t>
      </w:r>
      <w:r w:rsidRPr="0011449B">
        <w:rPr>
          <w:rFonts w:ascii="Verdana" w:hAnsi="Verdana" w:cstheme="minorBidi"/>
          <w:sz w:val="20"/>
        </w:rPr>
        <w:t xml:space="preserve"> </w:t>
      </w:r>
      <w:r w:rsidRPr="0011449B">
        <w:rPr>
          <w:rFonts w:ascii="Verdana" w:hAnsi="Verdana" w:cstheme="minorBidi"/>
          <w:spacing w:val="-1"/>
          <w:sz w:val="20"/>
        </w:rPr>
        <w:t>Branch,</w:t>
      </w:r>
      <w:r w:rsidRPr="0011449B">
        <w:rPr>
          <w:rFonts w:ascii="Verdana" w:hAnsi="Verdana" w:cstheme="minorBidi"/>
          <w:sz w:val="20"/>
        </w:rPr>
        <w:t xml:space="preserve"> </w:t>
      </w:r>
      <w:r w:rsidRPr="0011449B">
        <w:rPr>
          <w:rFonts w:ascii="Verdana" w:hAnsi="Verdana" w:cstheme="minorBidi"/>
          <w:spacing w:val="-1"/>
          <w:sz w:val="20"/>
        </w:rPr>
        <w:t xml:space="preserve">TX </w:t>
      </w:r>
      <w:r w:rsidRPr="0011449B">
        <w:rPr>
          <w:rFonts w:ascii="Verdana" w:hAnsi="Verdana" w:cstheme="minorBidi"/>
          <w:sz w:val="20"/>
        </w:rPr>
        <w:t>75234</w:t>
      </w:r>
      <w:r w:rsidRPr="0011449B">
        <w:rPr>
          <w:rFonts w:ascii="Verdana" w:hAnsi="Verdana" w:cstheme="minorBidi"/>
          <w:spacing w:val="25"/>
          <w:sz w:val="20"/>
        </w:rPr>
        <w:t xml:space="preserve"> </w:t>
      </w:r>
      <w:r w:rsidRPr="0011449B">
        <w:rPr>
          <w:rFonts w:ascii="Verdana" w:hAnsi="Verdana" w:cstheme="minorBidi"/>
          <w:spacing w:val="-1"/>
          <w:sz w:val="20"/>
        </w:rPr>
        <w:t>Email:</w:t>
      </w:r>
      <w:r w:rsidRPr="0011449B">
        <w:rPr>
          <w:rFonts w:ascii="Verdana" w:hAnsi="Verdana" w:cstheme="minorBidi"/>
          <w:sz w:val="20"/>
        </w:rPr>
        <w:t xml:space="preserve">  </w:t>
      </w:r>
      <w:hyperlink r:id="rId14">
        <w:r w:rsidRPr="0011449B">
          <w:rPr>
            <w:rFonts w:ascii="Verdana" w:hAnsi="Verdana" w:cstheme="minorBidi"/>
            <w:color w:val="0000FF"/>
            <w:spacing w:val="-1"/>
            <w:sz w:val="20"/>
            <w:u w:val="single" w:color="0000FF"/>
          </w:rPr>
          <w:t>ST.Invoicing@hq.dhs.gov</w:t>
        </w:r>
      </w:hyperlink>
    </w:p>
    <w:p w14:paraId="08A4A00A" w14:textId="77777777" w:rsidR="00905332" w:rsidRPr="0011449B" w:rsidRDefault="00905332" w:rsidP="00040DF8">
      <w:pPr>
        <w:keepNext/>
        <w:ind w:left="720"/>
        <w:rPr>
          <w:rFonts w:ascii="Verdana" w:hAnsi="Verdana"/>
          <w:sz w:val="20"/>
        </w:rPr>
      </w:pPr>
    </w:p>
    <w:bookmarkEnd w:id="3"/>
    <w:bookmarkEnd w:id="4"/>
    <w:bookmarkEnd w:id="5"/>
    <w:p w14:paraId="08A4A015" w14:textId="77777777" w:rsidR="00DB3B00" w:rsidRPr="0011449B" w:rsidRDefault="00DB3B00" w:rsidP="00731F10">
      <w:pPr>
        <w:pStyle w:val="StyleHeading114ptNotItalicNounderline"/>
        <w:numPr>
          <w:ilvl w:val="2"/>
          <w:numId w:val="3"/>
        </w:numPr>
        <w:ind w:hanging="2790"/>
        <w:rPr>
          <w:rFonts w:ascii="Verdana" w:hAnsi="Verdana"/>
          <w:sz w:val="20"/>
        </w:rPr>
      </w:pPr>
      <w:r w:rsidRPr="0011449B">
        <w:rPr>
          <w:rFonts w:ascii="Verdana" w:hAnsi="Verdana"/>
          <w:sz w:val="20"/>
        </w:rPr>
        <w:t>Applicable Documents</w:t>
      </w:r>
    </w:p>
    <w:p w14:paraId="08A4A016" w14:textId="77777777" w:rsidR="00457DA8" w:rsidRPr="0011449B" w:rsidRDefault="00457DA8" w:rsidP="00457DA8">
      <w:pPr>
        <w:pStyle w:val="StyleHeading114ptNotItalicNounderline"/>
        <w:numPr>
          <w:ilvl w:val="0"/>
          <w:numId w:val="0"/>
        </w:numPr>
        <w:tabs>
          <w:tab w:val="clear" w:pos="720"/>
        </w:tabs>
        <w:ind w:left="2790"/>
        <w:rPr>
          <w:rFonts w:ascii="Verdana" w:hAnsi="Verdana"/>
          <w:sz w:val="20"/>
        </w:rPr>
      </w:pPr>
    </w:p>
    <w:p w14:paraId="08A4A017" w14:textId="47425377" w:rsidR="00DB3B00" w:rsidRPr="0011449B" w:rsidRDefault="00B00A2E" w:rsidP="00457DA8">
      <w:pPr>
        <w:rPr>
          <w:rFonts w:ascii="Verdana" w:hAnsi="Verdana"/>
          <w:sz w:val="20"/>
        </w:rPr>
      </w:pPr>
      <w:r>
        <w:rPr>
          <w:rFonts w:ascii="Verdana" w:hAnsi="Verdana"/>
          <w:sz w:val="20"/>
        </w:rPr>
        <w:t>Attachment: Software Deliverables Document</w:t>
      </w:r>
    </w:p>
    <w:p w14:paraId="68C5386A" w14:textId="77777777" w:rsidR="00DB0D5E" w:rsidRPr="0011449B" w:rsidRDefault="00DB0D5E" w:rsidP="00457DA8">
      <w:pPr>
        <w:rPr>
          <w:rFonts w:ascii="Verdana" w:hAnsi="Verdana"/>
          <w:sz w:val="20"/>
        </w:rPr>
      </w:pPr>
    </w:p>
    <w:p w14:paraId="08A4A019" w14:textId="77777777" w:rsidR="00457DA8" w:rsidRPr="0011449B" w:rsidRDefault="00457DA8" w:rsidP="00457DA8">
      <w:pPr>
        <w:pStyle w:val="StyleHeading114ptNotItalicNounderline"/>
        <w:numPr>
          <w:ilvl w:val="2"/>
          <w:numId w:val="3"/>
        </w:numPr>
        <w:ind w:hanging="2790"/>
        <w:rPr>
          <w:rFonts w:ascii="Verdana" w:hAnsi="Verdana"/>
          <w:sz w:val="20"/>
        </w:rPr>
      </w:pPr>
      <w:r w:rsidRPr="0011449B">
        <w:rPr>
          <w:rFonts w:ascii="Verdana" w:hAnsi="Verdana"/>
          <w:sz w:val="20"/>
        </w:rPr>
        <w:lastRenderedPageBreak/>
        <w:t>Changes to this SOW</w:t>
      </w:r>
    </w:p>
    <w:p w14:paraId="08A4A01A" w14:textId="77777777" w:rsidR="00457DA8" w:rsidRPr="0011449B" w:rsidRDefault="00457DA8" w:rsidP="00457DA8">
      <w:pPr>
        <w:pStyle w:val="StyleHeading114ptNotItalicNounderline"/>
        <w:numPr>
          <w:ilvl w:val="0"/>
          <w:numId w:val="0"/>
        </w:numPr>
        <w:tabs>
          <w:tab w:val="clear" w:pos="720"/>
        </w:tabs>
        <w:ind w:left="2790"/>
        <w:rPr>
          <w:rFonts w:ascii="Verdana" w:hAnsi="Verdana"/>
          <w:sz w:val="20"/>
        </w:rPr>
      </w:pPr>
    </w:p>
    <w:p w14:paraId="08A4A01B" w14:textId="77777777" w:rsidR="00457DA8" w:rsidRPr="0011449B" w:rsidRDefault="00457DA8" w:rsidP="00457DA8">
      <w:pPr>
        <w:rPr>
          <w:rFonts w:ascii="Verdana" w:hAnsi="Verdana"/>
          <w:color w:val="000000"/>
          <w:sz w:val="20"/>
        </w:rPr>
      </w:pPr>
      <w:r w:rsidRPr="0011449B">
        <w:rPr>
          <w:rFonts w:ascii="Verdana" w:hAnsi="Verdana"/>
          <w:color w:val="000000"/>
          <w:sz w:val="20"/>
        </w:rPr>
        <w:t xml:space="preserve">Changes to this SOW shall be in made in accordance with </w:t>
      </w:r>
      <w:r w:rsidR="00A46B45" w:rsidRPr="0011449B">
        <w:rPr>
          <w:rFonts w:ascii="Verdana" w:hAnsi="Verdana"/>
          <w:color w:val="000000"/>
          <w:sz w:val="20"/>
        </w:rPr>
        <w:t xml:space="preserve">Section </w:t>
      </w:r>
      <w:r w:rsidRPr="0011449B">
        <w:rPr>
          <w:rFonts w:ascii="Verdana" w:hAnsi="Verdana"/>
          <w:color w:val="000000"/>
          <w:sz w:val="20"/>
        </w:rPr>
        <w:t>2.b. of the attached Standard Terms and Conditions.</w:t>
      </w:r>
    </w:p>
    <w:sectPr w:rsidR="00457DA8" w:rsidRPr="0011449B" w:rsidSect="00905332">
      <w:footerReference w:type="default" r:id="rId15"/>
      <w:pgSz w:w="12240" w:h="15840" w:code="1"/>
      <w:pgMar w:top="1440" w:right="1440" w:bottom="720" w:left="1440" w:header="576" w:footer="576" w:gutter="0"/>
      <w:pgBorders w:offsetFrom="page">
        <w:top w:val="none" w:sz="0" w:space="12" w:color="D90000" w:shadow="1"/>
        <w:left w:val="none" w:sz="0" w:space="1" w:color="000000" w:shadow="1"/>
        <w:bottom w:val="none" w:sz="0" w:space="11" w:color="000000" w:shadow="1"/>
        <w:right w:val="none" w:sz="0" w:space="6" w:color="000000" w:shadow="1"/>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17A6C0" w14:textId="77777777" w:rsidR="00F335F8" w:rsidRDefault="00F335F8">
      <w:r>
        <w:separator/>
      </w:r>
    </w:p>
  </w:endnote>
  <w:endnote w:type="continuationSeparator" w:id="0">
    <w:p w14:paraId="2343EAD4" w14:textId="77777777" w:rsidR="00F335F8" w:rsidRDefault="00F33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A4A020" w14:textId="77777777" w:rsidR="00DC45A8" w:rsidRPr="00DB0B71" w:rsidRDefault="00DC45A8" w:rsidP="00DB0B71">
    <w:pPr>
      <w:pStyle w:val="Footer"/>
      <w:tabs>
        <w:tab w:val="clear" w:pos="8640"/>
        <w:tab w:val="right" w:pos="9360"/>
      </w:tabs>
      <w:jc w:val="center"/>
      <w:rPr>
        <w:sz w:val="22"/>
        <w:szCs w:val="22"/>
      </w:rPr>
    </w:pPr>
    <w:r w:rsidRPr="00DB0B71">
      <w:rPr>
        <w:sz w:val="22"/>
        <w:szCs w:val="22"/>
      </w:rPr>
      <w:t xml:space="preserve">Distribution is authorized to </w:t>
    </w:r>
    <w:smartTag w:uri="urn:schemas-microsoft-com:office:smarttags" w:element="place">
      <w:smartTag w:uri="urn:schemas-microsoft-com:office:smarttags" w:element="country-region">
        <w:r w:rsidRPr="00DB0B71">
          <w:rPr>
            <w:sz w:val="22"/>
            <w:szCs w:val="22"/>
          </w:rPr>
          <w:t>U.S.</w:t>
        </w:r>
      </w:smartTag>
    </w:smartTag>
    <w:r w:rsidRPr="00DB0B71">
      <w:rPr>
        <w:sz w:val="22"/>
        <w:szCs w:val="22"/>
      </w:rPr>
      <w:t xml:space="preserve"> government agencies only.  Contains information that may be exempt from public release under the Freedom of Information Act.  Before this SOW is released to the public, approval is required by the Department of Homeland Security Science and Technology Directorate.</w:t>
    </w:r>
  </w:p>
  <w:p w14:paraId="08A4A021" w14:textId="77777777" w:rsidR="00DC45A8" w:rsidRPr="00DB0B71" w:rsidRDefault="00DC45A8" w:rsidP="00DB0B71">
    <w:pPr>
      <w:pStyle w:val="Footer"/>
      <w:tabs>
        <w:tab w:val="clear" w:pos="8640"/>
        <w:tab w:val="right" w:pos="9270"/>
      </w:tabs>
      <w:rPr>
        <w:sz w:val="22"/>
        <w:szCs w:val="22"/>
      </w:rPr>
    </w:pPr>
  </w:p>
  <w:p w14:paraId="08A4A022" w14:textId="77777777" w:rsidR="00DC45A8" w:rsidRPr="00E72A7A" w:rsidRDefault="00DC45A8" w:rsidP="00E72A7A">
    <w:pPr>
      <w:pStyle w:val="Footer"/>
      <w:tabs>
        <w:tab w:val="clear" w:pos="4320"/>
        <w:tab w:val="clear" w:pos="8640"/>
        <w:tab w:val="center" w:pos="0"/>
        <w:tab w:val="left" w:pos="3960"/>
        <w:tab w:val="right" w:pos="9360"/>
      </w:tabs>
      <w:jc w:val="center"/>
      <w:rPr>
        <w:sz w:val="22"/>
        <w:szCs w:val="22"/>
      </w:rPr>
    </w:pPr>
    <w:r>
      <w:rPr>
        <w:sz w:val="22"/>
        <w:szCs w:val="22"/>
      </w:rPr>
      <w:tab/>
    </w:r>
    <w:r w:rsidRPr="00DB0B71">
      <w:rPr>
        <w:sz w:val="22"/>
        <w:szCs w:val="22"/>
      </w:rPr>
      <w:t xml:space="preserve">Page </w:t>
    </w:r>
    <w:r w:rsidR="003957F1" w:rsidRPr="00DB0B71">
      <w:rPr>
        <w:rStyle w:val="PageNumber"/>
        <w:sz w:val="22"/>
        <w:szCs w:val="22"/>
      </w:rPr>
      <w:fldChar w:fldCharType="begin"/>
    </w:r>
    <w:r w:rsidRPr="00DB0B71">
      <w:rPr>
        <w:rStyle w:val="PageNumber"/>
        <w:sz w:val="22"/>
        <w:szCs w:val="22"/>
      </w:rPr>
      <w:instrText xml:space="preserve"> PAGE </w:instrText>
    </w:r>
    <w:r w:rsidR="003957F1" w:rsidRPr="00DB0B71">
      <w:rPr>
        <w:rStyle w:val="PageNumber"/>
        <w:sz w:val="22"/>
        <w:szCs w:val="22"/>
      </w:rPr>
      <w:fldChar w:fldCharType="separate"/>
    </w:r>
    <w:r w:rsidR="003E1347">
      <w:rPr>
        <w:rStyle w:val="PageNumber"/>
        <w:noProof/>
        <w:sz w:val="22"/>
        <w:szCs w:val="22"/>
      </w:rPr>
      <w:t>10</w:t>
    </w:r>
    <w:r w:rsidR="003957F1" w:rsidRPr="00DB0B71">
      <w:rPr>
        <w:rStyle w:val="PageNumber"/>
        <w:sz w:val="22"/>
        <w:szCs w:val="22"/>
      </w:rPr>
      <w:fldChar w:fldCharType="end"/>
    </w:r>
    <w:r w:rsidRPr="00DB0B71">
      <w:rPr>
        <w:rStyle w:val="PageNumber"/>
        <w:sz w:val="22"/>
        <w:szCs w:val="22"/>
      </w:rPr>
      <w:t xml:space="preserve"> of </w:t>
    </w:r>
    <w:r w:rsidR="003957F1" w:rsidRPr="00DB0B71">
      <w:rPr>
        <w:rStyle w:val="PageNumber"/>
        <w:sz w:val="22"/>
        <w:szCs w:val="22"/>
      </w:rPr>
      <w:fldChar w:fldCharType="begin"/>
    </w:r>
    <w:r w:rsidRPr="00DB0B71">
      <w:rPr>
        <w:rStyle w:val="PageNumber"/>
        <w:sz w:val="22"/>
        <w:szCs w:val="22"/>
      </w:rPr>
      <w:instrText xml:space="preserve"> NUMPAGES </w:instrText>
    </w:r>
    <w:r w:rsidR="003957F1" w:rsidRPr="00DB0B71">
      <w:rPr>
        <w:rStyle w:val="PageNumber"/>
        <w:sz w:val="22"/>
        <w:szCs w:val="22"/>
      </w:rPr>
      <w:fldChar w:fldCharType="separate"/>
    </w:r>
    <w:r w:rsidR="003E1347">
      <w:rPr>
        <w:rStyle w:val="PageNumber"/>
        <w:noProof/>
        <w:sz w:val="22"/>
        <w:szCs w:val="22"/>
      </w:rPr>
      <w:t>12</w:t>
    </w:r>
    <w:r w:rsidR="003957F1" w:rsidRPr="00DB0B71">
      <w:rPr>
        <w:rStyle w:val="PageNumber"/>
        <w:sz w:val="22"/>
        <w:szCs w:val="22"/>
      </w:rPr>
      <w:fldChar w:fldCharType="end"/>
    </w:r>
    <w:r w:rsidRPr="00DB0B71">
      <w:rPr>
        <w:rStyle w:val="PageNumber"/>
        <w:sz w:val="22"/>
        <w:szCs w:val="22"/>
      </w:rPr>
      <w:tab/>
    </w:r>
    <w:r w:rsidR="00E92817">
      <w:rPr>
        <w:rStyle w:val="PageNumber"/>
        <w:sz w:val="22"/>
        <w:szCs w:val="22"/>
      </w:rPr>
      <w:t>UA</w:t>
    </w:r>
    <w:r>
      <w:rPr>
        <w:rStyle w:val="PageNumber"/>
        <w:sz w:val="22"/>
        <w:szCs w:val="22"/>
      </w:rPr>
      <w:t>201</w:t>
    </w:r>
    <w:r w:rsidR="00C7649C">
      <w:rPr>
        <w:rStyle w:val="PageNumber"/>
        <w:sz w:val="22"/>
        <w:szCs w:val="22"/>
      </w:rPr>
      <w:t>41017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CA18F3" w14:textId="77777777" w:rsidR="00F335F8" w:rsidRDefault="00F335F8">
      <w:r>
        <w:separator/>
      </w:r>
    </w:p>
  </w:footnote>
  <w:footnote w:type="continuationSeparator" w:id="0">
    <w:p w14:paraId="597CA7B1" w14:textId="77777777" w:rsidR="00F335F8" w:rsidRDefault="00F335F8">
      <w:r>
        <w:continuationSeparator/>
      </w:r>
    </w:p>
  </w:footnote>
  <w:footnote w:id="1">
    <w:p w14:paraId="28E43A2D" w14:textId="77777777" w:rsidR="008F0B24" w:rsidRDefault="008F0B24" w:rsidP="008F0B24">
      <w:pPr>
        <w:pStyle w:val="FootnoteText"/>
      </w:pPr>
      <w:r>
        <w:rPr>
          <w:rStyle w:val="FootnoteReference"/>
        </w:rPr>
        <w:footnoteRef/>
      </w:r>
      <w:r>
        <w:t xml:space="preserve"> </w:t>
      </w:r>
      <w:r w:rsidRPr="00781AE3">
        <w:t>Transportation Security Strategic Capability Investment Plan, Office of Security Capabilities, May 2014, https://www.fbo.gov/index?s=opportunity&amp;mode=form&amp;id=bcdf2fca93b27daf4a6a399297c25dc7&amp;tab=core&amp;_cview=0</w:t>
      </w:r>
    </w:p>
  </w:footnote>
  <w:footnote w:id="2">
    <w:p w14:paraId="43782E1E" w14:textId="77777777" w:rsidR="008F0B24" w:rsidRDefault="008F0B24" w:rsidP="008F0B24">
      <w:pPr>
        <w:pStyle w:val="FootnoteText"/>
      </w:pPr>
      <w:r>
        <w:rPr>
          <w:rStyle w:val="FootnoteReference"/>
        </w:rPr>
        <w:footnoteRef/>
      </w:r>
      <w:r>
        <w:t xml:space="preserve"> </w:t>
      </w:r>
      <w:r w:rsidRPr="001958F5">
        <w:t xml:space="preserve">The term used in the software world is Application Programming Interface (API). “In computer programming, an application programming interface (API) is a set of routines, protocols, and tools for building software applications. An API expresses a software component in terms of its operations, inputs, outputs, and underlying types. An API defines functionalities that are independent of their respective implementations, which allows definitions and implementations to vary without compromising each other. A good API makes it easier to develop a program by providing all the building blocks. A programmer then puts the blocks together.” </w:t>
      </w:r>
      <w:hyperlink r:id="rId1" w:history="1">
        <w:r w:rsidRPr="001958F5">
          <w:rPr>
            <w:rStyle w:val="Hyperlink"/>
          </w:rPr>
          <w:t>http://en.wikipedia.org/wiki/Application_programming_interface</w:t>
        </w:r>
      </w:hyperlink>
    </w:p>
  </w:footnote>
  <w:footnote w:id="3">
    <w:p w14:paraId="3985E8CF" w14:textId="77777777" w:rsidR="008F0B24" w:rsidRDefault="008F0B24" w:rsidP="008F0B24">
      <w:pPr>
        <w:pStyle w:val="FootnoteText"/>
      </w:pPr>
      <w:r w:rsidRPr="008F1567">
        <w:rPr>
          <w:rStyle w:val="FootnoteReference"/>
          <w:sz w:val="16"/>
          <w:szCs w:val="16"/>
        </w:rPr>
        <w:footnoteRef/>
      </w:r>
      <w:r w:rsidRPr="008F1567">
        <w:rPr>
          <w:sz w:val="16"/>
          <w:szCs w:val="16"/>
        </w:rPr>
        <w:t xml:space="preserve"> </w:t>
      </w:r>
      <w:r w:rsidRPr="008F1567">
        <w:rPr>
          <w:rStyle w:val="Strong"/>
          <w:color w:val="000000"/>
          <w:sz w:val="16"/>
          <w:szCs w:val="16"/>
          <w:u w:val="single"/>
        </w:rPr>
        <w:t>M</w:t>
      </w:r>
      <w:r w:rsidRPr="008F1567">
        <w:rPr>
          <w:color w:val="000000"/>
          <w:sz w:val="16"/>
          <w:szCs w:val="16"/>
        </w:rPr>
        <w:t xml:space="preserve">eans for </w:t>
      </w:r>
      <w:r w:rsidRPr="008F1567">
        <w:rPr>
          <w:rStyle w:val="Strong"/>
          <w:color w:val="000000"/>
          <w:sz w:val="16"/>
          <w:szCs w:val="16"/>
          <w:u w:val="single"/>
        </w:rPr>
        <w:t>R</w:t>
      </w:r>
      <w:r w:rsidRPr="008F1567">
        <w:rPr>
          <w:color w:val="000000"/>
          <w:sz w:val="16"/>
          <w:szCs w:val="16"/>
        </w:rPr>
        <w:t xml:space="preserve">apid </w:t>
      </w:r>
      <w:r w:rsidRPr="008F1567">
        <w:rPr>
          <w:rStyle w:val="Strong"/>
          <w:color w:val="000000"/>
          <w:sz w:val="16"/>
          <w:szCs w:val="16"/>
          <w:u w:val="single"/>
        </w:rPr>
        <w:t>A</w:t>
      </w:r>
      <w:r w:rsidRPr="008F1567">
        <w:rPr>
          <w:color w:val="000000"/>
          <w:sz w:val="16"/>
          <w:szCs w:val="16"/>
        </w:rPr>
        <w:t xml:space="preserve">lgorithm </w:t>
      </w:r>
      <w:r w:rsidRPr="008F1567">
        <w:rPr>
          <w:rStyle w:val="Strong"/>
          <w:color w:val="000000"/>
          <w:sz w:val="16"/>
          <w:szCs w:val="16"/>
          <w:u w:val="single"/>
        </w:rPr>
        <w:t>D</w:t>
      </w:r>
      <w:r w:rsidRPr="008F1567">
        <w:rPr>
          <w:color w:val="000000"/>
          <w:sz w:val="16"/>
          <w:szCs w:val="16"/>
        </w:rPr>
        <w:t>evelopment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20BE1"/>
    <w:multiLevelType w:val="hybridMultilevel"/>
    <w:tmpl w:val="AF10A740"/>
    <w:lvl w:ilvl="0" w:tplc="57D4CD26">
      <w:start w:val="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D07AA2"/>
    <w:multiLevelType w:val="hybridMultilevel"/>
    <w:tmpl w:val="47F85F0C"/>
    <w:lvl w:ilvl="0" w:tplc="C48A5C5A">
      <w:start w:val="1"/>
      <w:numFmt w:val="decimal"/>
      <w:lvlText w:val="%1."/>
      <w:lvlJc w:val="left"/>
      <w:pPr>
        <w:ind w:left="54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3523B"/>
    <w:multiLevelType w:val="hybridMultilevel"/>
    <w:tmpl w:val="D97C0F30"/>
    <w:lvl w:ilvl="0" w:tplc="565C8CD0">
      <w:start w:val="1"/>
      <w:numFmt w:val="decimal"/>
      <w:lvlText w:val="%1."/>
      <w:lvlJc w:val="left"/>
      <w:pPr>
        <w:tabs>
          <w:tab w:val="num" w:pos="720"/>
        </w:tabs>
        <w:ind w:left="720" w:hanging="360"/>
      </w:pPr>
      <w:rPr>
        <w:rFonts w:ascii="Verdana" w:eastAsia="Times New Roman" w:hAnsi="Verdana" w:cs="Times New Roman"/>
        <w:b/>
        <w:color w:val="auto"/>
      </w:rPr>
    </w:lvl>
    <w:lvl w:ilvl="1" w:tplc="6494DD86">
      <w:start w:val="1"/>
      <w:numFmt w:val="decimal"/>
      <w:lvlText w:val="%2."/>
      <w:lvlJc w:val="left"/>
      <w:pPr>
        <w:tabs>
          <w:tab w:val="num" w:pos="1530"/>
        </w:tabs>
        <w:ind w:left="1530" w:hanging="360"/>
      </w:pPr>
      <w:rPr>
        <w:rFonts w:hint="default"/>
        <w:b w:val="0"/>
      </w:rPr>
    </w:lvl>
    <w:lvl w:ilvl="2" w:tplc="236E87E6">
      <w:start w:val="7"/>
      <w:numFmt w:val="upperRoman"/>
      <w:lvlText w:val="%3."/>
      <w:lvlJc w:val="left"/>
      <w:pPr>
        <w:ind w:left="279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7C45D89"/>
    <w:multiLevelType w:val="hybridMultilevel"/>
    <w:tmpl w:val="E6A4AE3E"/>
    <w:lvl w:ilvl="0" w:tplc="E4CC0D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9F28C7"/>
    <w:multiLevelType w:val="hybridMultilevel"/>
    <w:tmpl w:val="69B82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6362AC"/>
    <w:multiLevelType w:val="hybridMultilevel"/>
    <w:tmpl w:val="394EDD9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26B22A1F"/>
    <w:multiLevelType w:val="hybridMultilevel"/>
    <w:tmpl w:val="D97C0F30"/>
    <w:lvl w:ilvl="0" w:tplc="565C8CD0">
      <w:start w:val="1"/>
      <w:numFmt w:val="decimal"/>
      <w:lvlText w:val="%1."/>
      <w:lvlJc w:val="left"/>
      <w:pPr>
        <w:tabs>
          <w:tab w:val="num" w:pos="720"/>
        </w:tabs>
        <w:ind w:left="720" w:hanging="360"/>
      </w:pPr>
      <w:rPr>
        <w:rFonts w:ascii="Verdana" w:eastAsia="Times New Roman" w:hAnsi="Verdana" w:cs="Times New Roman"/>
        <w:b/>
        <w:color w:val="auto"/>
      </w:rPr>
    </w:lvl>
    <w:lvl w:ilvl="1" w:tplc="6494DD86">
      <w:start w:val="1"/>
      <w:numFmt w:val="decimal"/>
      <w:lvlText w:val="%2."/>
      <w:lvlJc w:val="left"/>
      <w:pPr>
        <w:tabs>
          <w:tab w:val="num" w:pos="1530"/>
        </w:tabs>
        <w:ind w:left="1530" w:hanging="360"/>
      </w:pPr>
      <w:rPr>
        <w:rFonts w:hint="default"/>
        <w:b w:val="0"/>
      </w:rPr>
    </w:lvl>
    <w:lvl w:ilvl="2" w:tplc="236E87E6">
      <w:start w:val="7"/>
      <w:numFmt w:val="upperRoman"/>
      <w:lvlText w:val="%3."/>
      <w:lvlJc w:val="left"/>
      <w:pPr>
        <w:ind w:left="279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922E86"/>
    <w:multiLevelType w:val="hybridMultilevel"/>
    <w:tmpl w:val="01B4D668"/>
    <w:lvl w:ilvl="0" w:tplc="EAD0D9DA">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D9B3EAC"/>
    <w:multiLevelType w:val="hybridMultilevel"/>
    <w:tmpl w:val="FADE992A"/>
    <w:lvl w:ilvl="0" w:tplc="04090001">
      <w:start w:val="1"/>
      <w:numFmt w:val="bullet"/>
      <w:lvlText w:val=""/>
      <w:lvlJc w:val="left"/>
      <w:pPr>
        <w:tabs>
          <w:tab w:val="num" w:pos="360"/>
        </w:tabs>
        <w:ind w:left="360" w:hanging="360"/>
      </w:pPr>
      <w:rPr>
        <w:rFonts w:ascii="Symbol" w:hAnsi="Symbol" w:hint="default"/>
      </w:rPr>
    </w:lvl>
    <w:lvl w:ilvl="1" w:tplc="04090013">
      <w:start w:val="1"/>
      <w:numFmt w:val="upperRoman"/>
      <w:lvlText w:val="%2."/>
      <w:lvlJc w:val="right"/>
      <w:pPr>
        <w:tabs>
          <w:tab w:val="num" w:pos="1260"/>
        </w:tabs>
        <w:ind w:left="1260" w:hanging="18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ECC0CFF"/>
    <w:multiLevelType w:val="hybridMultilevel"/>
    <w:tmpl w:val="9DB47892"/>
    <w:lvl w:ilvl="0" w:tplc="FEC204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2F3878"/>
    <w:multiLevelType w:val="hybridMultilevel"/>
    <w:tmpl w:val="0652F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AF02B3"/>
    <w:multiLevelType w:val="multilevel"/>
    <w:tmpl w:val="F2B82C88"/>
    <w:lvl w:ilvl="0">
      <w:start w:val="1"/>
      <w:numFmt w:val="upperRoman"/>
      <w:pStyle w:val="Heading1"/>
      <w:lvlText w:val="%1."/>
      <w:lvlJc w:val="left"/>
      <w:pPr>
        <w:tabs>
          <w:tab w:val="num" w:pos="360"/>
        </w:tabs>
        <w:ind w:left="0" w:firstLine="0"/>
      </w:pPr>
      <w:rPr>
        <w:rFonts w:ascii="Times New Roman" w:hAnsi="Times New Roman" w:hint="default"/>
        <w:b/>
        <w:i w:val="0"/>
        <w:color w:val="auto"/>
        <w:sz w:val="28"/>
        <w:szCs w:val="28"/>
      </w:rPr>
    </w:lvl>
    <w:lvl w:ilvl="1">
      <w:start w:val="1"/>
      <w:numFmt w:val="upperLetter"/>
      <w:pStyle w:val="Heading2"/>
      <w:lvlText w:val="%2."/>
      <w:lvlJc w:val="left"/>
      <w:pPr>
        <w:tabs>
          <w:tab w:val="num" w:pos="1080"/>
        </w:tabs>
        <w:ind w:left="720" w:firstLine="0"/>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2">
    <w:nsid w:val="44495B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6A31A3F"/>
    <w:multiLevelType w:val="hybridMultilevel"/>
    <w:tmpl w:val="269475B4"/>
    <w:lvl w:ilvl="0" w:tplc="9C4202AC">
      <w:start w:val="4"/>
      <w:numFmt w:val="bullet"/>
      <w:pStyle w:val="StyleBullet1Bold"/>
      <w:lvlText w:val=""/>
      <w:lvlJc w:val="left"/>
      <w:pPr>
        <w:tabs>
          <w:tab w:val="num" w:pos="720"/>
        </w:tabs>
        <w:ind w:left="720" w:hanging="360"/>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F5B1AF4"/>
    <w:multiLevelType w:val="hybridMultilevel"/>
    <w:tmpl w:val="A5E4C792"/>
    <w:lvl w:ilvl="0" w:tplc="C1460ED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1E86EC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28D3CAC"/>
    <w:multiLevelType w:val="multilevel"/>
    <w:tmpl w:val="D79E4D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E4074CE"/>
    <w:multiLevelType w:val="hybridMultilevel"/>
    <w:tmpl w:val="98382490"/>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60405474"/>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612920D7"/>
    <w:multiLevelType w:val="hybridMultilevel"/>
    <w:tmpl w:val="9F6801AA"/>
    <w:lvl w:ilvl="0" w:tplc="21C01160">
      <w:start w:val="1"/>
      <w:numFmt w:val="upperRoman"/>
      <w:lvlText w:val="%1."/>
      <w:lvlJc w:val="left"/>
      <w:pPr>
        <w:ind w:left="1080" w:hanging="720"/>
      </w:pPr>
      <w:rPr>
        <w:rFonts w:ascii="Verdana" w:eastAsia="Times New Roman" w:hAnsi="Verdana"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A44D99"/>
    <w:multiLevelType w:val="hybridMultilevel"/>
    <w:tmpl w:val="3EEEBF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3"/>
  </w:num>
  <w:num w:numId="3">
    <w:abstractNumId w:val="6"/>
  </w:num>
  <w:num w:numId="4">
    <w:abstractNumId w:val="20"/>
  </w:num>
  <w:num w:numId="5">
    <w:abstractNumId w:val="15"/>
  </w:num>
  <w:num w:numId="6">
    <w:abstractNumId w:val="8"/>
  </w:num>
  <w:num w:numId="7">
    <w:abstractNumId w:val="17"/>
  </w:num>
  <w:num w:numId="8">
    <w:abstractNumId w:val="7"/>
  </w:num>
  <w:num w:numId="9">
    <w:abstractNumId w:val="11"/>
  </w:num>
  <w:num w:numId="10">
    <w:abstractNumId w:val="11"/>
  </w:num>
  <w:num w:numId="11">
    <w:abstractNumId w:val="18"/>
  </w:num>
  <w:num w:numId="12">
    <w:abstractNumId w:val="4"/>
  </w:num>
  <w:num w:numId="13">
    <w:abstractNumId w:val="10"/>
  </w:num>
  <w:num w:numId="14">
    <w:abstractNumId w:val="12"/>
  </w:num>
  <w:num w:numId="15">
    <w:abstractNumId w:val="16"/>
  </w:num>
  <w:num w:numId="16">
    <w:abstractNumId w:val="3"/>
  </w:num>
  <w:num w:numId="17">
    <w:abstractNumId w:val="5"/>
  </w:num>
  <w:num w:numId="18">
    <w:abstractNumId w:val="19"/>
  </w:num>
  <w:num w:numId="19">
    <w:abstractNumId w:val="9"/>
  </w:num>
  <w:num w:numId="20">
    <w:abstractNumId w:val="1"/>
  </w:num>
  <w:num w:numId="21">
    <w:abstractNumId w:val="0"/>
  </w:num>
  <w:num w:numId="22">
    <w:abstractNumId w:val="2"/>
  </w:num>
  <w:num w:numId="23">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1DE"/>
    <w:rsid w:val="00001D3C"/>
    <w:rsid w:val="000109C7"/>
    <w:rsid w:val="00012174"/>
    <w:rsid w:val="000143A7"/>
    <w:rsid w:val="00015033"/>
    <w:rsid w:val="000238DD"/>
    <w:rsid w:val="00030A6B"/>
    <w:rsid w:val="00031CDE"/>
    <w:rsid w:val="00035F4B"/>
    <w:rsid w:val="00040DF8"/>
    <w:rsid w:val="00050DB8"/>
    <w:rsid w:val="00051504"/>
    <w:rsid w:val="000517A3"/>
    <w:rsid w:val="000541CA"/>
    <w:rsid w:val="00054C4E"/>
    <w:rsid w:val="000611C8"/>
    <w:rsid w:val="0006782F"/>
    <w:rsid w:val="00067BD8"/>
    <w:rsid w:val="00086AC3"/>
    <w:rsid w:val="00091286"/>
    <w:rsid w:val="00096B9A"/>
    <w:rsid w:val="000A0ADF"/>
    <w:rsid w:val="000A2742"/>
    <w:rsid w:val="000A2CB4"/>
    <w:rsid w:val="000B3014"/>
    <w:rsid w:val="000B38F2"/>
    <w:rsid w:val="000B70FD"/>
    <w:rsid w:val="000C128F"/>
    <w:rsid w:val="000C1837"/>
    <w:rsid w:val="000E6713"/>
    <w:rsid w:val="000F10C7"/>
    <w:rsid w:val="000F404F"/>
    <w:rsid w:val="000F6FEC"/>
    <w:rsid w:val="000F7882"/>
    <w:rsid w:val="001065BB"/>
    <w:rsid w:val="00111B39"/>
    <w:rsid w:val="0011449B"/>
    <w:rsid w:val="001166CC"/>
    <w:rsid w:val="001209A0"/>
    <w:rsid w:val="00123394"/>
    <w:rsid w:val="00123398"/>
    <w:rsid w:val="001276E5"/>
    <w:rsid w:val="00136E57"/>
    <w:rsid w:val="00140C04"/>
    <w:rsid w:val="00141238"/>
    <w:rsid w:val="00146BCC"/>
    <w:rsid w:val="00151F6D"/>
    <w:rsid w:val="00157139"/>
    <w:rsid w:val="00162AB9"/>
    <w:rsid w:val="00176BD9"/>
    <w:rsid w:val="001911E5"/>
    <w:rsid w:val="00192D83"/>
    <w:rsid w:val="001954F8"/>
    <w:rsid w:val="001A3CF9"/>
    <w:rsid w:val="001A7B3A"/>
    <w:rsid w:val="001B34F3"/>
    <w:rsid w:val="001B6276"/>
    <w:rsid w:val="001B71A7"/>
    <w:rsid w:val="001C4FA2"/>
    <w:rsid w:val="001D1F38"/>
    <w:rsid w:val="001D4011"/>
    <w:rsid w:val="001E1068"/>
    <w:rsid w:val="001F51C3"/>
    <w:rsid w:val="001F60C8"/>
    <w:rsid w:val="00201B3E"/>
    <w:rsid w:val="00210196"/>
    <w:rsid w:val="00211CB6"/>
    <w:rsid w:val="0021321A"/>
    <w:rsid w:val="002263C9"/>
    <w:rsid w:val="00226A2A"/>
    <w:rsid w:val="00227140"/>
    <w:rsid w:val="00232673"/>
    <w:rsid w:val="00240F0F"/>
    <w:rsid w:val="00253555"/>
    <w:rsid w:val="00262932"/>
    <w:rsid w:val="00266C6A"/>
    <w:rsid w:val="0026735B"/>
    <w:rsid w:val="002673E8"/>
    <w:rsid w:val="002773A6"/>
    <w:rsid w:val="0028216F"/>
    <w:rsid w:val="002A3709"/>
    <w:rsid w:val="002B48C6"/>
    <w:rsid w:val="002B7972"/>
    <w:rsid w:val="002C36B1"/>
    <w:rsid w:val="002D561D"/>
    <w:rsid w:val="002F7B98"/>
    <w:rsid w:val="003010AD"/>
    <w:rsid w:val="00304DB4"/>
    <w:rsid w:val="00315C76"/>
    <w:rsid w:val="0031684D"/>
    <w:rsid w:val="00322C58"/>
    <w:rsid w:val="00331372"/>
    <w:rsid w:val="0033202A"/>
    <w:rsid w:val="00332D74"/>
    <w:rsid w:val="00334801"/>
    <w:rsid w:val="0033636F"/>
    <w:rsid w:val="00347DF9"/>
    <w:rsid w:val="00356E8B"/>
    <w:rsid w:val="00370F73"/>
    <w:rsid w:val="00387F23"/>
    <w:rsid w:val="00391A1B"/>
    <w:rsid w:val="003957F1"/>
    <w:rsid w:val="003A1402"/>
    <w:rsid w:val="003A27D8"/>
    <w:rsid w:val="003B7FE0"/>
    <w:rsid w:val="003C5DF5"/>
    <w:rsid w:val="003C623F"/>
    <w:rsid w:val="003C64BE"/>
    <w:rsid w:val="003D6732"/>
    <w:rsid w:val="003E1347"/>
    <w:rsid w:val="003E2786"/>
    <w:rsid w:val="003E49BC"/>
    <w:rsid w:val="00403519"/>
    <w:rsid w:val="004054DF"/>
    <w:rsid w:val="0040649B"/>
    <w:rsid w:val="00410AC7"/>
    <w:rsid w:val="004116EC"/>
    <w:rsid w:val="004255C2"/>
    <w:rsid w:val="00430EE8"/>
    <w:rsid w:val="00436442"/>
    <w:rsid w:val="00436A21"/>
    <w:rsid w:val="00457DA8"/>
    <w:rsid w:val="00460D7F"/>
    <w:rsid w:val="0046332A"/>
    <w:rsid w:val="00463EA9"/>
    <w:rsid w:val="00465AAB"/>
    <w:rsid w:val="00485D64"/>
    <w:rsid w:val="00491C26"/>
    <w:rsid w:val="00494F0F"/>
    <w:rsid w:val="004975A7"/>
    <w:rsid w:val="004A59DC"/>
    <w:rsid w:val="004B3972"/>
    <w:rsid w:val="004C05CC"/>
    <w:rsid w:val="004D3A80"/>
    <w:rsid w:val="004D5804"/>
    <w:rsid w:val="004E4589"/>
    <w:rsid w:val="004F19EF"/>
    <w:rsid w:val="004F28D9"/>
    <w:rsid w:val="004F478B"/>
    <w:rsid w:val="004F5A8A"/>
    <w:rsid w:val="004F5F1C"/>
    <w:rsid w:val="004F5F78"/>
    <w:rsid w:val="00506976"/>
    <w:rsid w:val="00510840"/>
    <w:rsid w:val="00511486"/>
    <w:rsid w:val="00512E0C"/>
    <w:rsid w:val="00515E7C"/>
    <w:rsid w:val="005211A2"/>
    <w:rsid w:val="00521D47"/>
    <w:rsid w:val="00530600"/>
    <w:rsid w:val="0053324B"/>
    <w:rsid w:val="005445D9"/>
    <w:rsid w:val="005512A5"/>
    <w:rsid w:val="00561263"/>
    <w:rsid w:val="00564FFB"/>
    <w:rsid w:val="00566732"/>
    <w:rsid w:val="005801CD"/>
    <w:rsid w:val="005835A4"/>
    <w:rsid w:val="00587B16"/>
    <w:rsid w:val="00593908"/>
    <w:rsid w:val="005972CC"/>
    <w:rsid w:val="005E18C4"/>
    <w:rsid w:val="005E21B8"/>
    <w:rsid w:val="005E3AEC"/>
    <w:rsid w:val="005E7560"/>
    <w:rsid w:val="006014F5"/>
    <w:rsid w:val="006113D0"/>
    <w:rsid w:val="0061505C"/>
    <w:rsid w:val="006168B5"/>
    <w:rsid w:val="00617D5C"/>
    <w:rsid w:val="00620691"/>
    <w:rsid w:val="006253EB"/>
    <w:rsid w:val="006361D8"/>
    <w:rsid w:val="00654FBB"/>
    <w:rsid w:val="006560CA"/>
    <w:rsid w:val="006606B5"/>
    <w:rsid w:val="0066083D"/>
    <w:rsid w:val="00665570"/>
    <w:rsid w:val="00667C18"/>
    <w:rsid w:val="00667E0B"/>
    <w:rsid w:val="00676D50"/>
    <w:rsid w:val="00676E7F"/>
    <w:rsid w:val="006808DA"/>
    <w:rsid w:val="006852EA"/>
    <w:rsid w:val="006A6DDF"/>
    <w:rsid w:val="006B4463"/>
    <w:rsid w:val="006B528F"/>
    <w:rsid w:val="006B5AC7"/>
    <w:rsid w:val="006C1EB7"/>
    <w:rsid w:val="006C5819"/>
    <w:rsid w:val="006D1A7E"/>
    <w:rsid w:val="006D7F69"/>
    <w:rsid w:val="006E064C"/>
    <w:rsid w:val="006E1B57"/>
    <w:rsid w:val="006F388C"/>
    <w:rsid w:val="006F417B"/>
    <w:rsid w:val="007008A4"/>
    <w:rsid w:val="0070235F"/>
    <w:rsid w:val="007030A6"/>
    <w:rsid w:val="00703607"/>
    <w:rsid w:val="00713C11"/>
    <w:rsid w:val="007242D6"/>
    <w:rsid w:val="00726022"/>
    <w:rsid w:val="0073047D"/>
    <w:rsid w:val="00731F10"/>
    <w:rsid w:val="00734D50"/>
    <w:rsid w:val="00735DF5"/>
    <w:rsid w:val="007366C3"/>
    <w:rsid w:val="00760019"/>
    <w:rsid w:val="0076159E"/>
    <w:rsid w:val="00765C0B"/>
    <w:rsid w:val="00777337"/>
    <w:rsid w:val="00777F93"/>
    <w:rsid w:val="00782913"/>
    <w:rsid w:val="00785203"/>
    <w:rsid w:val="007A46E2"/>
    <w:rsid w:val="007B0AB1"/>
    <w:rsid w:val="007C0207"/>
    <w:rsid w:val="007C1601"/>
    <w:rsid w:val="007C3381"/>
    <w:rsid w:val="007D2F7E"/>
    <w:rsid w:val="007E2F0A"/>
    <w:rsid w:val="007E33F9"/>
    <w:rsid w:val="007E6D4F"/>
    <w:rsid w:val="00801132"/>
    <w:rsid w:val="00803DF9"/>
    <w:rsid w:val="0082220E"/>
    <w:rsid w:val="008264C5"/>
    <w:rsid w:val="00827F2A"/>
    <w:rsid w:val="00834D19"/>
    <w:rsid w:val="00844E0D"/>
    <w:rsid w:val="008516A4"/>
    <w:rsid w:val="00865EB8"/>
    <w:rsid w:val="00870204"/>
    <w:rsid w:val="00871890"/>
    <w:rsid w:val="00883F09"/>
    <w:rsid w:val="00886DEA"/>
    <w:rsid w:val="00890287"/>
    <w:rsid w:val="00890C2B"/>
    <w:rsid w:val="00891050"/>
    <w:rsid w:val="008939B6"/>
    <w:rsid w:val="008B4A2B"/>
    <w:rsid w:val="008C031B"/>
    <w:rsid w:val="008C4E65"/>
    <w:rsid w:val="008D212C"/>
    <w:rsid w:val="008D45A3"/>
    <w:rsid w:val="008E046B"/>
    <w:rsid w:val="008E0CA7"/>
    <w:rsid w:val="008E260F"/>
    <w:rsid w:val="008E6839"/>
    <w:rsid w:val="008F0B24"/>
    <w:rsid w:val="008F125A"/>
    <w:rsid w:val="008F34BE"/>
    <w:rsid w:val="008F77A7"/>
    <w:rsid w:val="009007F1"/>
    <w:rsid w:val="00902227"/>
    <w:rsid w:val="00905332"/>
    <w:rsid w:val="009058F8"/>
    <w:rsid w:val="0092080C"/>
    <w:rsid w:val="00925A7E"/>
    <w:rsid w:val="00930355"/>
    <w:rsid w:val="00932D98"/>
    <w:rsid w:val="00942F05"/>
    <w:rsid w:val="009451E3"/>
    <w:rsid w:val="00962114"/>
    <w:rsid w:val="00962DF0"/>
    <w:rsid w:val="00964C26"/>
    <w:rsid w:val="0096510C"/>
    <w:rsid w:val="009658C7"/>
    <w:rsid w:val="00972989"/>
    <w:rsid w:val="00973678"/>
    <w:rsid w:val="00977E56"/>
    <w:rsid w:val="009A14EF"/>
    <w:rsid w:val="009A1A27"/>
    <w:rsid w:val="009A3112"/>
    <w:rsid w:val="009A6D02"/>
    <w:rsid w:val="009B620B"/>
    <w:rsid w:val="009B6BD8"/>
    <w:rsid w:val="009B7B35"/>
    <w:rsid w:val="009C6AF0"/>
    <w:rsid w:val="009C78CD"/>
    <w:rsid w:val="009D2323"/>
    <w:rsid w:val="009D605A"/>
    <w:rsid w:val="009E32FF"/>
    <w:rsid w:val="009F78AA"/>
    <w:rsid w:val="00A00C27"/>
    <w:rsid w:val="00A02D5C"/>
    <w:rsid w:val="00A0598B"/>
    <w:rsid w:val="00A130E8"/>
    <w:rsid w:val="00A168DF"/>
    <w:rsid w:val="00A37E0A"/>
    <w:rsid w:val="00A418AA"/>
    <w:rsid w:val="00A457E7"/>
    <w:rsid w:val="00A46B45"/>
    <w:rsid w:val="00A507A3"/>
    <w:rsid w:val="00A518B5"/>
    <w:rsid w:val="00A52DE2"/>
    <w:rsid w:val="00A56762"/>
    <w:rsid w:val="00A6026B"/>
    <w:rsid w:val="00A627F6"/>
    <w:rsid w:val="00A6597D"/>
    <w:rsid w:val="00A81F9C"/>
    <w:rsid w:val="00A839FE"/>
    <w:rsid w:val="00A87BB6"/>
    <w:rsid w:val="00AA2334"/>
    <w:rsid w:val="00AA368F"/>
    <w:rsid w:val="00AA4142"/>
    <w:rsid w:val="00AA6C06"/>
    <w:rsid w:val="00AB30A1"/>
    <w:rsid w:val="00AB3F95"/>
    <w:rsid w:val="00AC3AD7"/>
    <w:rsid w:val="00AC66FA"/>
    <w:rsid w:val="00AC7F86"/>
    <w:rsid w:val="00AD71F1"/>
    <w:rsid w:val="00AE135D"/>
    <w:rsid w:val="00B00A2E"/>
    <w:rsid w:val="00B019BE"/>
    <w:rsid w:val="00B026F5"/>
    <w:rsid w:val="00B06FEF"/>
    <w:rsid w:val="00B112F2"/>
    <w:rsid w:val="00B2194A"/>
    <w:rsid w:val="00B334E2"/>
    <w:rsid w:val="00B42214"/>
    <w:rsid w:val="00B43EA9"/>
    <w:rsid w:val="00B45803"/>
    <w:rsid w:val="00B57EA0"/>
    <w:rsid w:val="00B61B4F"/>
    <w:rsid w:val="00B6463F"/>
    <w:rsid w:val="00B6643D"/>
    <w:rsid w:val="00B7427B"/>
    <w:rsid w:val="00B944BE"/>
    <w:rsid w:val="00BA69DD"/>
    <w:rsid w:val="00BA7481"/>
    <w:rsid w:val="00BB79C8"/>
    <w:rsid w:val="00BC1A4E"/>
    <w:rsid w:val="00BD2C6B"/>
    <w:rsid w:val="00BE3EC4"/>
    <w:rsid w:val="00BE46A5"/>
    <w:rsid w:val="00BE5FF3"/>
    <w:rsid w:val="00BE7622"/>
    <w:rsid w:val="00BF2590"/>
    <w:rsid w:val="00C03E7A"/>
    <w:rsid w:val="00C1384C"/>
    <w:rsid w:val="00C14B8A"/>
    <w:rsid w:val="00C178C5"/>
    <w:rsid w:val="00C200B6"/>
    <w:rsid w:val="00C207DE"/>
    <w:rsid w:val="00C313E1"/>
    <w:rsid w:val="00C32CAD"/>
    <w:rsid w:val="00C3383B"/>
    <w:rsid w:val="00C42B7E"/>
    <w:rsid w:val="00C45EE1"/>
    <w:rsid w:val="00C50245"/>
    <w:rsid w:val="00C60E10"/>
    <w:rsid w:val="00C617AE"/>
    <w:rsid w:val="00C71240"/>
    <w:rsid w:val="00C74771"/>
    <w:rsid w:val="00C7649C"/>
    <w:rsid w:val="00C8140F"/>
    <w:rsid w:val="00C86FAD"/>
    <w:rsid w:val="00C90EA1"/>
    <w:rsid w:val="00C95B03"/>
    <w:rsid w:val="00C9771A"/>
    <w:rsid w:val="00CA098B"/>
    <w:rsid w:val="00CA2D76"/>
    <w:rsid w:val="00CA3655"/>
    <w:rsid w:val="00CB4322"/>
    <w:rsid w:val="00CC1E63"/>
    <w:rsid w:val="00CD0B6B"/>
    <w:rsid w:val="00CD7A2B"/>
    <w:rsid w:val="00CE08F5"/>
    <w:rsid w:val="00CE11E4"/>
    <w:rsid w:val="00CE4D03"/>
    <w:rsid w:val="00CF705B"/>
    <w:rsid w:val="00D016BC"/>
    <w:rsid w:val="00D01B3F"/>
    <w:rsid w:val="00D33B10"/>
    <w:rsid w:val="00D416D2"/>
    <w:rsid w:val="00D44329"/>
    <w:rsid w:val="00D61661"/>
    <w:rsid w:val="00D71E34"/>
    <w:rsid w:val="00D72DB1"/>
    <w:rsid w:val="00D7719C"/>
    <w:rsid w:val="00D95419"/>
    <w:rsid w:val="00D9673D"/>
    <w:rsid w:val="00DA3FE5"/>
    <w:rsid w:val="00DA7C42"/>
    <w:rsid w:val="00DB0B71"/>
    <w:rsid w:val="00DB0D5E"/>
    <w:rsid w:val="00DB3B00"/>
    <w:rsid w:val="00DC45A8"/>
    <w:rsid w:val="00DC6D29"/>
    <w:rsid w:val="00DD1990"/>
    <w:rsid w:val="00DD7C49"/>
    <w:rsid w:val="00DE32AD"/>
    <w:rsid w:val="00DF3FAC"/>
    <w:rsid w:val="00E03549"/>
    <w:rsid w:val="00E15D8D"/>
    <w:rsid w:val="00E226CF"/>
    <w:rsid w:val="00E22FCD"/>
    <w:rsid w:val="00E33EA4"/>
    <w:rsid w:val="00E42F0A"/>
    <w:rsid w:val="00E463C8"/>
    <w:rsid w:val="00E504A7"/>
    <w:rsid w:val="00E558BD"/>
    <w:rsid w:val="00E60D83"/>
    <w:rsid w:val="00E675A3"/>
    <w:rsid w:val="00E72A7A"/>
    <w:rsid w:val="00E84753"/>
    <w:rsid w:val="00E85254"/>
    <w:rsid w:val="00E90D16"/>
    <w:rsid w:val="00E92817"/>
    <w:rsid w:val="00E95F92"/>
    <w:rsid w:val="00EA0E37"/>
    <w:rsid w:val="00EA431B"/>
    <w:rsid w:val="00EB3D84"/>
    <w:rsid w:val="00EC4FF5"/>
    <w:rsid w:val="00EC757E"/>
    <w:rsid w:val="00ED03E5"/>
    <w:rsid w:val="00EE23A4"/>
    <w:rsid w:val="00EE3D82"/>
    <w:rsid w:val="00EE689F"/>
    <w:rsid w:val="00EF56DC"/>
    <w:rsid w:val="00EF5AAF"/>
    <w:rsid w:val="00EF5B0E"/>
    <w:rsid w:val="00F03264"/>
    <w:rsid w:val="00F050C7"/>
    <w:rsid w:val="00F06B14"/>
    <w:rsid w:val="00F1172B"/>
    <w:rsid w:val="00F118DB"/>
    <w:rsid w:val="00F23AE9"/>
    <w:rsid w:val="00F25B20"/>
    <w:rsid w:val="00F2777C"/>
    <w:rsid w:val="00F27DBA"/>
    <w:rsid w:val="00F32997"/>
    <w:rsid w:val="00F32A28"/>
    <w:rsid w:val="00F335F8"/>
    <w:rsid w:val="00F355A7"/>
    <w:rsid w:val="00F561CD"/>
    <w:rsid w:val="00F561DE"/>
    <w:rsid w:val="00F604CE"/>
    <w:rsid w:val="00F61FBC"/>
    <w:rsid w:val="00F6411B"/>
    <w:rsid w:val="00F76695"/>
    <w:rsid w:val="00F83B42"/>
    <w:rsid w:val="00F9598F"/>
    <w:rsid w:val="00F9639A"/>
    <w:rsid w:val="00FB506F"/>
    <w:rsid w:val="00FD7D05"/>
    <w:rsid w:val="00FE13EE"/>
    <w:rsid w:val="00FF319F"/>
    <w:rsid w:val="00FF4080"/>
    <w:rsid w:val="00FF50F0"/>
    <w:rsid w:val="00FF5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08A49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Strong" w:uiPriority="22"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0C04"/>
    <w:rPr>
      <w:sz w:val="24"/>
    </w:rPr>
  </w:style>
  <w:style w:type="paragraph" w:styleId="Heading1">
    <w:name w:val="heading 1"/>
    <w:basedOn w:val="Normal"/>
    <w:next w:val="Normal"/>
    <w:link w:val="Heading1Char"/>
    <w:qFormat/>
    <w:rsid w:val="00140C04"/>
    <w:pPr>
      <w:keepNext/>
      <w:numPr>
        <w:numId w:val="1"/>
      </w:numPr>
      <w:outlineLvl w:val="0"/>
    </w:pPr>
    <w:rPr>
      <w:b/>
      <w:i/>
      <w:u w:val="single"/>
    </w:rPr>
  </w:style>
  <w:style w:type="paragraph" w:styleId="Heading2">
    <w:name w:val="heading 2"/>
    <w:basedOn w:val="Normal"/>
    <w:next w:val="Normal"/>
    <w:link w:val="Heading2Char1"/>
    <w:qFormat/>
    <w:rsid w:val="00140C04"/>
    <w:pPr>
      <w:keepNext/>
      <w:numPr>
        <w:ilvl w:val="1"/>
        <w:numId w:val="1"/>
      </w:numPr>
      <w:outlineLvl w:val="1"/>
    </w:pPr>
    <w:rPr>
      <w:b/>
      <w:u w:val="single"/>
    </w:rPr>
  </w:style>
  <w:style w:type="paragraph" w:styleId="Heading3">
    <w:name w:val="heading 3"/>
    <w:basedOn w:val="Normal"/>
    <w:next w:val="Normal"/>
    <w:link w:val="Heading3Char"/>
    <w:qFormat/>
    <w:rsid w:val="00140C04"/>
    <w:pPr>
      <w:keepNext/>
      <w:numPr>
        <w:ilvl w:val="2"/>
        <w:numId w:val="1"/>
      </w:numPr>
      <w:outlineLvl w:val="2"/>
    </w:pPr>
  </w:style>
  <w:style w:type="paragraph" w:styleId="Heading4">
    <w:name w:val="heading 4"/>
    <w:basedOn w:val="Normal"/>
    <w:next w:val="Normal"/>
    <w:qFormat/>
    <w:rsid w:val="00140C04"/>
    <w:pPr>
      <w:keepNext/>
      <w:numPr>
        <w:ilvl w:val="3"/>
        <w:numId w:val="1"/>
      </w:numPr>
      <w:spacing w:before="240" w:after="60"/>
      <w:outlineLvl w:val="3"/>
    </w:pPr>
    <w:rPr>
      <w:b/>
      <w:bCs/>
      <w:sz w:val="28"/>
      <w:szCs w:val="28"/>
    </w:rPr>
  </w:style>
  <w:style w:type="paragraph" w:styleId="Heading5">
    <w:name w:val="heading 5"/>
    <w:basedOn w:val="Normal"/>
    <w:next w:val="Normal"/>
    <w:qFormat/>
    <w:rsid w:val="00140C04"/>
    <w:pPr>
      <w:numPr>
        <w:ilvl w:val="4"/>
        <w:numId w:val="1"/>
      </w:numPr>
      <w:spacing w:before="240" w:after="60"/>
      <w:outlineLvl w:val="4"/>
    </w:pPr>
    <w:rPr>
      <w:b/>
      <w:bCs/>
      <w:i/>
      <w:iCs/>
      <w:sz w:val="26"/>
      <w:szCs w:val="26"/>
    </w:rPr>
  </w:style>
  <w:style w:type="paragraph" w:styleId="Heading6">
    <w:name w:val="heading 6"/>
    <w:basedOn w:val="Normal"/>
    <w:next w:val="Normal"/>
    <w:qFormat/>
    <w:rsid w:val="00140C04"/>
    <w:pPr>
      <w:numPr>
        <w:ilvl w:val="5"/>
        <w:numId w:val="1"/>
      </w:numPr>
      <w:spacing w:before="240" w:after="60"/>
      <w:outlineLvl w:val="5"/>
    </w:pPr>
    <w:rPr>
      <w:b/>
      <w:bCs/>
      <w:sz w:val="22"/>
      <w:szCs w:val="22"/>
    </w:rPr>
  </w:style>
  <w:style w:type="paragraph" w:styleId="Heading7">
    <w:name w:val="heading 7"/>
    <w:basedOn w:val="Normal"/>
    <w:next w:val="Normal"/>
    <w:qFormat/>
    <w:rsid w:val="00140C04"/>
    <w:pPr>
      <w:numPr>
        <w:ilvl w:val="6"/>
        <w:numId w:val="1"/>
      </w:numPr>
      <w:spacing w:before="240" w:after="60"/>
      <w:outlineLvl w:val="6"/>
    </w:pPr>
    <w:rPr>
      <w:szCs w:val="24"/>
    </w:rPr>
  </w:style>
  <w:style w:type="paragraph" w:styleId="Heading8">
    <w:name w:val="heading 8"/>
    <w:basedOn w:val="Normal"/>
    <w:next w:val="Normal"/>
    <w:qFormat/>
    <w:rsid w:val="00140C04"/>
    <w:pPr>
      <w:numPr>
        <w:ilvl w:val="7"/>
        <w:numId w:val="1"/>
      </w:numPr>
      <w:spacing w:before="240" w:after="60"/>
      <w:outlineLvl w:val="7"/>
    </w:pPr>
    <w:rPr>
      <w:i/>
      <w:iCs/>
      <w:szCs w:val="24"/>
    </w:rPr>
  </w:style>
  <w:style w:type="paragraph" w:styleId="Heading9">
    <w:name w:val="heading 9"/>
    <w:basedOn w:val="Normal"/>
    <w:next w:val="Normal"/>
    <w:qFormat/>
    <w:rsid w:val="00140C0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40C04"/>
    <w:pPr>
      <w:jc w:val="both"/>
    </w:pPr>
  </w:style>
  <w:style w:type="paragraph" w:styleId="BodyText2">
    <w:name w:val="Body Text 2"/>
    <w:basedOn w:val="Normal"/>
    <w:rsid w:val="00140C04"/>
    <w:pPr>
      <w:spacing w:before="100" w:after="100"/>
      <w:jc w:val="both"/>
    </w:pPr>
  </w:style>
  <w:style w:type="paragraph" w:styleId="BodyTextIndent">
    <w:name w:val="Body Text Indent"/>
    <w:basedOn w:val="Normal"/>
    <w:rsid w:val="00140C04"/>
    <w:pPr>
      <w:ind w:left="360"/>
    </w:pPr>
  </w:style>
  <w:style w:type="character" w:styleId="Hyperlink">
    <w:name w:val="Hyperlink"/>
    <w:basedOn w:val="DefaultParagraphFont"/>
    <w:rsid w:val="00140C04"/>
    <w:rPr>
      <w:color w:val="0000FF"/>
      <w:u w:val="single"/>
    </w:rPr>
  </w:style>
  <w:style w:type="character" w:styleId="Strong">
    <w:name w:val="Strong"/>
    <w:basedOn w:val="DefaultParagraphFont"/>
    <w:uiPriority w:val="22"/>
    <w:qFormat/>
    <w:rsid w:val="00140C04"/>
    <w:rPr>
      <w:b/>
      <w:bCs/>
    </w:rPr>
  </w:style>
  <w:style w:type="paragraph" w:styleId="BalloonText">
    <w:name w:val="Balloon Text"/>
    <w:basedOn w:val="Normal"/>
    <w:semiHidden/>
    <w:rsid w:val="00140C04"/>
    <w:rPr>
      <w:rFonts w:ascii="Tahoma" w:hAnsi="Tahoma" w:cs="Tahoma"/>
      <w:sz w:val="16"/>
      <w:szCs w:val="16"/>
    </w:rPr>
  </w:style>
  <w:style w:type="paragraph" w:styleId="BodyTextIndent2">
    <w:name w:val="Body Text Indent 2"/>
    <w:basedOn w:val="Normal"/>
    <w:rsid w:val="00140C04"/>
    <w:pPr>
      <w:spacing w:after="120" w:line="480" w:lineRule="auto"/>
      <w:ind w:left="360"/>
    </w:pPr>
  </w:style>
  <w:style w:type="paragraph" w:styleId="NormalWeb">
    <w:name w:val="Normal (Web)"/>
    <w:basedOn w:val="Normal"/>
    <w:rsid w:val="00140C04"/>
    <w:pPr>
      <w:spacing w:before="100" w:beforeAutospacing="1" w:after="100" w:afterAutospacing="1"/>
    </w:pPr>
    <w:rPr>
      <w:szCs w:val="24"/>
    </w:rPr>
  </w:style>
  <w:style w:type="paragraph" w:styleId="Header">
    <w:name w:val="header"/>
    <w:basedOn w:val="Normal"/>
    <w:rsid w:val="00140C04"/>
    <w:pPr>
      <w:tabs>
        <w:tab w:val="center" w:pos="4320"/>
        <w:tab w:val="right" w:pos="8640"/>
      </w:tabs>
    </w:pPr>
  </w:style>
  <w:style w:type="paragraph" w:styleId="Footer">
    <w:name w:val="footer"/>
    <w:basedOn w:val="Normal"/>
    <w:rsid w:val="00140C04"/>
    <w:pPr>
      <w:tabs>
        <w:tab w:val="center" w:pos="4320"/>
        <w:tab w:val="right" w:pos="8640"/>
      </w:tabs>
    </w:pPr>
  </w:style>
  <w:style w:type="table" w:styleId="TableGrid">
    <w:name w:val="Table Grid"/>
    <w:basedOn w:val="TableNormal"/>
    <w:rsid w:val="00140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140C04"/>
  </w:style>
  <w:style w:type="character" w:customStyle="1" w:styleId="Heading2Char1">
    <w:name w:val="Heading 2 Char1"/>
    <w:basedOn w:val="DefaultParagraphFont"/>
    <w:link w:val="Heading2"/>
    <w:rsid w:val="00140C04"/>
    <w:rPr>
      <w:b/>
      <w:sz w:val="24"/>
      <w:u w:val="single"/>
      <w:lang w:val="en-US" w:eastAsia="en-US" w:bidi="ar-SA"/>
    </w:rPr>
  </w:style>
  <w:style w:type="paragraph" w:customStyle="1" w:styleId="Char">
    <w:name w:val="Char"/>
    <w:basedOn w:val="Normal"/>
    <w:semiHidden/>
    <w:rsid w:val="00140C04"/>
    <w:pPr>
      <w:spacing w:after="160" w:line="240" w:lineRule="exact"/>
    </w:pPr>
    <w:rPr>
      <w:szCs w:val="24"/>
    </w:rPr>
  </w:style>
  <w:style w:type="paragraph" w:customStyle="1" w:styleId="coltext">
    <w:name w:val="col text"/>
    <w:aliases w:val="9 col text,ct"/>
    <w:basedOn w:val="Normal"/>
    <w:rsid w:val="00140C04"/>
    <w:pPr>
      <w:tabs>
        <w:tab w:val="left" w:pos="259"/>
      </w:tabs>
      <w:spacing w:before="80" w:after="80"/>
    </w:pPr>
  </w:style>
  <w:style w:type="paragraph" w:customStyle="1" w:styleId="StyleBullet1Bold">
    <w:name w:val="Style Bullet 1 + Bold"/>
    <w:basedOn w:val="Normal"/>
    <w:rsid w:val="00140C04"/>
    <w:pPr>
      <w:numPr>
        <w:numId w:val="2"/>
      </w:numPr>
      <w:spacing w:beforeLines="100"/>
    </w:pPr>
  </w:style>
  <w:style w:type="paragraph" w:customStyle="1" w:styleId="StyleHeading1NotItalic">
    <w:name w:val="Style Heading 1 + Not Italic"/>
    <w:basedOn w:val="Heading1"/>
    <w:link w:val="StyleHeading1NotItalicChar"/>
    <w:rsid w:val="00140C04"/>
    <w:pPr>
      <w:tabs>
        <w:tab w:val="left" w:pos="720"/>
      </w:tabs>
    </w:pPr>
    <w:rPr>
      <w:bCs/>
      <w:i w:val="0"/>
      <w:sz w:val="28"/>
      <w:u w:val="none"/>
    </w:rPr>
  </w:style>
  <w:style w:type="character" w:customStyle="1" w:styleId="Heading1Char">
    <w:name w:val="Heading 1 Char"/>
    <w:basedOn w:val="DefaultParagraphFont"/>
    <w:link w:val="Heading1"/>
    <w:rsid w:val="00140C04"/>
    <w:rPr>
      <w:b/>
      <w:i/>
      <w:sz w:val="24"/>
      <w:u w:val="single"/>
      <w:lang w:val="en-US" w:eastAsia="en-US" w:bidi="ar-SA"/>
    </w:rPr>
  </w:style>
  <w:style w:type="character" w:customStyle="1" w:styleId="StyleHeading1NotItalicChar">
    <w:name w:val="Style Heading 1 + Not Italic Char"/>
    <w:basedOn w:val="Heading1Char"/>
    <w:link w:val="StyleHeading1NotItalic"/>
    <w:rsid w:val="00140C04"/>
    <w:rPr>
      <w:b/>
      <w:bCs/>
      <w:i/>
      <w:sz w:val="28"/>
      <w:u w:val="single"/>
      <w:lang w:val="en-US" w:eastAsia="en-US" w:bidi="ar-SA"/>
    </w:rPr>
  </w:style>
  <w:style w:type="paragraph" w:customStyle="1" w:styleId="normalred">
    <w:name w:val="normal red"/>
    <w:basedOn w:val="Normal"/>
    <w:link w:val="normalredChar"/>
    <w:rsid w:val="00140C04"/>
    <w:rPr>
      <w:b/>
      <w:i/>
      <w:color w:val="FF0000"/>
    </w:rPr>
  </w:style>
  <w:style w:type="character" w:customStyle="1" w:styleId="normalredChar">
    <w:name w:val="normal red Char"/>
    <w:basedOn w:val="DefaultParagraphFont"/>
    <w:link w:val="normalred"/>
    <w:rsid w:val="00140C04"/>
    <w:rPr>
      <w:b/>
      <w:i/>
      <w:color w:val="FF0000"/>
      <w:sz w:val="24"/>
      <w:lang w:val="en-US" w:eastAsia="en-US" w:bidi="ar-SA"/>
    </w:rPr>
  </w:style>
  <w:style w:type="paragraph" w:customStyle="1" w:styleId="StyleHeading2NotBoldNounderline">
    <w:name w:val="Style Heading 2 + Not Bold No underline"/>
    <w:basedOn w:val="Heading2"/>
    <w:rsid w:val="00140C04"/>
    <w:rPr>
      <w:i/>
      <w:szCs w:val="24"/>
      <w:u w:val="none"/>
    </w:rPr>
  </w:style>
  <w:style w:type="paragraph" w:customStyle="1" w:styleId="Stylenormalred">
    <w:name w:val="Style normal red +"/>
    <w:basedOn w:val="normalred"/>
    <w:link w:val="StylenormalredChar"/>
    <w:rsid w:val="00140C04"/>
    <w:rPr>
      <w:bCs/>
      <w:iCs/>
    </w:rPr>
  </w:style>
  <w:style w:type="character" w:customStyle="1" w:styleId="StylenormalredChar">
    <w:name w:val="Style normal red + Char"/>
    <w:basedOn w:val="normalredChar"/>
    <w:link w:val="Stylenormalred"/>
    <w:rsid w:val="00140C04"/>
    <w:rPr>
      <w:b/>
      <w:bCs/>
      <w:i/>
      <w:iCs/>
      <w:color w:val="FF0000"/>
      <w:sz w:val="24"/>
      <w:lang w:val="en-US" w:eastAsia="en-US" w:bidi="ar-SA"/>
    </w:rPr>
  </w:style>
  <w:style w:type="paragraph" w:customStyle="1" w:styleId="StyleStyleHeading1NotItalicItalic">
    <w:name w:val="Style Style Heading 1 + Not Italic + Italic"/>
    <w:basedOn w:val="StyleHeading1NotItalic"/>
    <w:link w:val="StyleStyleHeading1NotItalicItalicChar"/>
    <w:rsid w:val="00140C04"/>
    <w:rPr>
      <w:iCs/>
    </w:rPr>
  </w:style>
  <w:style w:type="character" w:customStyle="1" w:styleId="StyleStyleHeading1NotItalicItalicChar">
    <w:name w:val="Style Style Heading 1 + Not Italic + Italic Char"/>
    <w:basedOn w:val="StyleHeading1NotItalicChar"/>
    <w:link w:val="StyleStyleHeading1NotItalicItalic"/>
    <w:rsid w:val="00140C04"/>
    <w:rPr>
      <w:b/>
      <w:bCs/>
      <w:i/>
      <w:iCs/>
      <w:sz w:val="28"/>
      <w:u w:val="single"/>
      <w:lang w:val="en-US" w:eastAsia="en-US" w:bidi="ar-SA"/>
    </w:rPr>
  </w:style>
  <w:style w:type="paragraph" w:customStyle="1" w:styleId="StyleHeading114ptNotItalicNounderline">
    <w:name w:val="Style Heading 1 + 14 pt Not Italic No underline"/>
    <w:basedOn w:val="Heading1"/>
    <w:rsid w:val="00140C04"/>
    <w:pPr>
      <w:tabs>
        <w:tab w:val="clear" w:pos="360"/>
        <w:tab w:val="left" w:pos="720"/>
      </w:tabs>
    </w:pPr>
    <w:rPr>
      <w:bCs/>
      <w:i w:val="0"/>
      <w:sz w:val="28"/>
      <w:u w:val="none"/>
    </w:rPr>
  </w:style>
  <w:style w:type="character" w:styleId="CommentReference">
    <w:name w:val="annotation reference"/>
    <w:basedOn w:val="DefaultParagraphFont"/>
    <w:semiHidden/>
    <w:rsid w:val="00140C04"/>
    <w:rPr>
      <w:sz w:val="16"/>
      <w:szCs w:val="16"/>
    </w:rPr>
  </w:style>
  <w:style w:type="paragraph" w:styleId="CommentText">
    <w:name w:val="annotation text"/>
    <w:basedOn w:val="Normal"/>
    <w:semiHidden/>
    <w:rsid w:val="00140C04"/>
    <w:rPr>
      <w:sz w:val="20"/>
    </w:rPr>
  </w:style>
  <w:style w:type="paragraph" w:styleId="CommentSubject">
    <w:name w:val="annotation subject"/>
    <w:basedOn w:val="CommentText"/>
    <w:next w:val="CommentText"/>
    <w:semiHidden/>
    <w:rsid w:val="00140C04"/>
    <w:rPr>
      <w:b/>
      <w:bCs/>
    </w:rPr>
  </w:style>
  <w:style w:type="character" w:customStyle="1" w:styleId="Heading2Char">
    <w:name w:val="Heading 2 Char"/>
    <w:basedOn w:val="DefaultParagraphFont"/>
    <w:rsid w:val="00140C04"/>
    <w:rPr>
      <w:b/>
      <w:sz w:val="24"/>
      <w:u w:val="single"/>
      <w:lang w:val="en-US" w:eastAsia="en-US" w:bidi="ar-SA"/>
    </w:rPr>
  </w:style>
  <w:style w:type="paragraph" w:customStyle="1" w:styleId="BodyText2a">
    <w:name w:val="Body Text 2a"/>
    <w:basedOn w:val="BodyText"/>
    <w:rsid w:val="0053324B"/>
    <w:pPr>
      <w:ind w:left="540"/>
      <w:jc w:val="left"/>
    </w:pPr>
    <w:rPr>
      <w:rFonts w:eastAsia="Calibri"/>
    </w:rPr>
  </w:style>
  <w:style w:type="paragraph" w:customStyle="1" w:styleId="SWbody">
    <w:name w:val="SW body"/>
    <w:basedOn w:val="Normal"/>
    <w:link w:val="SWbodyChar"/>
    <w:rsid w:val="0053324B"/>
    <w:pPr>
      <w:tabs>
        <w:tab w:val="left" w:pos="360"/>
      </w:tabs>
      <w:spacing w:before="160" w:after="160"/>
      <w:jc w:val="both"/>
    </w:pPr>
    <w:rPr>
      <w:rFonts w:ascii="Cambria" w:hAnsi="Cambria"/>
      <w:color w:val="000000"/>
      <w:sz w:val="22"/>
      <w:szCs w:val="24"/>
    </w:rPr>
  </w:style>
  <w:style w:type="character" w:customStyle="1" w:styleId="SWbodyChar">
    <w:name w:val="SW body Char"/>
    <w:basedOn w:val="DefaultParagraphFont"/>
    <w:link w:val="SWbody"/>
    <w:locked/>
    <w:rsid w:val="0053324B"/>
    <w:rPr>
      <w:rFonts w:ascii="Cambria" w:hAnsi="Cambria"/>
      <w:color w:val="000000"/>
      <w:sz w:val="22"/>
      <w:szCs w:val="24"/>
      <w:lang w:val="en-US" w:eastAsia="en-US" w:bidi="ar-SA"/>
    </w:rPr>
  </w:style>
  <w:style w:type="paragraph" w:styleId="ListParagraph">
    <w:name w:val="List Paragraph"/>
    <w:basedOn w:val="Normal"/>
    <w:link w:val="ListParagraphChar"/>
    <w:uiPriority w:val="34"/>
    <w:qFormat/>
    <w:rsid w:val="004F19EF"/>
    <w:pPr>
      <w:ind w:left="720"/>
      <w:contextualSpacing/>
    </w:pPr>
    <w:rPr>
      <w:rFonts w:eastAsia="Calibri"/>
      <w:sz w:val="20"/>
    </w:rPr>
  </w:style>
  <w:style w:type="paragraph" w:styleId="Title">
    <w:name w:val="Title"/>
    <w:basedOn w:val="Normal"/>
    <w:link w:val="TitleChar"/>
    <w:qFormat/>
    <w:rsid w:val="00491C26"/>
    <w:pPr>
      <w:pBdr>
        <w:top w:val="single" w:sz="18" w:space="1" w:color="auto"/>
        <w:left w:val="single" w:sz="18" w:space="1" w:color="auto"/>
        <w:bottom w:val="single" w:sz="18" w:space="1" w:color="auto"/>
        <w:right w:val="single" w:sz="18" w:space="1" w:color="auto"/>
      </w:pBdr>
      <w:ind w:left="90"/>
      <w:jc w:val="center"/>
    </w:pPr>
    <w:rPr>
      <w:rFonts w:ascii="Helv" w:hAnsi="Helv"/>
      <w:b/>
    </w:rPr>
  </w:style>
  <w:style w:type="character" w:customStyle="1" w:styleId="TitleChar">
    <w:name w:val="Title Char"/>
    <w:basedOn w:val="DefaultParagraphFont"/>
    <w:link w:val="Title"/>
    <w:rsid w:val="00491C26"/>
    <w:rPr>
      <w:rFonts w:ascii="Helv" w:hAnsi="Helv"/>
      <w:b/>
      <w:sz w:val="24"/>
    </w:rPr>
  </w:style>
  <w:style w:type="paragraph" w:styleId="PlainText">
    <w:name w:val="Plain Text"/>
    <w:basedOn w:val="Normal"/>
    <w:link w:val="PlainTextChar"/>
    <w:uiPriority w:val="99"/>
    <w:unhideWhenUsed/>
    <w:rsid w:val="00510840"/>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510840"/>
    <w:rPr>
      <w:rFonts w:ascii="Consolas" w:eastAsiaTheme="minorHAnsi" w:hAnsi="Consolas" w:cs="Consolas"/>
      <w:sz w:val="21"/>
      <w:szCs w:val="21"/>
    </w:rPr>
  </w:style>
  <w:style w:type="paragraph" w:styleId="FootnoteText">
    <w:name w:val="footnote text"/>
    <w:basedOn w:val="Normal"/>
    <w:link w:val="FootnoteTextChar"/>
    <w:uiPriority w:val="99"/>
    <w:unhideWhenUsed/>
    <w:rsid w:val="008F0B24"/>
    <w:rPr>
      <w:sz w:val="20"/>
    </w:rPr>
  </w:style>
  <w:style w:type="character" w:customStyle="1" w:styleId="FootnoteTextChar">
    <w:name w:val="Footnote Text Char"/>
    <w:basedOn w:val="DefaultParagraphFont"/>
    <w:link w:val="FootnoteText"/>
    <w:uiPriority w:val="99"/>
    <w:rsid w:val="008F0B24"/>
  </w:style>
  <w:style w:type="character" w:styleId="FootnoteReference">
    <w:name w:val="footnote reference"/>
    <w:basedOn w:val="DefaultParagraphFont"/>
    <w:uiPriority w:val="99"/>
    <w:unhideWhenUsed/>
    <w:rsid w:val="008F0B24"/>
    <w:rPr>
      <w:vertAlign w:val="superscript"/>
    </w:rPr>
  </w:style>
  <w:style w:type="character" w:customStyle="1" w:styleId="ListParagraphChar">
    <w:name w:val="List Paragraph Char"/>
    <w:link w:val="ListParagraph"/>
    <w:uiPriority w:val="34"/>
    <w:locked/>
    <w:rsid w:val="008F0B24"/>
    <w:rPr>
      <w:rFonts w:eastAsia="Calibri"/>
    </w:rPr>
  </w:style>
  <w:style w:type="character" w:customStyle="1" w:styleId="Heading3Char">
    <w:name w:val="Heading 3 Char"/>
    <w:basedOn w:val="DefaultParagraphFont"/>
    <w:link w:val="Heading3"/>
    <w:rsid w:val="008F0B24"/>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Strong" w:uiPriority="22"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0C04"/>
    <w:rPr>
      <w:sz w:val="24"/>
    </w:rPr>
  </w:style>
  <w:style w:type="paragraph" w:styleId="Heading1">
    <w:name w:val="heading 1"/>
    <w:basedOn w:val="Normal"/>
    <w:next w:val="Normal"/>
    <w:link w:val="Heading1Char"/>
    <w:qFormat/>
    <w:rsid w:val="00140C04"/>
    <w:pPr>
      <w:keepNext/>
      <w:numPr>
        <w:numId w:val="1"/>
      </w:numPr>
      <w:outlineLvl w:val="0"/>
    </w:pPr>
    <w:rPr>
      <w:b/>
      <w:i/>
      <w:u w:val="single"/>
    </w:rPr>
  </w:style>
  <w:style w:type="paragraph" w:styleId="Heading2">
    <w:name w:val="heading 2"/>
    <w:basedOn w:val="Normal"/>
    <w:next w:val="Normal"/>
    <w:link w:val="Heading2Char1"/>
    <w:qFormat/>
    <w:rsid w:val="00140C04"/>
    <w:pPr>
      <w:keepNext/>
      <w:numPr>
        <w:ilvl w:val="1"/>
        <w:numId w:val="1"/>
      </w:numPr>
      <w:outlineLvl w:val="1"/>
    </w:pPr>
    <w:rPr>
      <w:b/>
      <w:u w:val="single"/>
    </w:rPr>
  </w:style>
  <w:style w:type="paragraph" w:styleId="Heading3">
    <w:name w:val="heading 3"/>
    <w:basedOn w:val="Normal"/>
    <w:next w:val="Normal"/>
    <w:link w:val="Heading3Char"/>
    <w:qFormat/>
    <w:rsid w:val="00140C04"/>
    <w:pPr>
      <w:keepNext/>
      <w:numPr>
        <w:ilvl w:val="2"/>
        <w:numId w:val="1"/>
      </w:numPr>
      <w:outlineLvl w:val="2"/>
    </w:pPr>
  </w:style>
  <w:style w:type="paragraph" w:styleId="Heading4">
    <w:name w:val="heading 4"/>
    <w:basedOn w:val="Normal"/>
    <w:next w:val="Normal"/>
    <w:qFormat/>
    <w:rsid w:val="00140C04"/>
    <w:pPr>
      <w:keepNext/>
      <w:numPr>
        <w:ilvl w:val="3"/>
        <w:numId w:val="1"/>
      </w:numPr>
      <w:spacing w:before="240" w:after="60"/>
      <w:outlineLvl w:val="3"/>
    </w:pPr>
    <w:rPr>
      <w:b/>
      <w:bCs/>
      <w:sz w:val="28"/>
      <w:szCs w:val="28"/>
    </w:rPr>
  </w:style>
  <w:style w:type="paragraph" w:styleId="Heading5">
    <w:name w:val="heading 5"/>
    <w:basedOn w:val="Normal"/>
    <w:next w:val="Normal"/>
    <w:qFormat/>
    <w:rsid w:val="00140C04"/>
    <w:pPr>
      <w:numPr>
        <w:ilvl w:val="4"/>
        <w:numId w:val="1"/>
      </w:numPr>
      <w:spacing w:before="240" w:after="60"/>
      <w:outlineLvl w:val="4"/>
    </w:pPr>
    <w:rPr>
      <w:b/>
      <w:bCs/>
      <w:i/>
      <w:iCs/>
      <w:sz w:val="26"/>
      <w:szCs w:val="26"/>
    </w:rPr>
  </w:style>
  <w:style w:type="paragraph" w:styleId="Heading6">
    <w:name w:val="heading 6"/>
    <w:basedOn w:val="Normal"/>
    <w:next w:val="Normal"/>
    <w:qFormat/>
    <w:rsid w:val="00140C04"/>
    <w:pPr>
      <w:numPr>
        <w:ilvl w:val="5"/>
        <w:numId w:val="1"/>
      </w:numPr>
      <w:spacing w:before="240" w:after="60"/>
      <w:outlineLvl w:val="5"/>
    </w:pPr>
    <w:rPr>
      <w:b/>
      <w:bCs/>
      <w:sz w:val="22"/>
      <w:szCs w:val="22"/>
    </w:rPr>
  </w:style>
  <w:style w:type="paragraph" w:styleId="Heading7">
    <w:name w:val="heading 7"/>
    <w:basedOn w:val="Normal"/>
    <w:next w:val="Normal"/>
    <w:qFormat/>
    <w:rsid w:val="00140C04"/>
    <w:pPr>
      <w:numPr>
        <w:ilvl w:val="6"/>
        <w:numId w:val="1"/>
      </w:numPr>
      <w:spacing w:before="240" w:after="60"/>
      <w:outlineLvl w:val="6"/>
    </w:pPr>
    <w:rPr>
      <w:szCs w:val="24"/>
    </w:rPr>
  </w:style>
  <w:style w:type="paragraph" w:styleId="Heading8">
    <w:name w:val="heading 8"/>
    <w:basedOn w:val="Normal"/>
    <w:next w:val="Normal"/>
    <w:qFormat/>
    <w:rsid w:val="00140C04"/>
    <w:pPr>
      <w:numPr>
        <w:ilvl w:val="7"/>
        <w:numId w:val="1"/>
      </w:numPr>
      <w:spacing w:before="240" w:after="60"/>
      <w:outlineLvl w:val="7"/>
    </w:pPr>
    <w:rPr>
      <w:i/>
      <w:iCs/>
      <w:szCs w:val="24"/>
    </w:rPr>
  </w:style>
  <w:style w:type="paragraph" w:styleId="Heading9">
    <w:name w:val="heading 9"/>
    <w:basedOn w:val="Normal"/>
    <w:next w:val="Normal"/>
    <w:qFormat/>
    <w:rsid w:val="00140C0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40C04"/>
    <w:pPr>
      <w:jc w:val="both"/>
    </w:pPr>
  </w:style>
  <w:style w:type="paragraph" w:styleId="BodyText2">
    <w:name w:val="Body Text 2"/>
    <w:basedOn w:val="Normal"/>
    <w:rsid w:val="00140C04"/>
    <w:pPr>
      <w:spacing w:before="100" w:after="100"/>
      <w:jc w:val="both"/>
    </w:pPr>
  </w:style>
  <w:style w:type="paragraph" w:styleId="BodyTextIndent">
    <w:name w:val="Body Text Indent"/>
    <w:basedOn w:val="Normal"/>
    <w:rsid w:val="00140C04"/>
    <w:pPr>
      <w:ind w:left="360"/>
    </w:pPr>
  </w:style>
  <w:style w:type="character" w:styleId="Hyperlink">
    <w:name w:val="Hyperlink"/>
    <w:basedOn w:val="DefaultParagraphFont"/>
    <w:rsid w:val="00140C04"/>
    <w:rPr>
      <w:color w:val="0000FF"/>
      <w:u w:val="single"/>
    </w:rPr>
  </w:style>
  <w:style w:type="character" w:styleId="Strong">
    <w:name w:val="Strong"/>
    <w:basedOn w:val="DefaultParagraphFont"/>
    <w:uiPriority w:val="22"/>
    <w:qFormat/>
    <w:rsid w:val="00140C04"/>
    <w:rPr>
      <w:b/>
      <w:bCs/>
    </w:rPr>
  </w:style>
  <w:style w:type="paragraph" w:styleId="BalloonText">
    <w:name w:val="Balloon Text"/>
    <w:basedOn w:val="Normal"/>
    <w:semiHidden/>
    <w:rsid w:val="00140C04"/>
    <w:rPr>
      <w:rFonts w:ascii="Tahoma" w:hAnsi="Tahoma" w:cs="Tahoma"/>
      <w:sz w:val="16"/>
      <w:szCs w:val="16"/>
    </w:rPr>
  </w:style>
  <w:style w:type="paragraph" w:styleId="BodyTextIndent2">
    <w:name w:val="Body Text Indent 2"/>
    <w:basedOn w:val="Normal"/>
    <w:rsid w:val="00140C04"/>
    <w:pPr>
      <w:spacing w:after="120" w:line="480" w:lineRule="auto"/>
      <w:ind w:left="360"/>
    </w:pPr>
  </w:style>
  <w:style w:type="paragraph" w:styleId="NormalWeb">
    <w:name w:val="Normal (Web)"/>
    <w:basedOn w:val="Normal"/>
    <w:rsid w:val="00140C04"/>
    <w:pPr>
      <w:spacing w:before="100" w:beforeAutospacing="1" w:after="100" w:afterAutospacing="1"/>
    </w:pPr>
    <w:rPr>
      <w:szCs w:val="24"/>
    </w:rPr>
  </w:style>
  <w:style w:type="paragraph" w:styleId="Header">
    <w:name w:val="header"/>
    <w:basedOn w:val="Normal"/>
    <w:rsid w:val="00140C04"/>
    <w:pPr>
      <w:tabs>
        <w:tab w:val="center" w:pos="4320"/>
        <w:tab w:val="right" w:pos="8640"/>
      </w:tabs>
    </w:pPr>
  </w:style>
  <w:style w:type="paragraph" w:styleId="Footer">
    <w:name w:val="footer"/>
    <w:basedOn w:val="Normal"/>
    <w:rsid w:val="00140C04"/>
    <w:pPr>
      <w:tabs>
        <w:tab w:val="center" w:pos="4320"/>
        <w:tab w:val="right" w:pos="8640"/>
      </w:tabs>
    </w:pPr>
  </w:style>
  <w:style w:type="table" w:styleId="TableGrid">
    <w:name w:val="Table Grid"/>
    <w:basedOn w:val="TableNormal"/>
    <w:rsid w:val="00140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140C04"/>
  </w:style>
  <w:style w:type="character" w:customStyle="1" w:styleId="Heading2Char1">
    <w:name w:val="Heading 2 Char1"/>
    <w:basedOn w:val="DefaultParagraphFont"/>
    <w:link w:val="Heading2"/>
    <w:rsid w:val="00140C04"/>
    <w:rPr>
      <w:b/>
      <w:sz w:val="24"/>
      <w:u w:val="single"/>
      <w:lang w:val="en-US" w:eastAsia="en-US" w:bidi="ar-SA"/>
    </w:rPr>
  </w:style>
  <w:style w:type="paragraph" w:customStyle="1" w:styleId="Char">
    <w:name w:val="Char"/>
    <w:basedOn w:val="Normal"/>
    <w:semiHidden/>
    <w:rsid w:val="00140C04"/>
    <w:pPr>
      <w:spacing w:after="160" w:line="240" w:lineRule="exact"/>
    </w:pPr>
    <w:rPr>
      <w:szCs w:val="24"/>
    </w:rPr>
  </w:style>
  <w:style w:type="paragraph" w:customStyle="1" w:styleId="coltext">
    <w:name w:val="col text"/>
    <w:aliases w:val="9 col text,ct"/>
    <w:basedOn w:val="Normal"/>
    <w:rsid w:val="00140C04"/>
    <w:pPr>
      <w:tabs>
        <w:tab w:val="left" w:pos="259"/>
      </w:tabs>
      <w:spacing w:before="80" w:after="80"/>
    </w:pPr>
  </w:style>
  <w:style w:type="paragraph" w:customStyle="1" w:styleId="StyleBullet1Bold">
    <w:name w:val="Style Bullet 1 + Bold"/>
    <w:basedOn w:val="Normal"/>
    <w:rsid w:val="00140C04"/>
    <w:pPr>
      <w:numPr>
        <w:numId w:val="2"/>
      </w:numPr>
      <w:spacing w:beforeLines="100"/>
    </w:pPr>
  </w:style>
  <w:style w:type="paragraph" w:customStyle="1" w:styleId="StyleHeading1NotItalic">
    <w:name w:val="Style Heading 1 + Not Italic"/>
    <w:basedOn w:val="Heading1"/>
    <w:link w:val="StyleHeading1NotItalicChar"/>
    <w:rsid w:val="00140C04"/>
    <w:pPr>
      <w:tabs>
        <w:tab w:val="left" w:pos="720"/>
      </w:tabs>
    </w:pPr>
    <w:rPr>
      <w:bCs/>
      <w:i w:val="0"/>
      <w:sz w:val="28"/>
      <w:u w:val="none"/>
    </w:rPr>
  </w:style>
  <w:style w:type="character" w:customStyle="1" w:styleId="Heading1Char">
    <w:name w:val="Heading 1 Char"/>
    <w:basedOn w:val="DefaultParagraphFont"/>
    <w:link w:val="Heading1"/>
    <w:rsid w:val="00140C04"/>
    <w:rPr>
      <w:b/>
      <w:i/>
      <w:sz w:val="24"/>
      <w:u w:val="single"/>
      <w:lang w:val="en-US" w:eastAsia="en-US" w:bidi="ar-SA"/>
    </w:rPr>
  </w:style>
  <w:style w:type="character" w:customStyle="1" w:styleId="StyleHeading1NotItalicChar">
    <w:name w:val="Style Heading 1 + Not Italic Char"/>
    <w:basedOn w:val="Heading1Char"/>
    <w:link w:val="StyleHeading1NotItalic"/>
    <w:rsid w:val="00140C04"/>
    <w:rPr>
      <w:b/>
      <w:bCs/>
      <w:i/>
      <w:sz w:val="28"/>
      <w:u w:val="single"/>
      <w:lang w:val="en-US" w:eastAsia="en-US" w:bidi="ar-SA"/>
    </w:rPr>
  </w:style>
  <w:style w:type="paragraph" w:customStyle="1" w:styleId="normalred">
    <w:name w:val="normal red"/>
    <w:basedOn w:val="Normal"/>
    <w:link w:val="normalredChar"/>
    <w:rsid w:val="00140C04"/>
    <w:rPr>
      <w:b/>
      <w:i/>
      <w:color w:val="FF0000"/>
    </w:rPr>
  </w:style>
  <w:style w:type="character" w:customStyle="1" w:styleId="normalredChar">
    <w:name w:val="normal red Char"/>
    <w:basedOn w:val="DefaultParagraphFont"/>
    <w:link w:val="normalred"/>
    <w:rsid w:val="00140C04"/>
    <w:rPr>
      <w:b/>
      <w:i/>
      <w:color w:val="FF0000"/>
      <w:sz w:val="24"/>
      <w:lang w:val="en-US" w:eastAsia="en-US" w:bidi="ar-SA"/>
    </w:rPr>
  </w:style>
  <w:style w:type="paragraph" w:customStyle="1" w:styleId="StyleHeading2NotBoldNounderline">
    <w:name w:val="Style Heading 2 + Not Bold No underline"/>
    <w:basedOn w:val="Heading2"/>
    <w:rsid w:val="00140C04"/>
    <w:rPr>
      <w:i/>
      <w:szCs w:val="24"/>
      <w:u w:val="none"/>
    </w:rPr>
  </w:style>
  <w:style w:type="paragraph" w:customStyle="1" w:styleId="Stylenormalred">
    <w:name w:val="Style normal red +"/>
    <w:basedOn w:val="normalred"/>
    <w:link w:val="StylenormalredChar"/>
    <w:rsid w:val="00140C04"/>
    <w:rPr>
      <w:bCs/>
      <w:iCs/>
    </w:rPr>
  </w:style>
  <w:style w:type="character" w:customStyle="1" w:styleId="StylenormalredChar">
    <w:name w:val="Style normal red + Char"/>
    <w:basedOn w:val="normalredChar"/>
    <w:link w:val="Stylenormalred"/>
    <w:rsid w:val="00140C04"/>
    <w:rPr>
      <w:b/>
      <w:bCs/>
      <w:i/>
      <w:iCs/>
      <w:color w:val="FF0000"/>
      <w:sz w:val="24"/>
      <w:lang w:val="en-US" w:eastAsia="en-US" w:bidi="ar-SA"/>
    </w:rPr>
  </w:style>
  <w:style w:type="paragraph" w:customStyle="1" w:styleId="StyleStyleHeading1NotItalicItalic">
    <w:name w:val="Style Style Heading 1 + Not Italic + Italic"/>
    <w:basedOn w:val="StyleHeading1NotItalic"/>
    <w:link w:val="StyleStyleHeading1NotItalicItalicChar"/>
    <w:rsid w:val="00140C04"/>
    <w:rPr>
      <w:iCs/>
    </w:rPr>
  </w:style>
  <w:style w:type="character" w:customStyle="1" w:styleId="StyleStyleHeading1NotItalicItalicChar">
    <w:name w:val="Style Style Heading 1 + Not Italic + Italic Char"/>
    <w:basedOn w:val="StyleHeading1NotItalicChar"/>
    <w:link w:val="StyleStyleHeading1NotItalicItalic"/>
    <w:rsid w:val="00140C04"/>
    <w:rPr>
      <w:b/>
      <w:bCs/>
      <w:i/>
      <w:iCs/>
      <w:sz w:val="28"/>
      <w:u w:val="single"/>
      <w:lang w:val="en-US" w:eastAsia="en-US" w:bidi="ar-SA"/>
    </w:rPr>
  </w:style>
  <w:style w:type="paragraph" w:customStyle="1" w:styleId="StyleHeading114ptNotItalicNounderline">
    <w:name w:val="Style Heading 1 + 14 pt Not Italic No underline"/>
    <w:basedOn w:val="Heading1"/>
    <w:rsid w:val="00140C04"/>
    <w:pPr>
      <w:tabs>
        <w:tab w:val="clear" w:pos="360"/>
        <w:tab w:val="left" w:pos="720"/>
      </w:tabs>
    </w:pPr>
    <w:rPr>
      <w:bCs/>
      <w:i w:val="0"/>
      <w:sz w:val="28"/>
      <w:u w:val="none"/>
    </w:rPr>
  </w:style>
  <w:style w:type="character" w:styleId="CommentReference">
    <w:name w:val="annotation reference"/>
    <w:basedOn w:val="DefaultParagraphFont"/>
    <w:semiHidden/>
    <w:rsid w:val="00140C04"/>
    <w:rPr>
      <w:sz w:val="16"/>
      <w:szCs w:val="16"/>
    </w:rPr>
  </w:style>
  <w:style w:type="paragraph" w:styleId="CommentText">
    <w:name w:val="annotation text"/>
    <w:basedOn w:val="Normal"/>
    <w:semiHidden/>
    <w:rsid w:val="00140C04"/>
    <w:rPr>
      <w:sz w:val="20"/>
    </w:rPr>
  </w:style>
  <w:style w:type="paragraph" w:styleId="CommentSubject">
    <w:name w:val="annotation subject"/>
    <w:basedOn w:val="CommentText"/>
    <w:next w:val="CommentText"/>
    <w:semiHidden/>
    <w:rsid w:val="00140C04"/>
    <w:rPr>
      <w:b/>
      <w:bCs/>
    </w:rPr>
  </w:style>
  <w:style w:type="character" w:customStyle="1" w:styleId="Heading2Char">
    <w:name w:val="Heading 2 Char"/>
    <w:basedOn w:val="DefaultParagraphFont"/>
    <w:rsid w:val="00140C04"/>
    <w:rPr>
      <w:b/>
      <w:sz w:val="24"/>
      <w:u w:val="single"/>
      <w:lang w:val="en-US" w:eastAsia="en-US" w:bidi="ar-SA"/>
    </w:rPr>
  </w:style>
  <w:style w:type="paragraph" w:customStyle="1" w:styleId="BodyText2a">
    <w:name w:val="Body Text 2a"/>
    <w:basedOn w:val="BodyText"/>
    <w:rsid w:val="0053324B"/>
    <w:pPr>
      <w:ind w:left="540"/>
      <w:jc w:val="left"/>
    </w:pPr>
    <w:rPr>
      <w:rFonts w:eastAsia="Calibri"/>
    </w:rPr>
  </w:style>
  <w:style w:type="paragraph" w:customStyle="1" w:styleId="SWbody">
    <w:name w:val="SW body"/>
    <w:basedOn w:val="Normal"/>
    <w:link w:val="SWbodyChar"/>
    <w:rsid w:val="0053324B"/>
    <w:pPr>
      <w:tabs>
        <w:tab w:val="left" w:pos="360"/>
      </w:tabs>
      <w:spacing w:before="160" w:after="160"/>
      <w:jc w:val="both"/>
    </w:pPr>
    <w:rPr>
      <w:rFonts w:ascii="Cambria" w:hAnsi="Cambria"/>
      <w:color w:val="000000"/>
      <w:sz w:val="22"/>
      <w:szCs w:val="24"/>
    </w:rPr>
  </w:style>
  <w:style w:type="character" w:customStyle="1" w:styleId="SWbodyChar">
    <w:name w:val="SW body Char"/>
    <w:basedOn w:val="DefaultParagraphFont"/>
    <w:link w:val="SWbody"/>
    <w:locked/>
    <w:rsid w:val="0053324B"/>
    <w:rPr>
      <w:rFonts w:ascii="Cambria" w:hAnsi="Cambria"/>
      <w:color w:val="000000"/>
      <w:sz w:val="22"/>
      <w:szCs w:val="24"/>
      <w:lang w:val="en-US" w:eastAsia="en-US" w:bidi="ar-SA"/>
    </w:rPr>
  </w:style>
  <w:style w:type="paragraph" w:styleId="ListParagraph">
    <w:name w:val="List Paragraph"/>
    <w:basedOn w:val="Normal"/>
    <w:link w:val="ListParagraphChar"/>
    <w:uiPriority w:val="34"/>
    <w:qFormat/>
    <w:rsid w:val="004F19EF"/>
    <w:pPr>
      <w:ind w:left="720"/>
      <w:contextualSpacing/>
    </w:pPr>
    <w:rPr>
      <w:rFonts w:eastAsia="Calibri"/>
      <w:sz w:val="20"/>
    </w:rPr>
  </w:style>
  <w:style w:type="paragraph" w:styleId="Title">
    <w:name w:val="Title"/>
    <w:basedOn w:val="Normal"/>
    <w:link w:val="TitleChar"/>
    <w:qFormat/>
    <w:rsid w:val="00491C26"/>
    <w:pPr>
      <w:pBdr>
        <w:top w:val="single" w:sz="18" w:space="1" w:color="auto"/>
        <w:left w:val="single" w:sz="18" w:space="1" w:color="auto"/>
        <w:bottom w:val="single" w:sz="18" w:space="1" w:color="auto"/>
        <w:right w:val="single" w:sz="18" w:space="1" w:color="auto"/>
      </w:pBdr>
      <w:ind w:left="90"/>
      <w:jc w:val="center"/>
    </w:pPr>
    <w:rPr>
      <w:rFonts w:ascii="Helv" w:hAnsi="Helv"/>
      <w:b/>
    </w:rPr>
  </w:style>
  <w:style w:type="character" w:customStyle="1" w:styleId="TitleChar">
    <w:name w:val="Title Char"/>
    <w:basedOn w:val="DefaultParagraphFont"/>
    <w:link w:val="Title"/>
    <w:rsid w:val="00491C26"/>
    <w:rPr>
      <w:rFonts w:ascii="Helv" w:hAnsi="Helv"/>
      <w:b/>
      <w:sz w:val="24"/>
    </w:rPr>
  </w:style>
  <w:style w:type="paragraph" w:styleId="PlainText">
    <w:name w:val="Plain Text"/>
    <w:basedOn w:val="Normal"/>
    <w:link w:val="PlainTextChar"/>
    <w:uiPriority w:val="99"/>
    <w:unhideWhenUsed/>
    <w:rsid w:val="00510840"/>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510840"/>
    <w:rPr>
      <w:rFonts w:ascii="Consolas" w:eastAsiaTheme="minorHAnsi" w:hAnsi="Consolas" w:cs="Consolas"/>
      <w:sz w:val="21"/>
      <w:szCs w:val="21"/>
    </w:rPr>
  </w:style>
  <w:style w:type="paragraph" w:styleId="FootnoteText">
    <w:name w:val="footnote text"/>
    <w:basedOn w:val="Normal"/>
    <w:link w:val="FootnoteTextChar"/>
    <w:uiPriority w:val="99"/>
    <w:unhideWhenUsed/>
    <w:rsid w:val="008F0B24"/>
    <w:rPr>
      <w:sz w:val="20"/>
    </w:rPr>
  </w:style>
  <w:style w:type="character" w:customStyle="1" w:styleId="FootnoteTextChar">
    <w:name w:val="Footnote Text Char"/>
    <w:basedOn w:val="DefaultParagraphFont"/>
    <w:link w:val="FootnoteText"/>
    <w:uiPriority w:val="99"/>
    <w:rsid w:val="008F0B24"/>
  </w:style>
  <w:style w:type="character" w:styleId="FootnoteReference">
    <w:name w:val="footnote reference"/>
    <w:basedOn w:val="DefaultParagraphFont"/>
    <w:uiPriority w:val="99"/>
    <w:unhideWhenUsed/>
    <w:rsid w:val="008F0B24"/>
    <w:rPr>
      <w:vertAlign w:val="superscript"/>
    </w:rPr>
  </w:style>
  <w:style w:type="character" w:customStyle="1" w:styleId="ListParagraphChar">
    <w:name w:val="List Paragraph Char"/>
    <w:link w:val="ListParagraph"/>
    <w:uiPriority w:val="34"/>
    <w:locked/>
    <w:rsid w:val="008F0B24"/>
    <w:rPr>
      <w:rFonts w:eastAsia="Calibri"/>
    </w:rPr>
  </w:style>
  <w:style w:type="character" w:customStyle="1" w:styleId="Heading3Char">
    <w:name w:val="Heading 3 Char"/>
    <w:basedOn w:val="DefaultParagraphFont"/>
    <w:link w:val="Heading3"/>
    <w:rsid w:val="008F0B2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4643">
      <w:bodyDiv w:val="1"/>
      <w:marLeft w:val="0"/>
      <w:marRight w:val="0"/>
      <w:marTop w:val="0"/>
      <w:marBottom w:val="0"/>
      <w:divBdr>
        <w:top w:val="none" w:sz="0" w:space="0" w:color="auto"/>
        <w:left w:val="none" w:sz="0" w:space="0" w:color="auto"/>
        <w:bottom w:val="none" w:sz="0" w:space="0" w:color="auto"/>
        <w:right w:val="none" w:sz="0" w:space="0" w:color="auto"/>
      </w:divBdr>
    </w:div>
    <w:div w:id="33043551">
      <w:bodyDiv w:val="1"/>
      <w:marLeft w:val="0"/>
      <w:marRight w:val="0"/>
      <w:marTop w:val="0"/>
      <w:marBottom w:val="0"/>
      <w:divBdr>
        <w:top w:val="none" w:sz="0" w:space="0" w:color="auto"/>
        <w:left w:val="none" w:sz="0" w:space="0" w:color="auto"/>
        <w:bottom w:val="none" w:sz="0" w:space="0" w:color="auto"/>
        <w:right w:val="none" w:sz="0" w:space="0" w:color="auto"/>
      </w:divBdr>
      <w:divsChild>
        <w:div w:id="13893775">
          <w:marLeft w:val="0"/>
          <w:marRight w:val="0"/>
          <w:marTop w:val="0"/>
          <w:marBottom w:val="0"/>
          <w:divBdr>
            <w:top w:val="none" w:sz="0" w:space="0" w:color="auto"/>
            <w:left w:val="none" w:sz="0" w:space="0" w:color="auto"/>
            <w:bottom w:val="none" w:sz="0" w:space="0" w:color="auto"/>
            <w:right w:val="none" w:sz="0" w:space="0" w:color="auto"/>
          </w:divBdr>
        </w:div>
      </w:divsChild>
    </w:div>
    <w:div w:id="101347481">
      <w:bodyDiv w:val="1"/>
      <w:marLeft w:val="0"/>
      <w:marRight w:val="0"/>
      <w:marTop w:val="0"/>
      <w:marBottom w:val="0"/>
      <w:divBdr>
        <w:top w:val="none" w:sz="0" w:space="0" w:color="auto"/>
        <w:left w:val="none" w:sz="0" w:space="0" w:color="auto"/>
        <w:bottom w:val="none" w:sz="0" w:space="0" w:color="auto"/>
        <w:right w:val="none" w:sz="0" w:space="0" w:color="auto"/>
      </w:divBdr>
    </w:div>
    <w:div w:id="391077603">
      <w:bodyDiv w:val="1"/>
      <w:marLeft w:val="0"/>
      <w:marRight w:val="0"/>
      <w:marTop w:val="0"/>
      <w:marBottom w:val="0"/>
      <w:divBdr>
        <w:top w:val="none" w:sz="0" w:space="0" w:color="auto"/>
        <w:left w:val="none" w:sz="0" w:space="0" w:color="auto"/>
        <w:bottom w:val="none" w:sz="0" w:space="0" w:color="auto"/>
        <w:right w:val="none" w:sz="0" w:space="0" w:color="auto"/>
      </w:divBdr>
      <w:divsChild>
        <w:div w:id="496264219">
          <w:marLeft w:val="0"/>
          <w:marRight w:val="0"/>
          <w:marTop w:val="0"/>
          <w:marBottom w:val="0"/>
          <w:divBdr>
            <w:top w:val="none" w:sz="0" w:space="0" w:color="auto"/>
            <w:left w:val="none" w:sz="0" w:space="0" w:color="auto"/>
            <w:bottom w:val="none" w:sz="0" w:space="0" w:color="auto"/>
            <w:right w:val="none" w:sz="0" w:space="0" w:color="auto"/>
          </w:divBdr>
        </w:div>
      </w:divsChild>
    </w:div>
    <w:div w:id="559098556">
      <w:bodyDiv w:val="1"/>
      <w:marLeft w:val="0"/>
      <w:marRight w:val="0"/>
      <w:marTop w:val="0"/>
      <w:marBottom w:val="0"/>
      <w:divBdr>
        <w:top w:val="none" w:sz="0" w:space="0" w:color="auto"/>
        <w:left w:val="none" w:sz="0" w:space="0" w:color="auto"/>
        <w:bottom w:val="none" w:sz="0" w:space="0" w:color="auto"/>
        <w:right w:val="none" w:sz="0" w:space="0" w:color="auto"/>
      </w:divBdr>
    </w:div>
    <w:div w:id="599025749">
      <w:bodyDiv w:val="1"/>
      <w:marLeft w:val="0"/>
      <w:marRight w:val="0"/>
      <w:marTop w:val="0"/>
      <w:marBottom w:val="0"/>
      <w:divBdr>
        <w:top w:val="none" w:sz="0" w:space="0" w:color="auto"/>
        <w:left w:val="none" w:sz="0" w:space="0" w:color="auto"/>
        <w:bottom w:val="none" w:sz="0" w:space="0" w:color="auto"/>
        <w:right w:val="none" w:sz="0" w:space="0" w:color="auto"/>
      </w:divBdr>
    </w:div>
    <w:div w:id="707144630">
      <w:bodyDiv w:val="1"/>
      <w:marLeft w:val="0"/>
      <w:marRight w:val="0"/>
      <w:marTop w:val="0"/>
      <w:marBottom w:val="0"/>
      <w:divBdr>
        <w:top w:val="none" w:sz="0" w:space="0" w:color="auto"/>
        <w:left w:val="none" w:sz="0" w:space="0" w:color="auto"/>
        <w:bottom w:val="none" w:sz="0" w:space="0" w:color="auto"/>
        <w:right w:val="none" w:sz="0" w:space="0" w:color="auto"/>
      </w:divBdr>
    </w:div>
    <w:div w:id="787546619">
      <w:bodyDiv w:val="1"/>
      <w:marLeft w:val="0"/>
      <w:marRight w:val="0"/>
      <w:marTop w:val="0"/>
      <w:marBottom w:val="0"/>
      <w:divBdr>
        <w:top w:val="none" w:sz="0" w:space="0" w:color="auto"/>
        <w:left w:val="none" w:sz="0" w:space="0" w:color="auto"/>
        <w:bottom w:val="none" w:sz="0" w:space="0" w:color="auto"/>
        <w:right w:val="none" w:sz="0" w:space="0" w:color="auto"/>
      </w:divBdr>
    </w:div>
    <w:div w:id="799961576">
      <w:bodyDiv w:val="1"/>
      <w:marLeft w:val="0"/>
      <w:marRight w:val="0"/>
      <w:marTop w:val="0"/>
      <w:marBottom w:val="0"/>
      <w:divBdr>
        <w:top w:val="none" w:sz="0" w:space="0" w:color="auto"/>
        <w:left w:val="none" w:sz="0" w:space="0" w:color="auto"/>
        <w:bottom w:val="none" w:sz="0" w:space="0" w:color="auto"/>
        <w:right w:val="none" w:sz="0" w:space="0" w:color="auto"/>
      </w:divBdr>
      <w:divsChild>
        <w:div w:id="1314211432">
          <w:marLeft w:val="0"/>
          <w:marRight w:val="0"/>
          <w:marTop w:val="0"/>
          <w:marBottom w:val="0"/>
          <w:divBdr>
            <w:top w:val="none" w:sz="0" w:space="0" w:color="auto"/>
            <w:left w:val="none" w:sz="0" w:space="0" w:color="auto"/>
            <w:bottom w:val="none" w:sz="0" w:space="0" w:color="auto"/>
            <w:right w:val="none" w:sz="0" w:space="0" w:color="auto"/>
          </w:divBdr>
        </w:div>
      </w:divsChild>
    </w:div>
    <w:div w:id="894974038">
      <w:bodyDiv w:val="1"/>
      <w:marLeft w:val="0"/>
      <w:marRight w:val="0"/>
      <w:marTop w:val="0"/>
      <w:marBottom w:val="0"/>
      <w:divBdr>
        <w:top w:val="none" w:sz="0" w:space="0" w:color="auto"/>
        <w:left w:val="none" w:sz="0" w:space="0" w:color="auto"/>
        <w:bottom w:val="none" w:sz="0" w:space="0" w:color="auto"/>
        <w:right w:val="none" w:sz="0" w:space="0" w:color="auto"/>
      </w:divBdr>
    </w:div>
    <w:div w:id="949624288">
      <w:bodyDiv w:val="1"/>
      <w:marLeft w:val="0"/>
      <w:marRight w:val="0"/>
      <w:marTop w:val="0"/>
      <w:marBottom w:val="0"/>
      <w:divBdr>
        <w:top w:val="none" w:sz="0" w:space="0" w:color="auto"/>
        <w:left w:val="none" w:sz="0" w:space="0" w:color="auto"/>
        <w:bottom w:val="none" w:sz="0" w:space="0" w:color="auto"/>
        <w:right w:val="none" w:sz="0" w:space="0" w:color="auto"/>
      </w:divBdr>
    </w:div>
    <w:div w:id="1126508436">
      <w:bodyDiv w:val="1"/>
      <w:marLeft w:val="0"/>
      <w:marRight w:val="0"/>
      <w:marTop w:val="0"/>
      <w:marBottom w:val="0"/>
      <w:divBdr>
        <w:top w:val="none" w:sz="0" w:space="0" w:color="auto"/>
        <w:left w:val="none" w:sz="0" w:space="0" w:color="auto"/>
        <w:bottom w:val="none" w:sz="0" w:space="0" w:color="auto"/>
        <w:right w:val="none" w:sz="0" w:space="0" w:color="auto"/>
      </w:divBdr>
    </w:div>
    <w:div w:id="1340741754">
      <w:bodyDiv w:val="1"/>
      <w:marLeft w:val="0"/>
      <w:marRight w:val="0"/>
      <w:marTop w:val="0"/>
      <w:marBottom w:val="0"/>
      <w:divBdr>
        <w:top w:val="none" w:sz="0" w:space="0" w:color="auto"/>
        <w:left w:val="none" w:sz="0" w:space="0" w:color="auto"/>
        <w:bottom w:val="none" w:sz="0" w:space="0" w:color="auto"/>
        <w:right w:val="none" w:sz="0" w:space="0" w:color="auto"/>
      </w:divBdr>
    </w:div>
    <w:div w:id="1373653643">
      <w:bodyDiv w:val="1"/>
      <w:marLeft w:val="0"/>
      <w:marRight w:val="0"/>
      <w:marTop w:val="0"/>
      <w:marBottom w:val="0"/>
      <w:divBdr>
        <w:top w:val="none" w:sz="0" w:space="0" w:color="auto"/>
        <w:left w:val="none" w:sz="0" w:space="0" w:color="auto"/>
        <w:bottom w:val="none" w:sz="0" w:space="0" w:color="auto"/>
        <w:right w:val="none" w:sz="0" w:space="0" w:color="auto"/>
      </w:divBdr>
    </w:div>
    <w:div w:id="1375151528">
      <w:bodyDiv w:val="1"/>
      <w:marLeft w:val="0"/>
      <w:marRight w:val="0"/>
      <w:marTop w:val="0"/>
      <w:marBottom w:val="0"/>
      <w:divBdr>
        <w:top w:val="none" w:sz="0" w:space="0" w:color="auto"/>
        <w:left w:val="none" w:sz="0" w:space="0" w:color="auto"/>
        <w:bottom w:val="none" w:sz="0" w:space="0" w:color="auto"/>
        <w:right w:val="none" w:sz="0" w:space="0" w:color="auto"/>
      </w:divBdr>
    </w:div>
    <w:div w:id="1387488995">
      <w:bodyDiv w:val="1"/>
      <w:marLeft w:val="0"/>
      <w:marRight w:val="0"/>
      <w:marTop w:val="0"/>
      <w:marBottom w:val="0"/>
      <w:divBdr>
        <w:top w:val="none" w:sz="0" w:space="0" w:color="auto"/>
        <w:left w:val="none" w:sz="0" w:space="0" w:color="auto"/>
        <w:bottom w:val="none" w:sz="0" w:space="0" w:color="auto"/>
        <w:right w:val="none" w:sz="0" w:space="0" w:color="auto"/>
      </w:divBdr>
    </w:div>
    <w:div w:id="1416130268">
      <w:bodyDiv w:val="1"/>
      <w:marLeft w:val="0"/>
      <w:marRight w:val="0"/>
      <w:marTop w:val="0"/>
      <w:marBottom w:val="0"/>
      <w:divBdr>
        <w:top w:val="none" w:sz="0" w:space="0" w:color="auto"/>
        <w:left w:val="none" w:sz="0" w:space="0" w:color="auto"/>
        <w:bottom w:val="none" w:sz="0" w:space="0" w:color="auto"/>
        <w:right w:val="none" w:sz="0" w:space="0" w:color="auto"/>
      </w:divBdr>
    </w:div>
    <w:div w:id="1487623819">
      <w:bodyDiv w:val="1"/>
      <w:marLeft w:val="0"/>
      <w:marRight w:val="0"/>
      <w:marTop w:val="0"/>
      <w:marBottom w:val="0"/>
      <w:divBdr>
        <w:top w:val="none" w:sz="0" w:space="0" w:color="auto"/>
        <w:left w:val="none" w:sz="0" w:space="0" w:color="auto"/>
        <w:bottom w:val="none" w:sz="0" w:space="0" w:color="auto"/>
        <w:right w:val="none" w:sz="0" w:space="0" w:color="auto"/>
      </w:divBdr>
    </w:div>
    <w:div w:id="200193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ingming.Yu@hq.dhs.gov"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ST.Invoicing@hq.dhs.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T.Invoicing@hq.dhs.gov"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Application_programming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8319B2EB0B3744B782715E9AB0353C" ma:contentTypeVersion="0" ma:contentTypeDescription="Create a new document." ma:contentTypeScope="" ma:versionID="1e2e07a1128867da58d8f17094c38f8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0D0F3-7331-4B32-B461-EC7B69EA3457}">
  <ds:schemaRefs>
    <ds:schemaRef ds:uri="http://schemas.microsoft.com/sharepoint/v3/contenttype/forms"/>
  </ds:schemaRefs>
</ds:datastoreItem>
</file>

<file path=customXml/itemProps2.xml><?xml version="1.0" encoding="utf-8"?>
<ds:datastoreItem xmlns:ds="http://schemas.openxmlformats.org/officeDocument/2006/customXml" ds:itemID="{6D8A670F-5BF2-443A-97E9-C7430E74F51F}"/>
</file>

<file path=customXml/itemProps3.xml><?xml version="1.0" encoding="utf-8"?>
<ds:datastoreItem xmlns:ds="http://schemas.openxmlformats.org/officeDocument/2006/customXml" ds:itemID="{F73C46AA-2305-45BD-B932-4F26F2392C1A}">
  <ds:schemaRefs>
    <ds:schemaRef ds:uri="http://schemas.microsoft.com/office/2006/metadata/properties"/>
    <ds:schemaRef ds:uri="http://schemas.microsoft.com/office/infopath/2007/PartnerControls"/>
    <ds:schemaRef ds:uri="e4c23ffc-8249-484f-aa0a-04b50efabe42"/>
  </ds:schemaRefs>
</ds:datastoreItem>
</file>

<file path=customXml/itemProps4.xml><?xml version="1.0" encoding="utf-8"?>
<ds:datastoreItem xmlns:ds="http://schemas.openxmlformats.org/officeDocument/2006/customXml" ds:itemID="{EA5675D4-892B-4BFC-80F5-332773E6D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12</Pages>
  <Words>3973</Words>
  <Characters>22330</Characters>
  <Application>Microsoft Office Word</Application>
  <DocSecurity>0</DocSecurity>
  <Lines>1015</Lines>
  <Paragraphs>341</Paragraphs>
  <ScaleCrop>false</ScaleCrop>
  <HeadingPairs>
    <vt:vector size="2" baseType="variant">
      <vt:variant>
        <vt:lpstr>Title</vt:lpstr>
      </vt:variant>
      <vt:variant>
        <vt:i4>1</vt:i4>
      </vt:variant>
    </vt:vector>
  </HeadingPairs>
  <TitlesOfParts>
    <vt:vector size="1" baseType="lpstr">
      <vt:lpstr>SOW ProgMgmt</vt:lpstr>
    </vt:vector>
  </TitlesOfParts>
  <Company>S&amp;T</Company>
  <LinksUpToDate>false</LinksUpToDate>
  <CharactersWithSpaces>25962</CharactersWithSpaces>
  <SharedDoc>false</SharedDoc>
  <HLinks>
    <vt:vector size="6" baseType="variant">
      <vt:variant>
        <vt:i4>262185</vt:i4>
      </vt:variant>
      <vt:variant>
        <vt:i4>0</vt:i4>
      </vt:variant>
      <vt:variant>
        <vt:i4>0</vt:i4>
      </vt:variant>
      <vt:variant>
        <vt:i4>5</vt:i4>
      </vt:variant>
      <vt:variant>
        <vt:lpwstr>mailto:ST.Invoicing@hq.dhs.gov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 ProgMgmt</dc:title>
  <dc:creator>Patricia.Reichenbach</dc:creator>
  <cp:lastModifiedBy>Gee, Lolona</cp:lastModifiedBy>
  <cp:revision>13</cp:revision>
  <cp:lastPrinted>2017-08-31T19:43:00Z</cp:lastPrinted>
  <dcterms:created xsi:type="dcterms:W3CDTF">2017-05-03T18:26:00Z</dcterms:created>
  <dcterms:modified xsi:type="dcterms:W3CDTF">2017-08-31T20:44:00Z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0x010100228319B2EB0B3744B782715E9AB0353C</vt:lpwstr>
  </property>
</Properties>
</file>