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0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rtl w:val="0"/>
        </w:rPr>
        <w:t xml:space="preserve">pearly nautilus</w:t>
      </w:r>
      <w:r w:rsidDel="00000000" w:rsidR="00000000" w:rsidRPr="00000000">
        <w:rPr>
          <w:rtl w:val="0"/>
        </w:rPr>
        <w:t xml:space="preserve">", "abstract": "nautilus macromphalus sowerby </w:t>
      </w:r>
      <w:r w:rsidDel="00000000" w:rsidR="00000000" w:rsidRPr="00000000">
        <w:rPr>
          <w:shd w:fill="f9cb9c" w:val="clear"/>
          <w:rtl w:val="0"/>
        </w:rPr>
        <w:t xml:space="preserve">when freshly caught </w:t>
      </w:r>
      <w:r w:rsidDel="00000000" w:rsidR="00000000" w:rsidRPr="00000000">
        <w:rPr>
          <w:highlight w:val="green"/>
          <w:rtl w:val="0"/>
        </w:rPr>
        <w:t xml:space="preserve">was close to neutral buoyancy</w:t>
      </w:r>
      <w:r w:rsidDel="00000000" w:rsidR="00000000" w:rsidRPr="00000000">
        <w:rPr>
          <w:shd w:fill="f9cb9c" w:val="clear"/>
          <w:rtl w:val="0"/>
        </w:rPr>
        <w:t xml:space="preserve"> having a weight in sea water</w:t>
      </w:r>
      <w:r w:rsidDel="00000000" w:rsidR="00000000" w:rsidRPr="00000000">
        <w:rPr>
          <w:rtl w:val="0"/>
        </w:rPr>
        <w:t xml:space="preserve">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rtl w:val="0"/>
        </w:rPr>
        <w:t xml:space="preserve">support the weight of the shell</w:t>
      </w:r>
      <w:r w:rsidDel="00000000" w:rsidR="00000000" w:rsidRPr="00000000">
        <w:rPr>
          <w:rtl w:val="0"/>
        </w:rPr>
        <w:t xml:space="preserve"> itself in sea water.</w:t>
      </w:r>
      <w:r w:rsidDel="00000000" w:rsidR="00000000" w:rsidRPr="00000000">
        <w:rPr>
          <w:shd w:fill="9fc5e8"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003">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when freshly caught </w:t>
      </w:r>
      <w:r w:rsidDel="00000000" w:rsidR="00000000" w:rsidRPr="00000000">
        <w:rPr>
          <w:highlight w:val="cyan"/>
          <w:rtl w:val="0"/>
        </w:rPr>
        <w:t xml:space="preserve">was close to neutral buoyancy</w:t>
      </w:r>
      <w:r w:rsidDel="00000000" w:rsidR="00000000" w:rsidRPr="00000000">
        <w:rPr>
          <w:shd w:fill="f9cb9c" w:val="clear"/>
          <w:rtl w:val="0"/>
        </w:rPr>
        <w:t xml:space="preserve"> having a weight in sea water</w:t>
      </w:r>
    </w:p>
    <w:p w:rsidR="00000000" w:rsidDel="00000000" w:rsidP="00000000" w:rsidRDefault="00000000" w:rsidRPr="00000000" w14:paraId="00000005">
      <w:pPr>
        <w:numPr>
          <w:ilvl w:val="2"/>
          <w:numId w:val="1"/>
        </w:numPr>
        <w:ind w:left="2160" w:hanging="360"/>
      </w:pPr>
      <w:r w:rsidDel="00000000" w:rsidR="00000000" w:rsidRPr="00000000">
        <w:rPr>
          <w:u w:val="single"/>
          <w:rtl w:val="0"/>
        </w:rPr>
        <w:t xml:space="preserve">Baseline</w:t>
      </w:r>
      <w:r w:rsidDel="00000000" w:rsidR="00000000" w:rsidRPr="00000000">
        <w:rPr>
          <w:u w:val="single"/>
          <w:rtl w:val="0"/>
        </w:rPr>
        <w:t xml:space="preserve"> Context:</w:t>
      </w:r>
      <w:r w:rsidDel="00000000" w:rsidR="00000000" w:rsidRPr="00000000">
        <w:rPr>
          <w:rtl w:val="0"/>
        </w:rPr>
        <w:t xml:space="preserve"> </w:t>
      </w:r>
      <w:r w:rsidDel="00000000" w:rsidR="00000000" w:rsidRPr="00000000">
        <w:rPr>
          <w:shd w:fill="a4c2f4" w:val="clear"/>
          <w:rtl w:val="0"/>
        </w:rPr>
        <w:t xml:space="preserve">in an adult animal</w:t>
      </w:r>
      <w:r w:rsidDel="00000000" w:rsidR="00000000" w:rsidRPr="00000000">
        <w:rPr>
          <w:rtl w:val="0"/>
        </w:rPr>
      </w:r>
    </w:p>
    <w:p w:rsidR="00000000" w:rsidDel="00000000" w:rsidP="00000000" w:rsidRDefault="00000000" w:rsidRPr="00000000" w14:paraId="00000006">
      <w:pPr>
        <w:numPr>
          <w:ilvl w:val="2"/>
          <w:numId w:val="1"/>
        </w:numPr>
        <w:ind w:left="2160" w:hanging="360"/>
      </w:pPr>
      <w:r w:rsidDel="00000000" w:rsidR="00000000" w:rsidRPr="00000000">
        <w:rPr>
          <w:u w:val="single"/>
          <w:rtl w:val="0"/>
        </w:rPr>
        <w:t xml:space="preserve">Correct Context: </w:t>
      </w:r>
      <w:r w:rsidDel="00000000" w:rsidR="00000000" w:rsidRPr="00000000">
        <w:rPr>
          <w:highlight w:val="cyan"/>
          <w:rtl w:val="0"/>
        </w:rPr>
        <w:t xml:space="preserve">was close to neutral buoyancy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01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rtl w:val="0"/>
        </w:rPr>
        <w:t xml:space="preserve">temperate deciduous trees</w:t>
      </w:r>
      <w:r w:rsidDel="00000000" w:rsidR="00000000" w:rsidRPr="00000000">
        <w:rPr>
          <w:rtl w:val="0"/>
        </w:rPr>
        <w:t xml:space="preserve">", "abstract": "intracanopy </w:t>
      </w:r>
      <w:r w:rsidDel="00000000" w:rsidR="00000000" w:rsidRPr="00000000">
        <w:rPr>
          <w:rtl w:val="0"/>
        </w:rPr>
        <w:t xml:space="preserve">plasticity in tree leaf form</w:t>
      </w:r>
      <w:r w:rsidDel="00000000" w:rsidR="00000000" w:rsidRPr="00000000">
        <w:rPr>
          <w:rtl w:val="0"/>
        </w:rPr>
        <w:t xml:space="preserve"> is a major determinant of </w:t>
      </w:r>
      <w:r w:rsidDel="00000000" w:rsidR="00000000" w:rsidRPr="00000000">
        <w:rPr>
          <w:highlight w:val="green"/>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a4c2f4"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w:t>
      </w:r>
      <w:r w:rsidDel="00000000" w:rsidR="00000000" w:rsidRPr="00000000">
        <w:rPr>
          <w:shd w:fill="f9cb9c" w:val="clear"/>
          <w:rtl w:val="0"/>
        </w:rPr>
        <w:t xml:space="preserve">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rtl w:val="0"/>
        </w:rPr>
        <w:t xml:space="preserve">improves canopy performance</w:t>
      </w:r>
      <w:r w:rsidDel="00000000" w:rsidR="00000000" w:rsidRPr="00000000">
        <w:rPr>
          <w:rtl w:val="0"/>
        </w:rPr>
        <w:t xml:space="preserve">."</w:t>
      </w:r>
    </w:p>
    <w:p w:rsidR="00000000" w:rsidDel="00000000" w:rsidP="00000000" w:rsidRDefault="00000000" w:rsidRPr="00000000" w14:paraId="0000001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across three canopy locations (basal-interior, basal-exterior, and top)</w:t>
      </w:r>
      <w:r w:rsidDel="00000000" w:rsidR="00000000" w:rsidRPr="00000000">
        <w:rPr>
          <w:rtl w:val="0"/>
        </w:rPr>
      </w:r>
    </w:p>
    <w:p w:rsidR="00000000" w:rsidDel="00000000" w:rsidP="00000000" w:rsidRDefault="00000000" w:rsidRPr="00000000" w14:paraId="0000001D">
      <w:pPr>
        <w:numPr>
          <w:ilvl w:val="2"/>
          <w:numId w:val="1"/>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arboratoreum-grown trees</w:t>
      </w:r>
      <w:r w:rsidDel="00000000" w:rsidR="00000000" w:rsidRPr="00000000">
        <w:rPr>
          <w:rtl w:val="0"/>
        </w:rPr>
      </w:r>
    </w:p>
    <w:p w:rsidR="00000000" w:rsidDel="00000000" w:rsidP="00000000" w:rsidRDefault="00000000" w:rsidRPr="00000000" w14:paraId="0000001E">
      <w:pPr>
        <w:numPr>
          <w:ilvl w:val="2"/>
          <w:numId w:val="1"/>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02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rtl w:val="0"/>
        </w:rPr>
        <w:t xml:space="preserve">baobab trees</w:t>
      </w:r>
      <w:r w:rsidDel="00000000" w:rsidR="00000000" w:rsidRPr="00000000">
        <w:rPr>
          <w:rtl w:val="0"/>
        </w:rPr>
        <w:t xml:space="preserve"> (Adansonia spp.; Bombacaceae)", "abstract": "</w:t>
      </w:r>
      <w:r w:rsidDel="00000000" w:rsidR="00000000" w:rsidRPr="00000000">
        <w:rPr>
          <w:rtl w:val="0"/>
        </w:rPr>
        <w:t xml:space="preserve">the stems of large trees serve in transport, storage, and </w:t>
      </w:r>
      <w:r w:rsidDel="00000000" w:rsidR="00000000" w:rsidRPr="00000000">
        <w:rPr>
          <w:rtl w:val="0"/>
        </w:rPr>
        <w:t xml:space="preserve">support</w:t>
      </w:r>
      <w:r w:rsidDel="00000000" w:rsidR="00000000" w:rsidRPr="00000000">
        <w:rPr>
          <w:rtl w:val="0"/>
        </w:rPr>
        <w:t xml:space="preserve">; however, the degree to which these roles are reflected in their morphology is not always apparent. the</w:t>
      </w:r>
      <w:r w:rsidDel="00000000" w:rsidR="00000000" w:rsidRPr="00000000">
        <w:rPr>
          <w:shd w:fill="f9cb9c" w:val="clear"/>
          <w:rtl w:val="0"/>
        </w:rPr>
        <w:t xml:space="preserve"> large, water-filled stems of baobab trees</w:t>
      </w:r>
      <w:r w:rsidDel="00000000" w:rsidR="00000000" w:rsidRPr="00000000">
        <w:rPr>
          <w:rtl w:val="0"/>
        </w:rPr>
        <w:t xml:space="preserve"> (adansonia spp.) are generally assumed to serve a </w:t>
      </w:r>
      <w:r w:rsidDel="00000000" w:rsidR="00000000" w:rsidRPr="00000000">
        <w:rPr>
          <w:shd w:fill="a4c2f4" w:val="clear"/>
          <w:rtl w:val="0"/>
        </w:rPr>
        <w:t xml:space="preserve">water storage</w:t>
      </w:r>
      <w:r w:rsidDel="00000000" w:rsidR="00000000" w:rsidRPr="00000000">
        <w:rPr>
          <w:rtl w:val="0"/>
        </w:rPr>
        <w:t xml:space="preserve"> function, yet recent studies indicate limited use of stored water. through an analysis of </w:t>
      </w:r>
      <w:r w:rsidDel="00000000" w:rsidR="00000000" w:rsidRPr="00000000">
        <w:rPr>
          <w:rtl w:val="0"/>
        </w:rPr>
        <w:t xml:space="preserve">wood</w:t>
      </w:r>
      <w:r w:rsidDel="00000000" w:rsidR="00000000" w:rsidRPr="00000000">
        <w:rPr>
          <w:rtl w:val="0"/>
        </w:rPr>
        <w:t xml:space="preserve"> structure and composition, we examined whether </w:t>
      </w:r>
      <w:r w:rsidDel="00000000" w:rsidR="00000000" w:rsidRPr="00000000">
        <w:rPr>
          <w:rtl w:val="0"/>
        </w:rPr>
        <w:t xml:space="preserve">baobab morphology reflects </w:t>
      </w:r>
      <w:r w:rsidDel="00000000" w:rsidR="00000000" w:rsidRPr="00000000">
        <w:rPr>
          <w:highlight w:val="green"/>
          <w:rtl w:val="0"/>
        </w:rPr>
        <w:t xml:space="preserve">biomechanical constraints rather than water storage capacity</w:t>
      </w:r>
      <w:r w:rsidDel="00000000" w:rsidR="00000000" w:rsidRPr="00000000">
        <w:rPr>
          <w:rtl w:val="0"/>
        </w:rPr>
        <w:t xml:space="preserve"> in the six madagascar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highlight w:val="green"/>
          <w:rtl w:val="0"/>
        </w:rPr>
        <w:t xml:space="preserve">mechanical stability</w:t>
      </w:r>
      <w:r w:rsidDel="00000000" w:rsidR="00000000" w:rsidRPr="00000000">
        <w:rPr>
          <w:rtl w:val="0"/>
        </w:rPr>
        <w:t xml:space="preserve">."</w:t>
      </w:r>
    </w:p>
    <w:p w:rsidR="00000000" w:rsidDel="00000000" w:rsidP="00000000" w:rsidRDefault="00000000" w:rsidRPr="00000000" w14:paraId="0000002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0">
      <w:pPr>
        <w:numPr>
          <w:ilvl w:val="2"/>
          <w:numId w:val="1"/>
        </w:numPr>
        <w:ind w:left="2160" w:hanging="360"/>
        <w:rPr>
          <w:u w:val="none"/>
        </w:rPr>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f9cb9c" w:val="clear"/>
          <w:rtl w:val="0"/>
        </w:rPr>
        <w:t xml:space="preserve"> large, water-filled stems of baobab trees</w:t>
      </w:r>
      <w:r w:rsidDel="00000000" w:rsidR="00000000" w:rsidRPr="00000000">
        <w:rPr>
          <w:rtl w:val="0"/>
        </w:rPr>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Baseline Context:</w:t>
      </w:r>
      <w:r w:rsidDel="00000000" w:rsidR="00000000" w:rsidRPr="00000000">
        <w:rPr>
          <w:shd w:fill="a4c2f4" w:val="clear"/>
          <w:rtl w:val="0"/>
        </w:rPr>
        <w:t xml:space="preserve"> water storage</w:t>
      </w:r>
    </w:p>
    <w:p w:rsidR="00000000" w:rsidDel="00000000" w:rsidP="00000000" w:rsidRDefault="00000000" w:rsidRPr="00000000" w14:paraId="00000032">
      <w:pPr>
        <w:numPr>
          <w:ilvl w:val="2"/>
          <w:numId w:val="1"/>
        </w:numPr>
        <w:ind w:left="2160" w:hanging="360"/>
      </w:pPr>
      <w:r w:rsidDel="00000000" w:rsidR="00000000" w:rsidRPr="00000000">
        <w:rPr>
          <w:u w:val="single"/>
          <w:rtl w:val="0"/>
        </w:rPr>
        <w:t xml:space="preserve">Correct Context:</w:t>
      </w:r>
      <w:r w:rsidDel="00000000" w:rsidR="00000000" w:rsidRPr="00000000">
        <w:rPr>
          <w:highlight w:val="green"/>
          <w:rtl w:val="0"/>
        </w:rPr>
        <w:t xml:space="preserve">biomechanical constraints rather than water storage capacity</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04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a4c2f4" w:val="clear"/>
          <w:rtl w:val="0"/>
        </w:rPr>
        <w:t xml:space="preserve">majority of cases</w:t>
      </w:r>
      <w:r w:rsidDel="00000000" w:rsidR="00000000" w:rsidRPr="00000000">
        <w:rPr>
          <w:rtl w:val="0"/>
        </w:rPr>
        <w:t xml:space="preserve"> a </w:t>
      </w:r>
      <w:r w:rsidDel="00000000" w:rsidR="00000000" w:rsidRPr="00000000">
        <w:rPr>
          <w:rtl w:val="0"/>
        </w:rPr>
        <w:t xml:space="preserve">dense layer of overlapping, stellate or peltate trichomes</w:t>
      </w:r>
      <w:r w:rsidDel="00000000" w:rsidR="00000000" w:rsidRPr="00000000">
        <w:rPr>
          <w:rtl w:val="0"/>
        </w:rPr>
        <w:t xml:space="preserve"> held water off the </w:t>
      </w:r>
      <w:r w:rsidDel="00000000" w:rsidR="00000000" w:rsidRPr="00000000">
        <w:rPr>
          <w:rtl w:val="0"/>
        </w:rPr>
        <w:t xml:space="preserve">leaf epidermis</w:t>
      </w:r>
      <w:r w:rsidDel="00000000" w:rsidR="00000000" w:rsidRPr="00000000">
        <w:rPr>
          <w:rtl w:val="0"/>
        </w:rPr>
        <w:t xml:space="preserve">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w:t>
      </w:r>
      <w:r w:rsidDel="00000000" w:rsidR="00000000" w:rsidRPr="00000000">
        <w:rPr>
          <w:shd w:fill="f9cb9c" w:val="clear"/>
          <w:rtl w:val="0"/>
        </w:rPr>
        <w:t xml:space="preserve"> the present study </w:t>
      </w:r>
      <w:r w:rsidDel="00000000" w:rsidR="00000000" w:rsidRPr="00000000">
        <w:rPr>
          <w:rtl w:val="0"/>
        </w:rPr>
        <w:t xml:space="preserve">indicates that </w:t>
      </w:r>
      <w:r w:rsidDel="00000000" w:rsidR="00000000" w:rsidRPr="00000000">
        <w:rPr>
          <w:highlight w:val="green"/>
          <w:rtl w:val="0"/>
        </w:rPr>
        <w:t xml:space="preserve">an important ancestral function</w:t>
      </w:r>
      <w:r w:rsidDel="00000000" w:rsidR="00000000" w:rsidRPr="00000000">
        <w:rPr>
          <w:rtl w:val="0"/>
        </w:rPr>
        <w:t xml:space="preserve"> of the</w:t>
      </w:r>
      <w:r w:rsidDel="00000000" w:rsidR="00000000" w:rsidRPr="00000000">
        <w:rPr>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049">
      <w:pPr>
        <w:numPr>
          <w:ilvl w:val="1"/>
          <w:numId w:val="1"/>
        </w:numPr>
        <w:ind w:left="1440" w:hanging="360"/>
        <w:rPr/>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the present study</w:t>
      </w:r>
    </w:p>
    <w:p w:rsidR="00000000" w:rsidDel="00000000" w:rsidP="00000000" w:rsidRDefault="00000000" w:rsidRPr="00000000" w14:paraId="0000004B">
      <w:pPr>
        <w:numPr>
          <w:ilvl w:val="2"/>
          <w:numId w:val="1"/>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majority of cases</w:t>
      </w:r>
      <w:r w:rsidDel="00000000" w:rsidR="00000000" w:rsidRPr="00000000">
        <w:rPr>
          <w:rtl w:val="0"/>
        </w:rPr>
      </w:r>
    </w:p>
    <w:p w:rsidR="00000000" w:rsidDel="00000000" w:rsidP="00000000" w:rsidRDefault="00000000" w:rsidRPr="00000000" w14:paraId="0000004C">
      <w:pPr>
        <w:numPr>
          <w:ilvl w:val="2"/>
          <w:numId w:val="1"/>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an important ancestral function</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05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rtl w:val="0"/>
        </w:rPr>
        <w:t xml:space="preserve">improves plant water status</w:t>
      </w:r>
      <w:r w:rsidDel="00000000" w:rsidR="00000000" w:rsidRPr="00000000">
        <w:rPr>
          <w:rtl w:val="0"/>
        </w:rPr>
        <w:t xml:space="preserve"> </w:t>
      </w:r>
      <w:r w:rsidDel="00000000" w:rsidR="00000000" w:rsidRPr="00000000">
        <w:rPr>
          <w:highlight w:val="green"/>
          <w:rtl w:val="0"/>
        </w:rPr>
        <w:t xml:space="preserve">during the dry season</w:t>
      </w:r>
      <w:r w:rsidDel="00000000" w:rsidR="00000000" w:rsidRPr="00000000">
        <w:rPr>
          <w:rtl w:val="0"/>
        </w:rPr>
        <w:t xml:space="preserve">."</w:t>
      </w:r>
    </w:p>
    <w:p w:rsidR="00000000" w:rsidDel="00000000" w:rsidP="00000000" w:rsidRDefault="00000000" w:rsidRPr="00000000" w14:paraId="0000005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61">
      <w:pPr>
        <w:numPr>
          <w:ilvl w:val="2"/>
          <w:numId w:val="1"/>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62">
      <w:pPr>
        <w:numPr>
          <w:ilvl w:val="2"/>
          <w:numId w:val="1"/>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during the dry season</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