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W2005779387</w:t>
      </w:r>
    </w:p>
    <w:p w:rsidR="00000000" w:rsidDel="00000000" w:rsidP="00000000" w:rsidRDefault="00000000" w:rsidRPr="00000000" w14:paraId="00000002">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pearly nautilus", "abstract": "nautilus macromphalus sowerby </w:t>
      </w:r>
      <w:r w:rsidDel="00000000" w:rsidR="00000000" w:rsidRPr="00000000">
        <w:rPr>
          <w:shd w:fill="f9cb9c" w:val="clear"/>
          <w:rtl w:val="0"/>
        </w:rPr>
        <w:t xml:space="preserve">when freshly caught </w:t>
      </w:r>
      <w:r w:rsidDel="00000000" w:rsidR="00000000" w:rsidRPr="00000000">
        <w:rPr>
          <w:highlight w:val="green"/>
          <w:rtl w:val="0"/>
        </w:rPr>
        <w:t xml:space="preserve">was close to neutral buoyancy</w:t>
      </w:r>
      <w:r w:rsidDel="00000000" w:rsidR="00000000" w:rsidRPr="00000000">
        <w:rPr>
          <w:shd w:fill="f9cb9c" w:val="clear"/>
          <w:rtl w:val="0"/>
        </w:rPr>
        <w:t xml:space="preserve"> having a weight in sea water</w:t>
      </w:r>
      <w:r w:rsidDel="00000000" w:rsidR="00000000" w:rsidRPr="00000000">
        <w:rPr>
          <w:rtl w:val="0"/>
        </w:rPr>
        <w:t xml:space="preserve"> of about 0\u20132% of its weight in air. the animals without their shells varied considerably in density but the volume of the shell was an approximately constant fraction of the total volume of the whole animal and whole animals were brought approximately to the same density by havingmore or less liquid inside the chambers of the shell. about 80 % of the gas space in the shell was used to support the weight of the shell itself in sea water.</w:t>
      </w:r>
      <w:r w:rsidDel="00000000" w:rsidR="00000000" w:rsidRPr="00000000">
        <w:rPr>
          <w:shd w:fill="9fc5e8"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impermeable to sea water but the chalky and horny siphuncular tubes joining the septal necks were very porous. the most newly formed tenor so chambers were the only ones to contain liquids in appreciable volume and theydid this in diminishing amounts from the newest to the oldest. the watery liquids found within the chambers were always hypotonic to sea water and sometimes markedly so; they contained principally sodium and chloride ions. one animal was in the process of forming a new chamber, this incomplete chamber was completely full of liquidwith an osmolarity close to that of sea water but differing in composition from seawater."</w:t>
      </w:r>
    </w:p>
    <w:p w:rsidR="00000000" w:rsidDel="00000000" w:rsidP="00000000" w:rsidRDefault="00000000" w:rsidRPr="00000000" w14:paraId="00000003">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when freshly caught </w:t>
      </w:r>
      <w:r w:rsidDel="00000000" w:rsidR="00000000" w:rsidRPr="00000000">
        <w:rPr>
          <w:highlight w:val="cyan"/>
          <w:rtl w:val="0"/>
        </w:rPr>
        <w:t xml:space="preserve">was close to neutral buoyancy</w:t>
      </w:r>
      <w:r w:rsidDel="00000000" w:rsidR="00000000" w:rsidRPr="00000000">
        <w:rPr>
          <w:shd w:fill="f9cb9c" w:val="clear"/>
          <w:rtl w:val="0"/>
        </w:rPr>
        <w:t xml:space="preserve"> having a weight in sea water</w:t>
      </w:r>
    </w:p>
    <w:p w:rsidR="00000000" w:rsidDel="00000000" w:rsidP="00000000" w:rsidRDefault="00000000" w:rsidRPr="00000000" w14:paraId="00000005">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in an adult animal</w:t>
      </w:r>
      <w:r w:rsidDel="00000000" w:rsidR="00000000" w:rsidRPr="00000000">
        <w:rPr>
          <w:rtl w:val="0"/>
        </w:rPr>
      </w:r>
    </w:p>
    <w:p w:rsidR="00000000" w:rsidDel="00000000" w:rsidP="00000000" w:rsidRDefault="00000000" w:rsidRPr="00000000" w14:paraId="00000006">
      <w:pPr>
        <w:numPr>
          <w:ilvl w:val="2"/>
          <w:numId w:val="1"/>
        </w:numPr>
        <w:ind w:left="2160" w:hanging="360"/>
      </w:pPr>
      <w:r w:rsidDel="00000000" w:rsidR="00000000" w:rsidRPr="00000000">
        <w:rPr>
          <w:u w:val="single"/>
          <w:rtl w:val="0"/>
        </w:rPr>
        <w:t xml:space="preserve">Correct Context: </w:t>
      </w:r>
      <w:r w:rsidDel="00000000" w:rsidR="00000000" w:rsidRPr="00000000">
        <w:rPr>
          <w:highlight w:val="cyan"/>
          <w:rtl w:val="0"/>
        </w:rPr>
        <w:t xml:space="preserve">was close to neutral buoyancy</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1A">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temperate deciduous trees", "abstract": "intracanopy plasticity in tree leaf form is a major determinant of </w:t>
      </w:r>
      <w:r w:rsidDel="00000000" w:rsidR="00000000" w:rsidRPr="00000000">
        <w:rPr>
          <w:highlight w:val="green"/>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a4c2f4" w:val="clear"/>
          <w:rtl w:val="0"/>
        </w:rPr>
        <w:t xml:space="preserve">arboretum-grown trees</w:t>
      </w:r>
      <w:r w:rsidDel="00000000" w:rsidR="00000000" w:rsidRPr="00000000">
        <w:rPr>
          <w:rtl w:val="0"/>
        </w:rPr>
        <w:t xml:space="preserve"> of six temperate deciduous species averaging 13-18 m in height, we quantified intracanopy plasticity for 11 leaf traits </w:t>
      </w:r>
      <w:r w:rsidDel="00000000" w:rsidR="00000000" w:rsidRPr="00000000">
        <w:rPr>
          <w:shd w:fill="f9cb9c" w:val="clear"/>
          <w:rtl w:val="0"/>
        </w:rPr>
        <w:t xml:space="preserve">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optimization or constraints in development, resulting in a bounded plasticity that improves canopy performance."</w:t>
      </w:r>
    </w:p>
    <w:p w:rsidR="00000000" w:rsidDel="00000000" w:rsidP="00000000" w:rsidRDefault="00000000" w:rsidRPr="00000000" w14:paraId="0000001B">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across three canopy locations (basal-interior, basal-exterior, and top)</w:t>
      </w:r>
      <w:r w:rsidDel="00000000" w:rsidR="00000000" w:rsidRPr="00000000">
        <w:rPr>
          <w:rtl w:val="0"/>
        </w:rPr>
      </w:r>
    </w:p>
    <w:p w:rsidR="00000000" w:rsidDel="00000000" w:rsidP="00000000" w:rsidRDefault="00000000" w:rsidRPr="00000000" w14:paraId="0000001D">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arboratoreum-grown trees</w:t>
      </w:r>
      <w:r w:rsidDel="00000000" w:rsidR="00000000" w:rsidRPr="00000000">
        <w:rPr>
          <w:rtl w:val="0"/>
        </w:rPr>
      </w:r>
    </w:p>
    <w:p w:rsidR="00000000" w:rsidDel="00000000" w:rsidP="00000000" w:rsidRDefault="00000000" w:rsidRPr="00000000" w14:paraId="0000001E">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01F">
      <w:pPr>
        <w:ind w:left="2160" w:firstLine="0"/>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u w:val="single"/>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u w:val="single"/>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u w:val="single"/>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02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large stem volume and high water content in baobab trees (Adansonia spp.; Bombacaceae)", "abstract": "the stems of large trees serve in transport, storage, and support; however, the degree to which these roles are reflected in their morphology is not always apparent. the</w:t>
      </w:r>
      <w:r w:rsidDel="00000000" w:rsidR="00000000" w:rsidRPr="00000000">
        <w:rPr>
          <w:rtl w:val="0"/>
        </w:rPr>
        <w:t xml:space="preserve"> large, water-filled stems of baobab trees</w:t>
      </w:r>
      <w:r w:rsidDel="00000000" w:rsidR="00000000" w:rsidRPr="00000000">
        <w:rPr>
          <w:rtl w:val="0"/>
        </w:rPr>
        <w:t xml:space="preserve"> (adansonia spp.) are generally assumed to serve a </w:t>
      </w:r>
      <w:r w:rsidDel="00000000" w:rsidR="00000000" w:rsidRPr="00000000">
        <w:rPr>
          <w:shd w:fill="a4c2f4" w:val="clear"/>
          <w:rtl w:val="0"/>
        </w:rPr>
        <w:t xml:space="preserve">water storage</w:t>
      </w:r>
      <w:r w:rsidDel="00000000" w:rsidR="00000000" w:rsidRPr="00000000">
        <w:rPr>
          <w:rtl w:val="0"/>
        </w:rPr>
        <w:t xml:space="preserve"> function, yet recent studies indicate limited use of stored water. through an analysis of wood structure and composition, we examined whether baobab morphology reflects </w:t>
      </w:r>
      <w:r w:rsidDel="00000000" w:rsidR="00000000" w:rsidRPr="00000000">
        <w:rPr>
          <w:highlight w:val="green"/>
          <w:rtl w:val="0"/>
        </w:rPr>
        <w:t xml:space="preserve">biomechanical constraints rather than water storage capacity</w:t>
      </w:r>
      <w:r w:rsidDel="00000000" w:rsidR="00000000" w:rsidRPr="00000000">
        <w:rPr>
          <w:shd w:fill="f9cb9c" w:val="clear"/>
          <w:rtl w:val="0"/>
        </w:rPr>
        <w:t xml:space="preserve"> in the six madagascar baobab species</w:t>
      </w:r>
      <w:r w:rsidDel="00000000" w:rsidR="00000000" w:rsidRPr="00000000">
        <w:rPr>
          <w:rtl w:val="0"/>
        </w:rPr>
        <w:t xml:space="preserve">. baobab wood has a high water content (up to 79%), low wood density (0.09-0.17 g \u00b7 cm(-3)), high parenchyma content (69-88%), and living cells beyond 35 cm into the xylem from the cambium.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highlight w:val="green"/>
          <w:rtl w:val="0"/>
        </w:rPr>
        <w:t xml:space="preserve">mechanical stability</w:t>
      </w:r>
      <w:r w:rsidDel="00000000" w:rsidR="00000000" w:rsidRPr="00000000">
        <w:rPr>
          <w:rtl w:val="0"/>
        </w:rPr>
        <w:t xml:space="preserve">."</w:t>
      </w:r>
    </w:p>
    <w:p w:rsidR="00000000" w:rsidDel="00000000" w:rsidP="00000000" w:rsidRDefault="00000000" w:rsidRPr="00000000" w14:paraId="0000002E">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2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shd w:fill="f9cb9c" w:val="clear"/>
          <w:rtl w:val="0"/>
        </w:rPr>
        <w:t xml:space="preserve"> in the six madagascar baobab species</w:t>
      </w:r>
    </w:p>
    <w:p w:rsidR="00000000" w:rsidDel="00000000" w:rsidP="00000000" w:rsidRDefault="00000000" w:rsidRPr="00000000" w14:paraId="00000030">
      <w:pPr>
        <w:numPr>
          <w:ilvl w:val="2"/>
          <w:numId w:val="1"/>
        </w:numPr>
        <w:ind w:left="2160" w:hanging="360"/>
      </w:pPr>
      <w:r w:rsidDel="00000000" w:rsidR="00000000" w:rsidRPr="00000000">
        <w:rPr>
          <w:u w:val="single"/>
          <w:rtl w:val="0"/>
        </w:rPr>
        <w:t xml:space="preserve">Baseline Context:</w:t>
      </w:r>
      <w:r w:rsidDel="00000000" w:rsidR="00000000" w:rsidRPr="00000000">
        <w:rPr>
          <w:shd w:fill="a4c2f4" w:val="clear"/>
          <w:rtl w:val="0"/>
        </w:rPr>
        <w:t xml:space="preserve"> water storage</w:t>
      </w:r>
    </w:p>
    <w:p w:rsidR="00000000" w:rsidDel="00000000" w:rsidP="00000000" w:rsidRDefault="00000000" w:rsidRPr="00000000" w14:paraId="00000031">
      <w:pPr>
        <w:numPr>
          <w:ilvl w:val="2"/>
          <w:numId w:val="1"/>
        </w:numPr>
        <w:ind w:left="2160" w:hanging="360"/>
      </w:pPr>
      <w:r w:rsidDel="00000000" w:rsidR="00000000" w:rsidRPr="00000000">
        <w:rPr>
          <w:u w:val="single"/>
          <w:rtl w:val="0"/>
        </w:rPr>
        <w:t xml:space="preserve">Correct Context:</w:t>
      </w:r>
      <w:r w:rsidDel="00000000" w:rsidR="00000000" w:rsidRPr="00000000">
        <w:rPr>
          <w:highlight w:val="green"/>
          <w:rtl w:val="0"/>
        </w:rPr>
        <w:t xml:space="preserve">biomechanical constraints rather than water storage capacity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046">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Bromeliaceae", "abstract": "</w:t>
      </w:r>
      <w:r w:rsidDel="00000000" w:rsidR="00000000" w:rsidRPr="00000000">
        <w:rPr>
          <w:shd w:fill="f9cb9c" w:val="clear"/>
          <w:rtl w:val="0"/>
        </w:rPr>
        <w:t xml:space="preserve">the distinctive foliar trichome of bromeliaceae has promoted the evolution of an epiphytic habit in certain taxa by allowing the shoot to assume a significant role in the uptake of water and mineral nutrients.</w:t>
      </w:r>
      <w:r w:rsidDel="00000000" w:rsidR="00000000" w:rsidRPr="00000000">
        <w:rPr>
          <w:rtl w:val="0"/>
        </w:rPr>
        <w:t xml:space="preserve">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 water repellency in some terrestrial bromeliaceae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a4c2f4" w:val="clear"/>
          <w:rtl w:val="0"/>
        </w:rPr>
        <w:t xml:space="preserve">majority of cases</w:t>
      </w:r>
      <w:r w:rsidDel="00000000" w:rsidR="00000000" w:rsidRPr="00000000">
        <w:rPr>
          <w:rtl w:val="0"/>
        </w:rPr>
        <w:t xml:space="preserve"> a dense layer of overlapping, stellate or peltate trichomes held water off the leaf epidermis proper. in the case of hydrophobic tank-forming tillandsioideae, a powdery epicuticular wax layer provided water repellency. the irregular architecture of these indumenta resulted in relatively little contact with water droplets. most mesic terrestrial pitcairnioideae examined either possessed glabrous leaf blades or hydrophobic layers of confluent trichomes on the abaxial surface. thus,</w:t>
      </w:r>
      <w:r w:rsidDel="00000000" w:rsidR="00000000" w:rsidRPr="00000000">
        <w:rPr>
          <w:shd w:fill="f9cb9c" w:val="clear"/>
          <w:rtl w:val="0"/>
        </w:rPr>
        <w:t xml:space="preserve"> the present study </w:t>
      </w:r>
      <w:r w:rsidDel="00000000" w:rsidR="00000000" w:rsidRPr="00000000">
        <w:rPr>
          <w:rtl w:val="0"/>
        </w:rPr>
        <w:t xml:space="preserve">indicates that </w:t>
      </w:r>
      <w:r w:rsidDel="00000000" w:rsidR="00000000" w:rsidRPr="00000000">
        <w:rPr>
          <w:highlight w:val="green"/>
          <w:rtl w:val="0"/>
        </w:rPr>
        <w:t xml:space="preserve">an important ancestral function</w:t>
      </w:r>
      <w:r w:rsidDel="00000000" w:rsidR="00000000" w:rsidRPr="00000000">
        <w:rPr>
          <w:rtl w:val="0"/>
        </w:rPr>
        <w:t xml:space="preserve"> of the foliar trichome in bromeliaceae was water repellency. the ecophysiological consequences of hydrophobia are discussed."</w:t>
      </w:r>
    </w:p>
    <w:p w:rsidR="00000000" w:rsidDel="00000000" w:rsidP="00000000" w:rsidRDefault="00000000" w:rsidRPr="00000000" w14:paraId="00000047">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the distinctive foliar trichome of bromeliaceae has promoted the evolution of an epiphytic habit in certain taxa by allowing the shoot to assume a significant role in the uptake of water and mineral nutrients.</w:t>
      </w:r>
    </w:p>
    <w:p w:rsidR="00000000" w:rsidDel="00000000" w:rsidP="00000000" w:rsidRDefault="00000000" w:rsidRPr="00000000" w14:paraId="00000049">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shd w:fill="a4c2f4" w:val="clear"/>
          <w:rtl w:val="0"/>
        </w:rPr>
        <w:t xml:space="preserve">majority of cases</w:t>
      </w:r>
      <w:r w:rsidDel="00000000" w:rsidR="00000000" w:rsidRPr="00000000">
        <w:rPr>
          <w:rtl w:val="0"/>
        </w:rPr>
      </w:r>
    </w:p>
    <w:p w:rsidR="00000000" w:rsidDel="00000000" w:rsidP="00000000" w:rsidRDefault="00000000" w:rsidRPr="00000000" w14:paraId="0000004A">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an important ancestral function</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05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tropical montane and pre-montane cloud forests. we then studied the consequences of leaf wetting for the direct uptake of water accumulated on leaf surfaces into the leaves themselves. during the dry season, the montane forest experienced higher precipitation, cloud cover and leaf wetting events of longer duration than the pre-montane forest. leaf wetting events resulted in foliar water uptake in all species studied. the capacity for foliar water uptake differed significantly between the montane and pre-montane forest plant communities, as well as among species within a forest. our results indicate that foliar water uptake is common in these forest plants and improves plant water status </w:t>
      </w:r>
      <w:r w:rsidDel="00000000" w:rsidR="00000000" w:rsidRPr="00000000">
        <w:rPr>
          <w:highlight w:val="green"/>
          <w:rtl w:val="0"/>
        </w:rPr>
        <w:t xml:space="preserve">during the dry season</w:t>
      </w:r>
      <w:r w:rsidDel="00000000" w:rsidR="00000000" w:rsidRPr="00000000">
        <w:rPr>
          <w:rtl w:val="0"/>
        </w:rPr>
        <w:t xml:space="preserve">."</w:t>
      </w:r>
    </w:p>
    <w:p w:rsidR="00000000" w:rsidDel="00000000" w:rsidP="00000000" w:rsidRDefault="00000000" w:rsidRPr="00000000" w14:paraId="00000059">
      <w:pPr>
        <w:numPr>
          <w:ilvl w:val="1"/>
          <w:numId w:val="1"/>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5B">
      <w:pPr>
        <w:numPr>
          <w:ilvl w:val="2"/>
          <w:numId w:val="1"/>
        </w:numPr>
        <w:ind w:left="2160" w:hanging="360"/>
      </w:pPr>
      <w:r w:rsidDel="00000000" w:rsidR="00000000" w:rsidRPr="00000000">
        <w:rPr>
          <w:u w:val="single"/>
          <w:rtl w:val="0"/>
        </w:rPr>
        <w:t xml:space="preserve">Baseline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5C">
      <w:pPr>
        <w:numPr>
          <w:ilvl w:val="2"/>
          <w:numId w:val="1"/>
        </w:numPr>
        <w:ind w:left="2160" w:hanging="360"/>
      </w:pPr>
      <w:r w:rsidDel="00000000" w:rsidR="00000000" w:rsidRPr="00000000">
        <w:rPr>
          <w:u w:val="single"/>
          <w:rtl w:val="0"/>
        </w:rPr>
        <w:t xml:space="preserve">Correct Context:</w:t>
      </w:r>
      <w:r w:rsidDel="00000000" w:rsidR="00000000" w:rsidRPr="00000000">
        <w:rPr>
          <w:rtl w:val="0"/>
        </w:rPr>
        <w:t xml:space="preserve">  </w:t>
      </w:r>
      <w:r w:rsidDel="00000000" w:rsidR="00000000" w:rsidRPr="00000000">
        <w:rPr>
          <w:highlight w:val="green"/>
          <w:rtl w:val="0"/>
        </w:rPr>
        <w:t xml:space="preserve">during the dry season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