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3">
      <w:pPr>
        <w:rPr/>
      </w:pPr>
      <w:r w:rsidDel="00000000" w:rsidR="00000000" w:rsidRPr="00000000">
        <w:rPr>
          <w:rtl w:val="0"/>
        </w:rPr>
        <w:t xml:space="preserve">Here we seek to improve the performance of GPT-3 extracting context by using 2-shot learning. But, each output from the examples starts with prepositions; we hoped that GPT-3 would recognize this pattern in the input text.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b w:val="1"/>
          <w:u w:val="single"/>
          <w:rtl w:val="0"/>
        </w:rPr>
        <w:t xml:space="preserve">Structure of Prompt </w:t>
      </w:r>
    </w:p>
    <w:p w:rsidR="00000000" w:rsidDel="00000000" w:rsidP="00000000" w:rsidRDefault="00000000" w:rsidRPr="00000000" w14:paraId="00000006">
      <w:pPr>
        <w:numPr>
          <w:ilvl w:val="0"/>
          <w:numId w:val="4"/>
        </w:numPr>
        <w:ind w:left="720" w:hanging="360"/>
      </w:pPr>
      <w:r w:rsidDel="00000000" w:rsidR="00000000" w:rsidRPr="00000000">
        <w:rPr>
          <w:rtl w:val="0"/>
        </w:rPr>
        <w:t xml:space="preserve">Directions</w:t>
      </w:r>
    </w:p>
    <w:p w:rsidR="00000000" w:rsidDel="00000000" w:rsidP="00000000" w:rsidRDefault="00000000" w:rsidRPr="00000000" w14:paraId="00000007">
      <w:pPr>
        <w:numPr>
          <w:ilvl w:val="1"/>
          <w:numId w:val="4"/>
        </w:numPr>
        <w:ind w:left="1440" w:hanging="360"/>
      </w:pPr>
      <w:r w:rsidDel="00000000" w:rsidR="00000000" w:rsidRPr="00000000">
        <w:rPr>
          <w:rtl w:val="0"/>
        </w:rPr>
        <w:t xml:space="preserve">Directions</w:t>
      </w:r>
    </w:p>
    <w:p w:rsidR="00000000" w:rsidDel="00000000" w:rsidP="00000000" w:rsidRDefault="00000000" w:rsidRPr="00000000" w14:paraId="00000008">
      <w:pPr>
        <w:numPr>
          <w:ilvl w:val="2"/>
          <w:numId w:val="4"/>
        </w:numPr>
        <w:ind w:left="2160" w:hanging="360"/>
      </w:pPr>
      <w:r w:rsidDel="00000000" w:rsidR="00000000" w:rsidRPr="00000000">
        <w:rPr>
          <w:rtl w:val="0"/>
        </w:rPr>
        <w:t xml:space="preserve">Definition of Context</w:t>
      </w:r>
    </w:p>
    <w:p w:rsidR="00000000" w:rsidDel="00000000" w:rsidP="00000000" w:rsidRDefault="00000000" w:rsidRPr="00000000" w14:paraId="00000009">
      <w:pPr>
        <w:numPr>
          <w:ilvl w:val="1"/>
          <w:numId w:val="4"/>
        </w:numPr>
        <w:ind w:left="1440" w:hanging="360"/>
      </w:pPr>
      <w:r w:rsidDel="00000000" w:rsidR="00000000" w:rsidRPr="00000000">
        <w:rPr>
          <w:rtl w:val="0"/>
        </w:rPr>
        <w:t xml:space="preserve">Two-Shot Sample</w:t>
      </w:r>
    </w:p>
    <w:p w:rsidR="00000000" w:rsidDel="00000000" w:rsidP="00000000" w:rsidRDefault="00000000" w:rsidRPr="00000000" w14:paraId="0000000A">
      <w:pPr>
        <w:numPr>
          <w:ilvl w:val="2"/>
          <w:numId w:val="4"/>
        </w:numPr>
        <w:ind w:left="2160" w:hanging="360"/>
      </w:pPr>
      <w:r w:rsidDel="00000000" w:rsidR="00000000" w:rsidRPr="00000000">
        <w:rPr>
          <w:rFonts w:ascii="Arial Unicode MS" w:cs="Arial Unicode MS" w:eastAsia="Arial Unicode MS" w:hAnsi="Arial Unicode MS"/>
          <w:rtl w:val="0"/>
        </w:rPr>
        <w:t xml:space="preserve">Sample “Text” → Tungara Frog …, Tungara Frog …</w:t>
      </w:r>
    </w:p>
    <w:p w:rsidR="00000000" w:rsidDel="00000000" w:rsidP="00000000" w:rsidRDefault="00000000" w:rsidRPr="00000000" w14:paraId="0000000B">
      <w:pPr>
        <w:numPr>
          <w:ilvl w:val="2"/>
          <w:numId w:val="4"/>
        </w:numPr>
        <w:ind w:left="2160" w:hanging="360"/>
      </w:pPr>
      <w:r w:rsidDel="00000000" w:rsidR="00000000" w:rsidRPr="00000000">
        <w:rPr>
          <w:rtl w:val="0"/>
        </w:rPr>
        <w:t xml:space="preserve">Sample output</w:t>
      </w:r>
    </w:p>
    <w:p w:rsidR="00000000" w:rsidDel="00000000" w:rsidP="00000000" w:rsidRDefault="00000000" w:rsidRPr="00000000" w14:paraId="0000000C">
      <w:pPr>
        <w:numPr>
          <w:ilvl w:val="1"/>
          <w:numId w:val="4"/>
        </w:numPr>
        <w:ind w:left="1440" w:hanging="360"/>
      </w:pPr>
      <w:r w:rsidDel="00000000" w:rsidR="00000000" w:rsidRPr="00000000">
        <w:rPr>
          <w:rtl w:val="0"/>
        </w:rPr>
        <w:t xml:space="preserve">Input</w:t>
      </w:r>
    </w:p>
    <w:p w:rsidR="00000000" w:rsidDel="00000000" w:rsidP="00000000" w:rsidRDefault="00000000" w:rsidRPr="00000000" w14:paraId="0000000D">
      <w:pPr>
        <w:numPr>
          <w:ilvl w:val="2"/>
          <w:numId w:val="4"/>
        </w:numPr>
        <w:ind w:left="2160" w:hanging="360"/>
      </w:pPr>
      <w:r w:rsidDel="00000000" w:rsidR="00000000" w:rsidRPr="00000000">
        <w:rPr>
          <w:rFonts w:ascii="Arial Unicode MS" w:cs="Arial Unicode MS" w:eastAsia="Arial Unicode MS" w:hAnsi="Arial Unicode MS"/>
          <w:rtl w:val="0"/>
        </w:rPr>
        <w:t xml:space="preserve">Input “Text” → {}</w:t>
      </w:r>
    </w:p>
    <w:p w:rsidR="00000000" w:rsidDel="00000000" w:rsidP="00000000" w:rsidRDefault="00000000" w:rsidRPr="00000000" w14:paraId="0000000E">
      <w:pPr>
        <w:numPr>
          <w:ilvl w:val="2"/>
          <w:numId w:val="4"/>
        </w:numPr>
        <w:ind w:left="2160" w:hanging="360"/>
      </w:pPr>
      <w:r w:rsidDel="00000000" w:rsidR="00000000" w:rsidRPr="00000000">
        <w:rPr>
          <w:rFonts w:ascii="Arial Unicode MS" w:cs="Arial Unicode MS" w:eastAsia="Arial Unicode MS" w:hAnsi="Arial Unicode MS"/>
          <w:rtl w:val="0"/>
        </w:rPr>
        <w:t xml:space="preserve">Output → “Context:”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u w:val="single"/>
        </w:rPr>
      </w:pPr>
      <w:r w:rsidDel="00000000" w:rsidR="00000000" w:rsidRPr="00000000">
        <w:rPr>
          <w:b w:val="1"/>
          <w:u w:val="single"/>
          <w:rtl w:val="0"/>
        </w:rPr>
        <w:t xml:space="preserve">Prompt </w:t>
      </w:r>
    </w:p>
    <w:p w:rsidR="00000000" w:rsidDel="00000000" w:rsidP="00000000" w:rsidRDefault="00000000" w:rsidRPr="00000000" w14:paraId="00000011">
      <w:pPr>
        <w:rPr/>
      </w:pPr>
      <w:r w:rsidDel="00000000" w:rsidR="00000000" w:rsidRPr="00000000">
        <w:rPr>
          <w:rtl w:val="0"/>
        </w:rPr>
        <w:t xml:space="preserve">Refer to prompt 3 in the “Context_prompt_list” file in this directory. This is a 2-shot prompt, where the context starts with a preposition, like “in” or “while”.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u w:val="single"/>
        </w:rPr>
      </w:pPr>
      <w:r w:rsidDel="00000000" w:rsidR="00000000" w:rsidRPr="00000000">
        <w:rPr>
          <w:b w:val="1"/>
          <w:u w:val="single"/>
          <w:rtl w:val="0"/>
        </w:rPr>
        <w:t xml:space="preserve">Structure of Content</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Each entry has a</w:t>
      </w:r>
    </w:p>
    <w:p w:rsidR="00000000" w:rsidDel="00000000" w:rsidP="00000000" w:rsidRDefault="00000000" w:rsidRPr="00000000" w14:paraId="00000015">
      <w:pPr>
        <w:numPr>
          <w:ilvl w:val="1"/>
          <w:numId w:val="2"/>
        </w:numPr>
        <w:ind w:left="1440" w:hanging="360"/>
      </w:pPr>
      <w:r w:rsidDel="00000000" w:rsidR="00000000" w:rsidRPr="00000000">
        <w:rPr>
          <w:rtl w:val="0"/>
        </w:rPr>
        <w:t xml:space="preserve">Paper Id</w:t>
      </w:r>
    </w:p>
    <w:p w:rsidR="00000000" w:rsidDel="00000000" w:rsidP="00000000" w:rsidRDefault="00000000" w:rsidRPr="00000000" w14:paraId="00000016">
      <w:pPr>
        <w:numPr>
          <w:ilvl w:val="1"/>
          <w:numId w:val="2"/>
        </w:numPr>
        <w:ind w:left="1440" w:hanging="360"/>
      </w:pPr>
      <w:r w:rsidDel="00000000" w:rsidR="00000000" w:rsidRPr="00000000">
        <w:rPr>
          <w:rtl w:val="0"/>
        </w:rPr>
        <w:t xml:space="preserve">Summary generated from GPT-3 Da Vinci consisting of</w:t>
      </w:r>
    </w:p>
    <w:p w:rsidR="00000000" w:rsidDel="00000000" w:rsidP="00000000" w:rsidRDefault="00000000" w:rsidRPr="00000000" w14:paraId="00000017">
      <w:pPr>
        <w:numPr>
          <w:ilvl w:val="2"/>
          <w:numId w:val="2"/>
        </w:numPr>
        <w:ind w:left="2160" w:hanging="360"/>
      </w:pPr>
      <w:r w:rsidDel="00000000" w:rsidR="00000000" w:rsidRPr="00000000">
        <w:rPr>
          <w:rtl w:val="0"/>
        </w:rPr>
        <w:t xml:space="preserve">Biological Strategy</w:t>
      </w:r>
    </w:p>
    <w:p w:rsidR="00000000" w:rsidDel="00000000" w:rsidP="00000000" w:rsidRDefault="00000000" w:rsidRPr="00000000" w14:paraId="00000018">
      <w:pPr>
        <w:numPr>
          <w:ilvl w:val="2"/>
          <w:numId w:val="2"/>
        </w:numPr>
        <w:ind w:left="2160" w:hanging="360"/>
      </w:pPr>
      <w:r w:rsidDel="00000000" w:rsidR="00000000" w:rsidRPr="00000000">
        <w:rPr>
          <w:rtl w:val="0"/>
        </w:rPr>
        <w:t xml:space="preserve">Organism </w:t>
      </w:r>
    </w:p>
    <w:p w:rsidR="00000000" w:rsidDel="00000000" w:rsidP="00000000" w:rsidRDefault="00000000" w:rsidRPr="00000000" w14:paraId="00000019">
      <w:pPr>
        <w:numPr>
          <w:ilvl w:val="2"/>
          <w:numId w:val="2"/>
        </w:numPr>
        <w:ind w:left="2160" w:hanging="360"/>
      </w:pPr>
      <w:r w:rsidDel="00000000" w:rsidR="00000000" w:rsidRPr="00000000">
        <w:rPr>
          <w:rtl w:val="0"/>
        </w:rPr>
        <w:t xml:space="preserve">Part of </w:t>
      </w:r>
    </w:p>
    <w:p w:rsidR="00000000" w:rsidDel="00000000" w:rsidP="00000000" w:rsidRDefault="00000000" w:rsidRPr="00000000" w14:paraId="0000001A">
      <w:pPr>
        <w:numPr>
          <w:ilvl w:val="2"/>
          <w:numId w:val="2"/>
        </w:numPr>
        <w:ind w:left="2160" w:hanging="360"/>
      </w:pPr>
      <w:r w:rsidDel="00000000" w:rsidR="00000000" w:rsidRPr="00000000">
        <w:rPr>
          <w:rtl w:val="0"/>
        </w:rPr>
        <w:t xml:space="preserve">Function</w:t>
      </w:r>
    </w:p>
    <w:p w:rsidR="00000000" w:rsidDel="00000000" w:rsidP="00000000" w:rsidRDefault="00000000" w:rsidRPr="00000000" w14:paraId="0000001B">
      <w:pPr>
        <w:numPr>
          <w:ilvl w:val="2"/>
          <w:numId w:val="2"/>
        </w:numPr>
        <w:ind w:left="2160" w:hanging="360"/>
      </w:pPr>
      <w:r w:rsidDel="00000000" w:rsidR="00000000" w:rsidRPr="00000000">
        <w:rPr>
          <w:rtl w:val="0"/>
        </w:rPr>
        <w:t xml:space="preserve">Mechanisms</w:t>
      </w:r>
    </w:p>
    <w:p w:rsidR="00000000" w:rsidDel="00000000" w:rsidP="00000000" w:rsidRDefault="00000000" w:rsidRPr="00000000" w14:paraId="0000001C">
      <w:pPr>
        <w:numPr>
          <w:ilvl w:val="2"/>
          <w:numId w:val="2"/>
        </w:numPr>
        <w:ind w:left="2160" w:hanging="360"/>
      </w:pPr>
      <w:r w:rsidDel="00000000" w:rsidR="00000000" w:rsidRPr="00000000">
        <w:rPr>
          <w:rtl w:val="0"/>
        </w:rPr>
        <w:t xml:space="preserve">Context</w:t>
      </w:r>
    </w:p>
    <w:p w:rsidR="00000000" w:rsidDel="00000000" w:rsidP="00000000" w:rsidRDefault="00000000" w:rsidRPr="00000000" w14:paraId="0000001D">
      <w:pPr>
        <w:numPr>
          <w:ilvl w:val="1"/>
          <w:numId w:val="2"/>
        </w:numPr>
        <w:ind w:left="1440" w:hanging="360"/>
      </w:pPr>
      <w:r w:rsidDel="00000000" w:rsidR="00000000" w:rsidRPr="00000000">
        <w:rPr>
          <w:rtl w:val="0"/>
        </w:rPr>
        <w:t xml:space="preserve">My notes and analysis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u w:val="single"/>
          <w:rtl w:val="0"/>
        </w:rPr>
        <w:t xml:space="preserve">Content</w:t>
      </w:r>
      <w:r w:rsidDel="00000000" w:rsidR="00000000" w:rsidRPr="00000000">
        <w:rPr>
          <w:rtl w:val="0"/>
        </w:rPr>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W2005779387</w:t>
      </w:r>
    </w:p>
    <w:p w:rsidR="00000000" w:rsidDel="00000000" w:rsidP="00000000" w:rsidRDefault="00000000" w:rsidRPr="00000000" w14:paraId="00000021">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 "title": "On the buoyancy of the pearly nautilus", "abstract": "nautilus macromphalus sowerby </w:t>
      </w:r>
      <w:r w:rsidDel="00000000" w:rsidR="00000000" w:rsidRPr="00000000">
        <w:rPr>
          <w:shd w:fill="f9cb9c" w:val="clear"/>
          <w:rtl w:val="0"/>
        </w:rPr>
        <w:t xml:space="preserve">when freshly caught </w:t>
      </w:r>
      <w:r w:rsidDel="00000000" w:rsidR="00000000" w:rsidRPr="00000000">
        <w:rPr>
          <w:highlight w:val="green"/>
          <w:rtl w:val="0"/>
        </w:rPr>
        <w:t xml:space="preserve">was close to neutral buoyancy</w:t>
      </w:r>
      <w:r w:rsidDel="00000000" w:rsidR="00000000" w:rsidRPr="00000000">
        <w:rPr>
          <w:shd w:fill="f9cb9c" w:val="clear"/>
          <w:rtl w:val="0"/>
        </w:rPr>
        <w:t xml:space="preserve"> having a weight in sea water</w:t>
      </w:r>
      <w:r w:rsidDel="00000000" w:rsidR="00000000" w:rsidRPr="00000000">
        <w:rPr>
          <w:rtl w:val="0"/>
        </w:rPr>
        <w:t xml:space="preserve"> of about 0\u20132% of its weight in air. the animals without their shells varied considerably in density but the volume of the shell was an approximately constant fraction of the total volume of the whole animal and whole animals were brought approximately to the same density by havingmore or less liquid inside the chambers of the shell. about 80 % of the gas space in the shell was used to support the weight of the shell itself in sea water.</w:t>
      </w:r>
      <w:r w:rsidDel="00000000" w:rsidR="00000000" w:rsidRPr="00000000">
        <w:rPr>
          <w:shd w:fill="9fc5e8" w:val="clear"/>
          <w:rtl w:val="0"/>
        </w:rPr>
        <w:t xml:space="preserve">in an adult animal</w:t>
      </w:r>
      <w:r w:rsidDel="00000000" w:rsidR="00000000" w:rsidRPr="00000000">
        <w:rPr>
          <w:rtl w:val="0"/>
        </w:rPr>
        <w:t xml:space="preserve"> the centre of buoyancy was found to be about 6 mm above the centre of gravity, which made the animal very stable in its natural swimming position, a couple of about 350 g. cm being required to turn it through 90\u00b0. the pearly partsof the chamber walls were impermeable to sea water but the chalky and horny siphuncular tubes joining the septal necks were very porous. the most newly formed tenor so chambers were the only ones to contain liquids in appreciable volume and theydid this in diminishing amounts from the newest to the oldest. the watery liquids found within the chambers were always hypotonic to sea water and sometimes markedly so; they contained principally sodium and chloride ions. one animal was in the process of forming a new chamber, this incomplete chamber was completely full of liquidwith an osmolarity close to that of sea water but differing in composition from seawater."</w:t>
      </w:r>
    </w:p>
    <w:p w:rsidR="00000000" w:rsidDel="00000000" w:rsidP="00000000" w:rsidRDefault="00000000" w:rsidRPr="00000000" w14:paraId="00000022">
      <w:pPr>
        <w:numPr>
          <w:ilvl w:val="1"/>
          <w:numId w:val="3"/>
        </w:numPr>
        <w:ind w:left="1440" w:hanging="360"/>
      </w:pPr>
      <w:r w:rsidDel="00000000" w:rsidR="00000000" w:rsidRPr="00000000">
        <w:rPr>
          <w:u w:val="single"/>
          <w:rtl w:val="0"/>
        </w:rPr>
        <w:t xml:space="preserve">Output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3">
      <w:pPr>
        <w:numPr>
          <w:ilvl w:val="2"/>
          <w:numId w:val="3"/>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f9cb9c" w:val="clear"/>
          <w:rtl w:val="0"/>
        </w:rPr>
        <w:t xml:space="preserve">when freshly caught </w:t>
      </w:r>
      <w:r w:rsidDel="00000000" w:rsidR="00000000" w:rsidRPr="00000000">
        <w:rPr>
          <w:highlight w:val="cyan"/>
          <w:rtl w:val="0"/>
        </w:rPr>
        <w:t xml:space="preserve">was close to neutral buoyancy</w:t>
      </w:r>
      <w:r w:rsidDel="00000000" w:rsidR="00000000" w:rsidRPr="00000000">
        <w:rPr>
          <w:shd w:fill="f9cb9c" w:val="clear"/>
          <w:rtl w:val="0"/>
        </w:rPr>
        <w:t xml:space="preserve"> having a weight in sea water</w:t>
      </w:r>
    </w:p>
    <w:p w:rsidR="00000000" w:rsidDel="00000000" w:rsidP="00000000" w:rsidRDefault="00000000" w:rsidRPr="00000000" w14:paraId="00000024">
      <w:pPr>
        <w:numPr>
          <w:ilvl w:val="2"/>
          <w:numId w:val="3"/>
        </w:numPr>
        <w:ind w:left="2160" w:hanging="360"/>
      </w:pPr>
      <w:r w:rsidDel="00000000" w:rsidR="00000000" w:rsidRPr="00000000">
        <w:rPr>
          <w:u w:val="single"/>
          <w:rtl w:val="0"/>
        </w:rPr>
        <w:t xml:space="preserve">Baseline Context:</w:t>
      </w:r>
      <w:r w:rsidDel="00000000" w:rsidR="00000000" w:rsidRPr="00000000">
        <w:rPr>
          <w:rtl w:val="0"/>
        </w:rPr>
        <w:t xml:space="preserve"> </w:t>
      </w:r>
      <w:r w:rsidDel="00000000" w:rsidR="00000000" w:rsidRPr="00000000">
        <w:rPr>
          <w:shd w:fill="a4c2f4" w:val="clear"/>
          <w:rtl w:val="0"/>
        </w:rPr>
        <w:t xml:space="preserve">in an adult animal</w:t>
      </w:r>
      <w:r w:rsidDel="00000000" w:rsidR="00000000" w:rsidRPr="00000000">
        <w:rPr>
          <w:rtl w:val="0"/>
        </w:rPr>
      </w:r>
    </w:p>
    <w:p w:rsidR="00000000" w:rsidDel="00000000" w:rsidP="00000000" w:rsidRDefault="00000000" w:rsidRPr="00000000" w14:paraId="00000025">
      <w:pPr>
        <w:numPr>
          <w:ilvl w:val="2"/>
          <w:numId w:val="3"/>
        </w:numPr>
        <w:ind w:left="2160" w:hanging="360"/>
      </w:pPr>
      <w:r w:rsidDel="00000000" w:rsidR="00000000" w:rsidRPr="00000000">
        <w:rPr>
          <w:u w:val="single"/>
          <w:rtl w:val="0"/>
        </w:rPr>
        <w:t xml:space="preserve">Correct Context: </w:t>
      </w:r>
      <w:r w:rsidDel="00000000" w:rsidR="00000000" w:rsidRPr="00000000">
        <w:rPr>
          <w:highlight w:val="cyan"/>
          <w:rtl w:val="0"/>
        </w:rPr>
        <w:t xml:space="preserve">was close to neutral buoyancy</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3"/>
        </w:numPr>
        <w:ind w:left="720" w:hanging="360"/>
      </w:pPr>
      <w:r w:rsidDel="00000000" w:rsidR="00000000" w:rsidRPr="00000000">
        <w:rPr>
          <w:rtl w:val="0"/>
        </w:rPr>
        <w:t xml:space="preserve">W2152749757</w:t>
      </w:r>
    </w:p>
    <w:p w:rsidR="00000000" w:rsidDel="00000000" w:rsidP="00000000" w:rsidRDefault="00000000" w:rsidRPr="00000000" w14:paraId="00000029">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 “title": "How strong is intracanopy leaf plasticity in temperate deciduous trees", "abstract": "intracanopy plasticity in tree leaf form is a major determinant of </w:t>
      </w:r>
      <w:r w:rsidDel="00000000" w:rsidR="00000000" w:rsidRPr="00000000">
        <w:rPr>
          <w:highlight w:val="green"/>
          <w:rtl w:val="0"/>
        </w:rPr>
        <w:t xml:space="preserve">whole-plant function and potentially of forest understory ecology</w:t>
      </w:r>
      <w:r w:rsidDel="00000000" w:rsidR="00000000" w:rsidRPr="00000000">
        <w:rPr>
          <w:rtl w:val="0"/>
        </w:rPr>
        <w:t xml:space="preserve">. however, there exists little systematic information for the full extent of intracanopy plasticity, whether it is linked with height and exposure, or its variation across species. for </w:t>
      </w:r>
      <w:r w:rsidDel="00000000" w:rsidR="00000000" w:rsidRPr="00000000">
        <w:rPr>
          <w:shd w:fill="a4c2f4" w:val="clear"/>
          <w:rtl w:val="0"/>
        </w:rPr>
        <w:t xml:space="preserve">arboretum-grown trees</w:t>
      </w:r>
      <w:r w:rsidDel="00000000" w:rsidR="00000000" w:rsidRPr="00000000">
        <w:rPr>
          <w:rtl w:val="0"/>
        </w:rPr>
        <w:t xml:space="preserve"> of six temperate deciduous species averaging 13-18 m in height, we quantified intracanopy plasticity for 11 leaf traits </w:t>
      </w:r>
      <w:r w:rsidDel="00000000" w:rsidR="00000000" w:rsidRPr="00000000">
        <w:rPr>
          <w:shd w:fill="f9cb9c" w:val="clear"/>
          <w:rtl w:val="0"/>
        </w:rPr>
        <w:t xml:space="preserve">across three canopy locations (basal-interior, basal-exterior, and top)</w:t>
      </w:r>
      <w:r w:rsidDel="00000000" w:rsidR="00000000" w:rsidRPr="00000000">
        <w:rPr>
          <w:rtl w:val="0"/>
        </w:rPr>
        <w:t xml:space="preserve">. plasticity was pronounced across the canopy, and maximum likelihood analyses indicated that plasticity was primarily linked with irradiance, regardless of height. intracanopy plasticity (the quotient of values for top and basal-interior leaves) was often similar across species and statistically indistinguishable across species for several key traits. at canopy tops, the area of individual leaves was on average 0.5-0.6 times that at basal-interior, stomatal density 1.1-1.5 times higher, sapwood cross-sectional area up to 1.7 times higher, and leaf mass per area 1.5-2.2 times higher; guard cell and stomatal pore lengths were invariant across the canopy. species differed in intracanopy plasticity for the mass of individual leaves, leaf margin dissection, ratio of leaf to sapwood areas, and stomatal pore area per leaf area; plasticity quotients ranged only up to \u22482. across the six species, trait plasticities were uncorrelated and independent of the magnitude of the canopy gradient in irradiance or height and of the species' light requirements for regeneration. this convergence across species indicates general optimization or constraints in development, resulting in a bounded plasticity that improves canopy performance."</w:t>
      </w:r>
    </w:p>
    <w:p w:rsidR="00000000" w:rsidDel="00000000" w:rsidP="00000000" w:rsidRDefault="00000000" w:rsidRPr="00000000" w14:paraId="0000002A">
      <w:pPr>
        <w:numPr>
          <w:ilvl w:val="1"/>
          <w:numId w:val="3"/>
        </w:numPr>
        <w:ind w:left="1440" w:hanging="360"/>
      </w:pPr>
      <w:r w:rsidDel="00000000" w:rsidR="00000000" w:rsidRPr="00000000">
        <w:rPr>
          <w:u w:val="single"/>
          <w:rtl w:val="0"/>
        </w:rPr>
        <w:t xml:space="preserve">Output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B">
      <w:pPr>
        <w:numPr>
          <w:ilvl w:val="2"/>
          <w:numId w:val="3"/>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f9cb9c" w:val="clear"/>
          <w:rtl w:val="0"/>
        </w:rPr>
        <w:t xml:space="preserve">across three canopy locations (basal-interior, basal-exterior, and top)</w:t>
      </w:r>
      <w:r w:rsidDel="00000000" w:rsidR="00000000" w:rsidRPr="00000000">
        <w:rPr>
          <w:rtl w:val="0"/>
        </w:rPr>
      </w:r>
    </w:p>
    <w:p w:rsidR="00000000" w:rsidDel="00000000" w:rsidP="00000000" w:rsidRDefault="00000000" w:rsidRPr="00000000" w14:paraId="0000002C">
      <w:pPr>
        <w:numPr>
          <w:ilvl w:val="2"/>
          <w:numId w:val="3"/>
        </w:numPr>
        <w:ind w:left="2160" w:hanging="360"/>
      </w:pPr>
      <w:r w:rsidDel="00000000" w:rsidR="00000000" w:rsidRPr="00000000">
        <w:rPr>
          <w:u w:val="single"/>
          <w:rtl w:val="0"/>
        </w:rPr>
        <w:t xml:space="preserve">Baseline Context:</w:t>
      </w:r>
      <w:r w:rsidDel="00000000" w:rsidR="00000000" w:rsidRPr="00000000">
        <w:rPr>
          <w:rtl w:val="0"/>
        </w:rPr>
        <w:t xml:space="preserve"> </w:t>
      </w:r>
      <w:r w:rsidDel="00000000" w:rsidR="00000000" w:rsidRPr="00000000">
        <w:rPr>
          <w:shd w:fill="a4c2f4" w:val="clear"/>
          <w:rtl w:val="0"/>
        </w:rPr>
        <w:t xml:space="preserve">arboratoreum-grown trees</w:t>
      </w:r>
      <w:r w:rsidDel="00000000" w:rsidR="00000000" w:rsidRPr="00000000">
        <w:rPr>
          <w:rtl w:val="0"/>
        </w:rPr>
      </w:r>
    </w:p>
    <w:p w:rsidR="00000000" w:rsidDel="00000000" w:rsidP="00000000" w:rsidRDefault="00000000" w:rsidRPr="00000000" w14:paraId="0000002D">
      <w:pPr>
        <w:numPr>
          <w:ilvl w:val="2"/>
          <w:numId w:val="3"/>
        </w:numPr>
        <w:ind w:left="2160" w:hanging="360"/>
      </w:pPr>
      <w:r w:rsidDel="00000000" w:rsidR="00000000" w:rsidRPr="00000000">
        <w:rPr>
          <w:u w:val="single"/>
          <w:rtl w:val="0"/>
        </w:rPr>
        <w:t xml:space="preserve">Correct Context:</w:t>
      </w:r>
      <w:r w:rsidDel="00000000" w:rsidR="00000000" w:rsidRPr="00000000">
        <w:rPr>
          <w:rtl w:val="0"/>
        </w:rPr>
        <w:t xml:space="preserve"> </w:t>
      </w:r>
      <w:r w:rsidDel="00000000" w:rsidR="00000000" w:rsidRPr="00000000">
        <w:rPr>
          <w:highlight w:val="green"/>
          <w:rtl w:val="0"/>
        </w:rPr>
        <w:t xml:space="preserve">whole-plant function and potentially of forest understory ecology</w:t>
      </w:r>
      <w:r w:rsidDel="00000000" w:rsidR="00000000" w:rsidRPr="00000000">
        <w:rPr>
          <w:rtl w:val="0"/>
        </w:rPr>
      </w:r>
    </w:p>
    <w:p w:rsidR="00000000" w:rsidDel="00000000" w:rsidP="00000000" w:rsidRDefault="00000000" w:rsidRPr="00000000" w14:paraId="0000002E">
      <w:pPr>
        <w:rPr>
          <w:u w:val="single"/>
        </w:rPr>
      </w:pPr>
      <w:r w:rsidDel="00000000" w:rsidR="00000000" w:rsidRPr="00000000">
        <w:rPr>
          <w:rtl w:val="0"/>
        </w:rPr>
      </w:r>
    </w:p>
    <w:p w:rsidR="00000000" w:rsidDel="00000000" w:rsidP="00000000" w:rsidRDefault="00000000" w:rsidRPr="00000000" w14:paraId="0000002F">
      <w:pPr>
        <w:rPr>
          <w:u w:val="single"/>
        </w:rPr>
      </w:pPr>
      <w:r w:rsidDel="00000000" w:rsidR="00000000" w:rsidRPr="00000000">
        <w:rPr>
          <w:rtl w:val="0"/>
        </w:rPr>
      </w:r>
    </w:p>
    <w:p w:rsidR="00000000" w:rsidDel="00000000" w:rsidP="00000000" w:rsidRDefault="00000000" w:rsidRPr="00000000" w14:paraId="00000030">
      <w:pPr>
        <w:numPr>
          <w:ilvl w:val="0"/>
          <w:numId w:val="3"/>
        </w:numPr>
        <w:ind w:left="720" w:hanging="360"/>
      </w:pPr>
      <w:r w:rsidDel="00000000" w:rsidR="00000000" w:rsidRPr="00000000">
        <w:rPr>
          <w:rtl w:val="0"/>
        </w:rPr>
        <w:t xml:space="preserve">W2025490238</w:t>
      </w:r>
    </w:p>
    <w:p w:rsidR="00000000" w:rsidDel="00000000" w:rsidP="00000000" w:rsidRDefault="00000000" w:rsidRPr="00000000" w14:paraId="00000031">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 "title": "A biomechanical perspective on the role of large stem volume and high water content in baobab trees (Adansonia spp.; Bombacaceae)", "abstract": "the stems of large trees serve in transport, storage, and support; however, the degree to which these roles are reflected in their morphology is not always apparent. the</w:t>
      </w:r>
      <w:r w:rsidDel="00000000" w:rsidR="00000000" w:rsidRPr="00000000">
        <w:rPr>
          <w:rtl w:val="0"/>
        </w:rPr>
        <w:t xml:space="preserve"> large, water-filled stems of baobab trees</w:t>
      </w:r>
      <w:r w:rsidDel="00000000" w:rsidR="00000000" w:rsidRPr="00000000">
        <w:rPr>
          <w:rtl w:val="0"/>
        </w:rPr>
        <w:t xml:space="preserve"> (adansonia spp.) are generally assumed to serve a </w:t>
      </w:r>
      <w:r w:rsidDel="00000000" w:rsidR="00000000" w:rsidRPr="00000000">
        <w:rPr>
          <w:shd w:fill="a4c2f4" w:val="clear"/>
          <w:rtl w:val="0"/>
        </w:rPr>
        <w:t xml:space="preserve">water storage</w:t>
      </w:r>
      <w:r w:rsidDel="00000000" w:rsidR="00000000" w:rsidRPr="00000000">
        <w:rPr>
          <w:rtl w:val="0"/>
        </w:rPr>
        <w:t xml:space="preserve"> function, yet recent studies indicate limited use of stored water. through an analysis of wood structure and composition, we examined whether baobab morphology reflects </w:t>
      </w:r>
      <w:r w:rsidDel="00000000" w:rsidR="00000000" w:rsidRPr="00000000">
        <w:rPr>
          <w:highlight w:val="green"/>
          <w:rtl w:val="0"/>
        </w:rPr>
        <w:t xml:space="preserve">biomechanical constraints rather than water storage capacity</w:t>
      </w:r>
      <w:r w:rsidDel="00000000" w:rsidR="00000000" w:rsidRPr="00000000">
        <w:rPr>
          <w:shd w:fill="f9cb9c" w:val="clear"/>
          <w:rtl w:val="0"/>
        </w:rPr>
        <w:t xml:space="preserve"> in the six madagascar baobab species</w:t>
      </w:r>
      <w:r w:rsidDel="00000000" w:rsidR="00000000" w:rsidRPr="00000000">
        <w:rPr>
          <w:rtl w:val="0"/>
        </w:rPr>
        <w:t xml:space="preserve">. baobab wood has a high water content (up to 79%), low wood density (0.09-0.17 g \u00b7 cm(-3)), high parenchyma content (69-88%), and living cells beyond 35 cm into the xylem from the cambium. volumetric construction cost of the wood is several times lower than in more typical trees, and the elastic modulus approaches that of parenchyma tissue. safety factors calculated from estimated elastic buckling heights were low, indicating that baobabs are not more overbuilt than other temperate and tropical trees, yet the energy investment in stem material is comparable to that in temperate deciduous trees. furthermore, the elastic modulus of the wood decreases with water content, such that excessive water withdrawal from the stem could affect </w:t>
      </w:r>
      <w:r w:rsidDel="00000000" w:rsidR="00000000" w:rsidRPr="00000000">
        <w:rPr>
          <w:highlight w:val="green"/>
          <w:rtl w:val="0"/>
        </w:rPr>
        <w:t xml:space="preserve">mechanical stability</w:t>
      </w:r>
      <w:r w:rsidDel="00000000" w:rsidR="00000000" w:rsidRPr="00000000">
        <w:rPr>
          <w:rtl w:val="0"/>
        </w:rPr>
        <w:t xml:space="preserve">."</w:t>
      </w:r>
    </w:p>
    <w:p w:rsidR="00000000" w:rsidDel="00000000" w:rsidP="00000000" w:rsidRDefault="00000000" w:rsidRPr="00000000" w14:paraId="00000032">
      <w:pPr>
        <w:numPr>
          <w:ilvl w:val="1"/>
          <w:numId w:val="3"/>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33">
      <w:pPr>
        <w:numPr>
          <w:ilvl w:val="2"/>
          <w:numId w:val="3"/>
        </w:numPr>
        <w:ind w:left="2160" w:hanging="360"/>
      </w:pPr>
      <w:r w:rsidDel="00000000" w:rsidR="00000000" w:rsidRPr="00000000">
        <w:rPr>
          <w:u w:val="single"/>
          <w:rtl w:val="0"/>
        </w:rPr>
        <w:t xml:space="preserve">Context</w:t>
      </w:r>
      <w:r w:rsidDel="00000000" w:rsidR="00000000" w:rsidRPr="00000000">
        <w:rPr>
          <w:rtl w:val="0"/>
        </w:rPr>
        <w:t xml:space="preserve">:</w:t>
      </w:r>
      <w:r w:rsidDel="00000000" w:rsidR="00000000" w:rsidRPr="00000000">
        <w:rPr>
          <w:shd w:fill="f9cb9c" w:val="clear"/>
          <w:rtl w:val="0"/>
        </w:rPr>
        <w:t xml:space="preserve"> in the six madagascar baobab species</w:t>
      </w:r>
    </w:p>
    <w:p w:rsidR="00000000" w:rsidDel="00000000" w:rsidP="00000000" w:rsidRDefault="00000000" w:rsidRPr="00000000" w14:paraId="00000034">
      <w:pPr>
        <w:numPr>
          <w:ilvl w:val="2"/>
          <w:numId w:val="3"/>
        </w:numPr>
        <w:ind w:left="2160" w:hanging="360"/>
      </w:pPr>
      <w:r w:rsidDel="00000000" w:rsidR="00000000" w:rsidRPr="00000000">
        <w:rPr>
          <w:u w:val="single"/>
          <w:rtl w:val="0"/>
        </w:rPr>
        <w:t xml:space="preserve">Baseline Context:</w:t>
      </w:r>
      <w:r w:rsidDel="00000000" w:rsidR="00000000" w:rsidRPr="00000000">
        <w:rPr>
          <w:shd w:fill="a4c2f4" w:val="clear"/>
          <w:rtl w:val="0"/>
        </w:rPr>
        <w:t xml:space="preserve"> water storage</w:t>
      </w:r>
    </w:p>
    <w:p w:rsidR="00000000" w:rsidDel="00000000" w:rsidP="00000000" w:rsidRDefault="00000000" w:rsidRPr="00000000" w14:paraId="00000035">
      <w:pPr>
        <w:numPr>
          <w:ilvl w:val="2"/>
          <w:numId w:val="3"/>
        </w:numPr>
        <w:ind w:left="2160" w:hanging="360"/>
      </w:pPr>
      <w:r w:rsidDel="00000000" w:rsidR="00000000" w:rsidRPr="00000000">
        <w:rPr>
          <w:u w:val="single"/>
          <w:rtl w:val="0"/>
        </w:rPr>
        <w:t xml:space="preserve">Correct Context:</w:t>
      </w:r>
      <w:r w:rsidDel="00000000" w:rsidR="00000000" w:rsidRPr="00000000">
        <w:rPr>
          <w:highlight w:val="green"/>
          <w:rtl w:val="0"/>
        </w:rPr>
        <w:t xml:space="preserve">biomechanical constraints rather than water storage capacity</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3"/>
        </w:numPr>
        <w:ind w:left="720" w:hanging="360"/>
      </w:pPr>
      <w:r w:rsidDel="00000000" w:rsidR="00000000" w:rsidRPr="00000000">
        <w:rPr>
          <w:rtl w:val="0"/>
        </w:rPr>
        <w:t xml:space="preserve">W2112209842</w:t>
      </w:r>
    </w:p>
    <w:p w:rsidR="00000000" w:rsidDel="00000000" w:rsidP="00000000" w:rsidRDefault="00000000" w:rsidRPr="00000000" w14:paraId="00000039">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 "title": "Hydrophobic trichome layers and epicuticular wax powders in Bromeliaceae", "abstract": "</w:t>
      </w:r>
      <w:r w:rsidDel="00000000" w:rsidR="00000000" w:rsidRPr="00000000">
        <w:rPr>
          <w:shd w:fill="f9cb9c" w:val="clear"/>
          <w:rtl w:val="0"/>
        </w:rPr>
        <w:t xml:space="preserve">the distinctive foliar trichome of bromeliaceae has promoted the evolution of an epiphytic habit in certain taxa by allowing the shoot to assume a significant role in the uptake of water and mineral nutrients.</w:t>
      </w:r>
      <w:r w:rsidDel="00000000" w:rsidR="00000000" w:rsidRPr="00000000">
        <w:rPr>
          <w:rtl w:val="0"/>
        </w:rPr>
        <w:t xml:space="preserve"> despite the profound ecophysiological and taxonomic importance of this epidermal structure, the functions of nonabsorbent trichomes in remaining bromeliaceae are not fully understood. the hypothesis that light reflection from these trichome layers provides photoprotection was not supported by spectroradiometry and fluorimetry in the present study; the mean reflectance of visible light from trichome layers did not exceed 6.4% on the adaxial surfaces of species representing a range of ecophysiological types nor was significant photoprotection provided by their presence. several reports suggesting water repellency in some terrestrial bromeliaceae were investigated. scanning electron microscopy (sem) and a new technique-fluorographic dimensional imaging (fdi)-were used to assess the interaction between aqueous droplets and the leaf surfaces of 86 species from 25 genera. in the </w:t>
      </w:r>
      <w:r w:rsidDel="00000000" w:rsidR="00000000" w:rsidRPr="00000000">
        <w:rPr>
          <w:shd w:fill="a4c2f4" w:val="clear"/>
          <w:rtl w:val="0"/>
        </w:rPr>
        <w:t xml:space="preserve">majority of cases</w:t>
      </w:r>
      <w:r w:rsidDel="00000000" w:rsidR="00000000" w:rsidRPr="00000000">
        <w:rPr>
          <w:rtl w:val="0"/>
        </w:rPr>
        <w:t xml:space="preserve"> a dense layer of overlapping, stellate or peltate trichomes held water off the leaf epidermis proper. in the case of hydrophobic tank-forming tillandsioideae, a powdery epicuticular wax layer provided water repellency. the irregular architecture of these indumenta resulted in relatively little contact with water droplets. most mesic terrestrial pitcairnioideae examined either possessed glabrous leaf blades or hydrophobic layers of confluent trichomes on the abaxial surface. thus,</w:t>
      </w:r>
      <w:r w:rsidDel="00000000" w:rsidR="00000000" w:rsidRPr="00000000">
        <w:rPr>
          <w:shd w:fill="f9cb9c" w:val="clear"/>
          <w:rtl w:val="0"/>
        </w:rPr>
        <w:t xml:space="preserve"> the present study </w:t>
      </w:r>
      <w:r w:rsidDel="00000000" w:rsidR="00000000" w:rsidRPr="00000000">
        <w:rPr>
          <w:rtl w:val="0"/>
        </w:rPr>
        <w:t xml:space="preserve">indicates that </w:t>
      </w:r>
      <w:r w:rsidDel="00000000" w:rsidR="00000000" w:rsidRPr="00000000">
        <w:rPr>
          <w:highlight w:val="green"/>
          <w:rtl w:val="0"/>
        </w:rPr>
        <w:t xml:space="preserve">an important ancestral function</w:t>
      </w:r>
      <w:r w:rsidDel="00000000" w:rsidR="00000000" w:rsidRPr="00000000">
        <w:rPr>
          <w:rtl w:val="0"/>
        </w:rPr>
        <w:t xml:space="preserve"> of the foliar trichome in bromeliaceae was water repellency. the ecophysiological consequences of hydrophobia are discussed."</w:t>
      </w:r>
    </w:p>
    <w:p w:rsidR="00000000" w:rsidDel="00000000" w:rsidP="00000000" w:rsidRDefault="00000000" w:rsidRPr="00000000" w14:paraId="0000003A">
      <w:pPr>
        <w:numPr>
          <w:ilvl w:val="1"/>
          <w:numId w:val="3"/>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3B">
      <w:pPr>
        <w:numPr>
          <w:ilvl w:val="2"/>
          <w:numId w:val="3"/>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f9cb9c" w:val="clear"/>
          <w:rtl w:val="0"/>
        </w:rPr>
        <w:t xml:space="preserve">the distinctive foliar trichome of bromeliaceae has promoted the evolution of an epiphytic habit in certain taxa by allowing the shoot to assume a significant role in the uptake of water and mineral nutrients.</w:t>
      </w:r>
    </w:p>
    <w:p w:rsidR="00000000" w:rsidDel="00000000" w:rsidP="00000000" w:rsidRDefault="00000000" w:rsidRPr="00000000" w14:paraId="0000003C">
      <w:pPr>
        <w:numPr>
          <w:ilvl w:val="2"/>
          <w:numId w:val="3"/>
        </w:numPr>
        <w:ind w:left="2160" w:hanging="360"/>
      </w:pPr>
      <w:r w:rsidDel="00000000" w:rsidR="00000000" w:rsidRPr="00000000">
        <w:rPr>
          <w:u w:val="single"/>
          <w:rtl w:val="0"/>
        </w:rPr>
        <w:t xml:space="preserve">Baseline Context:</w:t>
      </w:r>
      <w:r w:rsidDel="00000000" w:rsidR="00000000" w:rsidRPr="00000000">
        <w:rPr>
          <w:rtl w:val="0"/>
        </w:rPr>
        <w:t xml:space="preserve"> </w:t>
      </w:r>
      <w:r w:rsidDel="00000000" w:rsidR="00000000" w:rsidRPr="00000000">
        <w:rPr>
          <w:shd w:fill="a4c2f4" w:val="clear"/>
          <w:rtl w:val="0"/>
        </w:rPr>
        <w:t xml:space="preserve">majority of cases</w:t>
      </w:r>
      <w:r w:rsidDel="00000000" w:rsidR="00000000" w:rsidRPr="00000000">
        <w:rPr>
          <w:rtl w:val="0"/>
        </w:rPr>
      </w:r>
    </w:p>
    <w:p w:rsidR="00000000" w:rsidDel="00000000" w:rsidP="00000000" w:rsidRDefault="00000000" w:rsidRPr="00000000" w14:paraId="0000003D">
      <w:pPr>
        <w:numPr>
          <w:ilvl w:val="2"/>
          <w:numId w:val="3"/>
        </w:numPr>
        <w:ind w:left="2160" w:hanging="360"/>
      </w:pPr>
      <w:r w:rsidDel="00000000" w:rsidR="00000000" w:rsidRPr="00000000">
        <w:rPr>
          <w:u w:val="single"/>
          <w:rtl w:val="0"/>
        </w:rPr>
        <w:t xml:space="preserve">Correct Context:</w:t>
      </w:r>
      <w:r w:rsidDel="00000000" w:rsidR="00000000" w:rsidRPr="00000000">
        <w:rPr>
          <w:rtl w:val="0"/>
        </w:rPr>
        <w:t xml:space="preserve"> </w:t>
      </w:r>
      <w:r w:rsidDel="00000000" w:rsidR="00000000" w:rsidRPr="00000000">
        <w:rPr>
          <w:highlight w:val="green"/>
          <w:rtl w:val="0"/>
        </w:rPr>
        <w:t xml:space="preserve">an important ancestral function</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3"/>
        </w:numPr>
        <w:ind w:left="720" w:hanging="360"/>
      </w:pPr>
      <w:r w:rsidDel="00000000" w:rsidR="00000000" w:rsidRPr="00000000">
        <w:rPr>
          <w:rtl w:val="0"/>
        </w:rPr>
        <w:t xml:space="preserve">W2127657288</w:t>
      </w:r>
    </w:p>
    <w:p w:rsidR="00000000" w:rsidDel="00000000" w:rsidP="00000000" w:rsidRDefault="00000000" w:rsidRPr="00000000" w14:paraId="00000043">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 "title": "The incidence and implications of clouds for cloud forest plant water relations.", "abstract": "although clouds are the most recognisable and defining feature of tropical montane cloud forests, little research has focussed on how clouds affect plant functioning. we used satellite and ground-based observations to study cloud and leaf wetting patterns in contrasting tropical montane and pre-montane cloud forests. we then studied the consequences of leaf wetting for the direct uptake of water accumulated on leaf surfaces into the leaves themselves. during the dry season, the montane forest experienced higher precipitation, cloud cover and leaf wetting events of longer duration than the pre-montane forest. leaf wetting events resulted in foliar water uptake in all species studied. the capacity for foliar water uptake differed significantly between the montane and pre-montane forest plant communities, as well as among species within a forest. our results indicate that foliar water uptake is common in these forest plants and improves plant water status </w:t>
      </w:r>
      <w:r w:rsidDel="00000000" w:rsidR="00000000" w:rsidRPr="00000000">
        <w:rPr>
          <w:highlight w:val="green"/>
          <w:rtl w:val="0"/>
        </w:rPr>
        <w:t xml:space="preserve">during the dry season</w:t>
      </w:r>
      <w:r w:rsidDel="00000000" w:rsidR="00000000" w:rsidRPr="00000000">
        <w:rPr>
          <w:rtl w:val="0"/>
        </w:rPr>
        <w:t xml:space="preserve">."</w:t>
      </w:r>
    </w:p>
    <w:p w:rsidR="00000000" w:rsidDel="00000000" w:rsidP="00000000" w:rsidRDefault="00000000" w:rsidRPr="00000000" w14:paraId="00000044">
      <w:pPr>
        <w:numPr>
          <w:ilvl w:val="1"/>
          <w:numId w:val="3"/>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45">
      <w:pPr>
        <w:numPr>
          <w:ilvl w:val="2"/>
          <w:numId w:val="3"/>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highlight w:val="green"/>
          <w:rtl w:val="0"/>
        </w:rPr>
        <w:t xml:space="preserve">during the dry season</w:t>
      </w:r>
    </w:p>
    <w:p w:rsidR="00000000" w:rsidDel="00000000" w:rsidP="00000000" w:rsidRDefault="00000000" w:rsidRPr="00000000" w14:paraId="00000046">
      <w:pPr>
        <w:numPr>
          <w:ilvl w:val="2"/>
          <w:numId w:val="3"/>
        </w:numPr>
        <w:ind w:left="2160" w:hanging="360"/>
      </w:pPr>
      <w:r w:rsidDel="00000000" w:rsidR="00000000" w:rsidRPr="00000000">
        <w:rPr>
          <w:u w:val="single"/>
          <w:rtl w:val="0"/>
        </w:rPr>
        <w:t xml:space="preserve">Baseline Context:</w:t>
      </w:r>
      <w:r w:rsidDel="00000000" w:rsidR="00000000" w:rsidRPr="00000000">
        <w:rPr>
          <w:rtl w:val="0"/>
        </w:rPr>
        <w:t xml:space="preserve">   </w:t>
      </w:r>
      <w:r w:rsidDel="00000000" w:rsidR="00000000" w:rsidRPr="00000000">
        <w:rPr>
          <w:highlight w:val="green"/>
          <w:rtl w:val="0"/>
        </w:rPr>
        <w:t xml:space="preserve">during the dry season</w:t>
      </w:r>
    </w:p>
    <w:p w:rsidR="00000000" w:rsidDel="00000000" w:rsidP="00000000" w:rsidRDefault="00000000" w:rsidRPr="00000000" w14:paraId="00000047">
      <w:pPr>
        <w:numPr>
          <w:ilvl w:val="2"/>
          <w:numId w:val="3"/>
        </w:numPr>
        <w:ind w:left="2160" w:hanging="360"/>
      </w:pPr>
      <w:r w:rsidDel="00000000" w:rsidR="00000000" w:rsidRPr="00000000">
        <w:rPr>
          <w:u w:val="single"/>
          <w:rtl w:val="0"/>
        </w:rPr>
        <w:t xml:space="preserve">Correct Context:</w:t>
      </w:r>
      <w:r w:rsidDel="00000000" w:rsidR="00000000" w:rsidRPr="00000000">
        <w:rPr>
          <w:rtl w:val="0"/>
        </w:rPr>
        <w:t xml:space="preserve">  </w:t>
      </w:r>
      <w:r w:rsidDel="00000000" w:rsidR="00000000" w:rsidRPr="00000000">
        <w:rPr>
          <w:highlight w:val="green"/>
          <w:rtl w:val="0"/>
        </w:rPr>
        <w:t xml:space="preserve">during the dry season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u w:val="single"/>
        </w:rPr>
      </w:pPr>
      <w:r w:rsidDel="00000000" w:rsidR="00000000" w:rsidRPr="00000000">
        <w:rPr>
          <w:b w:val="1"/>
          <w:u w:val="single"/>
          <w:rtl w:val="0"/>
        </w:rPr>
        <w:t xml:space="preserve">Conclusion</w:t>
      </w:r>
    </w:p>
    <w:p w:rsidR="00000000" w:rsidDel="00000000" w:rsidP="00000000" w:rsidRDefault="00000000" w:rsidRPr="00000000" w14:paraId="0000004A">
      <w:pPr>
        <w:numPr>
          <w:ilvl w:val="0"/>
          <w:numId w:val="1"/>
        </w:numPr>
        <w:ind w:left="720" w:hanging="360"/>
      </w:pPr>
      <w:r w:rsidDel="00000000" w:rsidR="00000000" w:rsidRPr="00000000">
        <w:rPr>
          <w:rtl w:val="0"/>
        </w:rPr>
        <w:t xml:space="preserve">This prompt only gets ⅖ contexts correct, thus it is not improving performance significantly when compared to the prompt in “Get_Bio_Strat_2”. </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