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37138A"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37138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37138A">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E9D8161" w14:textId="1494368A" w:rsidR="002024A4"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47625627" w:history="1">
            <w:r w:rsidR="002024A4" w:rsidRPr="009042A3">
              <w:rPr>
                <w:rStyle w:val="Hyperlink"/>
                <w:noProof/>
              </w:rPr>
              <w:t>1.0 Introduction</w:t>
            </w:r>
            <w:r w:rsidR="002024A4">
              <w:rPr>
                <w:noProof/>
                <w:webHidden/>
              </w:rPr>
              <w:tab/>
            </w:r>
            <w:r w:rsidR="002024A4">
              <w:rPr>
                <w:noProof/>
                <w:webHidden/>
              </w:rPr>
              <w:fldChar w:fldCharType="begin"/>
            </w:r>
            <w:r w:rsidR="002024A4">
              <w:rPr>
                <w:noProof/>
                <w:webHidden/>
              </w:rPr>
              <w:instrText xml:space="preserve"> PAGEREF _Toc47625627 \h </w:instrText>
            </w:r>
            <w:r w:rsidR="002024A4">
              <w:rPr>
                <w:noProof/>
                <w:webHidden/>
              </w:rPr>
            </w:r>
            <w:r w:rsidR="002024A4">
              <w:rPr>
                <w:noProof/>
                <w:webHidden/>
              </w:rPr>
              <w:fldChar w:fldCharType="separate"/>
            </w:r>
            <w:r w:rsidR="002024A4">
              <w:rPr>
                <w:noProof/>
                <w:webHidden/>
              </w:rPr>
              <w:t>1</w:t>
            </w:r>
            <w:r w:rsidR="002024A4">
              <w:rPr>
                <w:noProof/>
                <w:webHidden/>
              </w:rPr>
              <w:fldChar w:fldCharType="end"/>
            </w:r>
          </w:hyperlink>
        </w:p>
        <w:p w14:paraId="6B792374" w14:textId="5DFAFF6F" w:rsidR="002024A4" w:rsidRDefault="002024A4">
          <w:pPr>
            <w:pStyle w:val="TOC1"/>
            <w:tabs>
              <w:tab w:val="right" w:leader="dot" w:pos="8630"/>
            </w:tabs>
            <w:rPr>
              <w:rFonts w:eastAsiaTheme="minorEastAsia"/>
              <w:b w:val="0"/>
              <w:noProof/>
            </w:rPr>
          </w:pPr>
          <w:hyperlink w:anchor="_Toc47625628" w:history="1">
            <w:r w:rsidRPr="009042A3">
              <w:rPr>
                <w:rStyle w:val="Hyperlink"/>
                <w:noProof/>
              </w:rPr>
              <w:t>2.0 Installation</w:t>
            </w:r>
            <w:r>
              <w:rPr>
                <w:noProof/>
                <w:webHidden/>
              </w:rPr>
              <w:tab/>
            </w:r>
            <w:r>
              <w:rPr>
                <w:noProof/>
                <w:webHidden/>
              </w:rPr>
              <w:fldChar w:fldCharType="begin"/>
            </w:r>
            <w:r>
              <w:rPr>
                <w:noProof/>
                <w:webHidden/>
              </w:rPr>
              <w:instrText xml:space="preserve"> PAGEREF _Toc47625628 \h </w:instrText>
            </w:r>
            <w:r>
              <w:rPr>
                <w:noProof/>
                <w:webHidden/>
              </w:rPr>
            </w:r>
            <w:r>
              <w:rPr>
                <w:noProof/>
                <w:webHidden/>
              </w:rPr>
              <w:fldChar w:fldCharType="separate"/>
            </w:r>
            <w:r>
              <w:rPr>
                <w:noProof/>
                <w:webHidden/>
              </w:rPr>
              <w:t>1</w:t>
            </w:r>
            <w:r>
              <w:rPr>
                <w:noProof/>
                <w:webHidden/>
              </w:rPr>
              <w:fldChar w:fldCharType="end"/>
            </w:r>
          </w:hyperlink>
        </w:p>
        <w:p w14:paraId="21520258" w14:textId="2F75D2EC" w:rsidR="002024A4" w:rsidRDefault="002024A4">
          <w:pPr>
            <w:pStyle w:val="TOC2"/>
            <w:tabs>
              <w:tab w:val="right" w:leader="dot" w:pos="8630"/>
            </w:tabs>
            <w:rPr>
              <w:rFonts w:eastAsiaTheme="minorEastAsia"/>
              <w:b w:val="0"/>
              <w:noProof/>
              <w:sz w:val="24"/>
              <w:szCs w:val="24"/>
            </w:rPr>
          </w:pPr>
          <w:hyperlink w:anchor="_Toc47625629" w:history="1">
            <w:r w:rsidRPr="009042A3">
              <w:rPr>
                <w:rStyle w:val="Hyperlink"/>
                <w:noProof/>
              </w:rPr>
              <w:t>2.1 Mandatory Prerequisites</w:t>
            </w:r>
            <w:r>
              <w:rPr>
                <w:noProof/>
                <w:webHidden/>
              </w:rPr>
              <w:tab/>
            </w:r>
            <w:r>
              <w:rPr>
                <w:noProof/>
                <w:webHidden/>
              </w:rPr>
              <w:fldChar w:fldCharType="begin"/>
            </w:r>
            <w:r>
              <w:rPr>
                <w:noProof/>
                <w:webHidden/>
              </w:rPr>
              <w:instrText xml:space="preserve"> PAGEREF _Toc47625629 \h </w:instrText>
            </w:r>
            <w:r>
              <w:rPr>
                <w:noProof/>
                <w:webHidden/>
              </w:rPr>
            </w:r>
            <w:r>
              <w:rPr>
                <w:noProof/>
                <w:webHidden/>
              </w:rPr>
              <w:fldChar w:fldCharType="separate"/>
            </w:r>
            <w:r>
              <w:rPr>
                <w:noProof/>
                <w:webHidden/>
              </w:rPr>
              <w:t>1</w:t>
            </w:r>
            <w:r>
              <w:rPr>
                <w:noProof/>
                <w:webHidden/>
              </w:rPr>
              <w:fldChar w:fldCharType="end"/>
            </w:r>
          </w:hyperlink>
        </w:p>
        <w:p w14:paraId="62309E58" w14:textId="58B1F244" w:rsidR="002024A4" w:rsidRDefault="002024A4">
          <w:pPr>
            <w:pStyle w:val="TOC2"/>
            <w:tabs>
              <w:tab w:val="right" w:leader="dot" w:pos="8630"/>
            </w:tabs>
            <w:rPr>
              <w:rFonts w:eastAsiaTheme="minorEastAsia"/>
              <w:b w:val="0"/>
              <w:noProof/>
              <w:sz w:val="24"/>
              <w:szCs w:val="24"/>
            </w:rPr>
          </w:pPr>
          <w:hyperlink w:anchor="_Toc47625630" w:history="1">
            <w:r w:rsidRPr="009042A3">
              <w:rPr>
                <w:rStyle w:val="Hyperlink"/>
                <w:noProof/>
              </w:rPr>
              <w:t>2.2 Optional Prerequisites</w:t>
            </w:r>
            <w:r>
              <w:rPr>
                <w:noProof/>
                <w:webHidden/>
              </w:rPr>
              <w:tab/>
            </w:r>
            <w:r>
              <w:rPr>
                <w:noProof/>
                <w:webHidden/>
              </w:rPr>
              <w:fldChar w:fldCharType="begin"/>
            </w:r>
            <w:r>
              <w:rPr>
                <w:noProof/>
                <w:webHidden/>
              </w:rPr>
              <w:instrText xml:space="preserve"> PAGEREF _Toc47625630 \h </w:instrText>
            </w:r>
            <w:r>
              <w:rPr>
                <w:noProof/>
                <w:webHidden/>
              </w:rPr>
            </w:r>
            <w:r>
              <w:rPr>
                <w:noProof/>
                <w:webHidden/>
              </w:rPr>
              <w:fldChar w:fldCharType="separate"/>
            </w:r>
            <w:r>
              <w:rPr>
                <w:noProof/>
                <w:webHidden/>
              </w:rPr>
              <w:t>2</w:t>
            </w:r>
            <w:r>
              <w:rPr>
                <w:noProof/>
                <w:webHidden/>
              </w:rPr>
              <w:fldChar w:fldCharType="end"/>
            </w:r>
          </w:hyperlink>
        </w:p>
        <w:p w14:paraId="7E376E88" w14:textId="7DF1893A" w:rsidR="002024A4" w:rsidRDefault="002024A4">
          <w:pPr>
            <w:pStyle w:val="TOC2"/>
            <w:tabs>
              <w:tab w:val="right" w:leader="dot" w:pos="8630"/>
            </w:tabs>
            <w:rPr>
              <w:rFonts w:eastAsiaTheme="minorEastAsia"/>
              <w:b w:val="0"/>
              <w:noProof/>
              <w:sz w:val="24"/>
              <w:szCs w:val="24"/>
            </w:rPr>
          </w:pPr>
          <w:hyperlink w:anchor="_Toc47625631" w:history="1">
            <w:r w:rsidRPr="009042A3">
              <w:rPr>
                <w:rStyle w:val="Hyperlink"/>
                <w:noProof/>
              </w:rPr>
              <w:t>2.3 dcapp</w:t>
            </w:r>
            <w:r>
              <w:rPr>
                <w:noProof/>
                <w:webHidden/>
              </w:rPr>
              <w:tab/>
            </w:r>
            <w:r>
              <w:rPr>
                <w:noProof/>
                <w:webHidden/>
              </w:rPr>
              <w:fldChar w:fldCharType="begin"/>
            </w:r>
            <w:r>
              <w:rPr>
                <w:noProof/>
                <w:webHidden/>
              </w:rPr>
              <w:instrText xml:space="preserve"> PAGEREF _Toc47625631 \h </w:instrText>
            </w:r>
            <w:r>
              <w:rPr>
                <w:noProof/>
                <w:webHidden/>
              </w:rPr>
            </w:r>
            <w:r>
              <w:rPr>
                <w:noProof/>
                <w:webHidden/>
              </w:rPr>
              <w:fldChar w:fldCharType="separate"/>
            </w:r>
            <w:r>
              <w:rPr>
                <w:noProof/>
                <w:webHidden/>
              </w:rPr>
              <w:t>2</w:t>
            </w:r>
            <w:r>
              <w:rPr>
                <w:noProof/>
                <w:webHidden/>
              </w:rPr>
              <w:fldChar w:fldCharType="end"/>
            </w:r>
          </w:hyperlink>
        </w:p>
        <w:p w14:paraId="2F984C12" w14:textId="23FA7535" w:rsidR="002024A4" w:rsidRDefault="002024A4">
          <w:pPr>
            <w:pStyle w:val="TOC1"/>
            <w:tabs>
              <w:tab w:val="right" w:leader="dot" w:pos="8630"/>
            </w:tabs>
            <w:rPr>
              <w:rFonts w:eastAsiaTheme="minorEastAsia"/>
              <w:b w:val="0"/>
              <w:noProof/>
            </w:rPr>
          </w:pPr>
          <w:hyperlink w:anchor="_Toc47625632" w:history="1">
            <w:r w:rsidRPr="009042A3">
              <w:rPr>
                <w:rStyle w:val="Hyperlink"/>
                <w:noProof/>
              </w:rPr>
              <w:t>3.0 Activation</w:t>
            </w:r>
            <w:r>
              <w:rPr>
                <w:noProof/>
                <w:webHidden/>
              </w:rPr>
              <w:tab/>
            </w:r>
            <w:r>
              <w:rPr>
                <w:noProof/>
                <w:webHidden/>
              </w:rPr>
              <w:fldChar w:fldCharType="begin"/>
            </w:r>
            <w:r>
              <w:rPr>
                <w:noProof/>
                <w:webHidden/>
              </w:rPr>
              <w:instrText xml:space="preserve"> PAGEREF _Toc47625632 \h </w:instrText>
            </w:r>
            <w:r>
              <w:rPr>
                <w:noProof/>
                <w:webHidden/>
              </w:rPr>
            </w:r>
            <w:r>
              <w:rPr>
                <w:noProof/>
                <w:webHidden/>
              </w:rPr>
              <w:fldChar w:fldCharType="separate"/>
            </w:r>
            <w:r>
              <w:rPr>
                <w:noProof/>
                <w:webHidden/>
              </w:rPr>
              <w:t>3</w:t>
            </w:r>
            <w:r>
              <w:rPr>
                <w:noProof/>
                <w:webHidden/>
              </w:rPr>
              <w:fldChar w:fldCharType="end"/>
            </w:r>
          </w:hyperlink>
        </w:p>
        <w:p w14:paraId="00AB2157" w14:textId="4D38C90C" w:rsidR="002024A4" w:rsidRDefault="002024A4">
          <w:pPr>
            <w:pStyle w:val="TOC1"/>
            <w:tabs>
              <w:tab w:val="right" w:leader="dot" w:pos="8630"/>
            </w:tabs>
            <w:rPr>
              <w:rFonts w:eastAsiaTheme="minorEastAsia"/>
              <w:b w:val="0"/>
              <w:noProof/>
            </w:rPr>
          </w:pPr>
          <w:hyperlink w:anchor="_Toc47625633" w:history="1">
            <w:r w:rsidRPr="009042A3">
              <w:rPr>
                <w:rStyle w:val="Hyperlink"/>
                <w:noProof/>
              </w:rPr>
              <w:t>4.0 Specfile</w:t>
            </w:r>
            <w:r>
              <w:rPr>
                <w:noProof/>
                <w:webHidden/>
              </w:rPr>
              <w:tab/>
            </w:r>
            <w:r>
              <w:rPr>
                <w:noProof/>
                <w:webHidden/>
              </w:rPr>
              <w:fldChar w:fldCharType="begin"/>
            </w:r>
            <w:r>
              <w:rPr>
                <w:noProof/>
                <w:webHidden/>
              </w:rPr>
              <w:instrText xml:space="preserve"> PAGEREF _Toc47625633 \h </w:instrText>
            </w:r>
            <w:r>
              <w:rPr>
                <w:noProof/>
                <w:webHidden/>
              </w:rPr>
            </w:r>
            <w:r>
              <w:rPr>
                <w:noProof/>
                <w:webHidden/>
              </w:rPr>
              <w:fldChar w:fldCharType="separate"/>
            </w:r>
            <w:r>
              <w:rPr>
                <w:noProof/>
                <w:webHidden/>
              </w:rPr>
              <w:t>3</w:t>
            </w:r>
            <w:r>
              <w:rPr>
                <w:noProof/>
                <w:webHidden/>
              </w:rPr>
              <w:fldChar w:fldCharType="end"/>
            </w:r>
          </w:hyperlink>
        </w:p>
        <w:p w14:paraId="402AAF11" w14:textId="3CBED24E" w:rsidR="002024A4" w:rsidRDefault="002024A4">
          <w:pPr>
            <w:pStyle w:val="TOC2"/>
            <w:tabs>
              <w:tab w:val="right" w:leader="dot" w:pos="8630"/>
            </w:tabs>
            <w:rPr>
              <w:rFonts w:eastAsiaTheme="minorEastAsia"/>
              <w:b w:val="0"/>
              <w:noProof/>
              <w:sz w:val="24"/>
              <w:szCs w:val="24"/>
            </w:rPr>
          </w:pPr>
          <w:hyperlink w:anchor="_Toc47625634" w:history="1">
            <w:r w:rsidRPr="009042A3">
              <w:rPr>
                <w:rStyle w:val="Hyperlink"/>
                <w:noProof/>
              </w:rPr>
              <w:t>4.1 Root Element</w:t>
            </w:r>
            <w:r>
              <w:rPr>
                <w:noProof/>
                <w:webHidden/>
              </w:rPr>
              <w:tab/>
            </w:r>
            <w:r>
              <w:rPr>
                <w:noProof/>
                <w:webHidden/>
              </w:rPr>
              <w:fldChar w:fldCharType="begin"/>
            </w:r>
            <w:r>
              <w:rPr>
                <w:noProof/>
                <w:webHidden/>
              </w:rPr>
              <w:instrText xml:space="preserve"> PAGEREF _Toc47625634 \h </w:instrText>
            </w:r>
            <w:r>
              <w:rPr>
                <w:noProof/>
                <w:webHidden/>
              </w:rPr>
            </w:r>
            <w:r>
              <w:rPr>
                <w:noProof/>
                <w:webHidden/>
              </w:rPr>
              <w:fldChar w:fldCharType="separate"/>
            </w:r>
            <w:r>
              <w:rPr>
                <w:noProof/>
                <w:webHidden/>
              </w:rPr>
              <w:t>3</w:t>
            </w:r>
            <w:r>
              <w:rPr>
                <w:noProof/>
                <w:webHidden/>
              </w:rPr>
              <w:fldChar w:fldCharType="end"/>
            </w:r>
          </w:hyperlink>
        </w:p>
        <w:p w14:paraId="408AFC50" w14:textId="7CE53D6D" w:rsidR="002024A4" w:rsidRDefault="002024A4">
          <w:pPr>
            <w:pStyle w:val="TOC2"/>
            <w:tabs>
              <w:tab w:val="right" w:leader="dot" w:pos="8630"/>
            </w:tabs>
            <w:rPr>
              <w:rFonts w:eastAsiaTheme="minorEastAsia"/>
              <w:b w:val="0"/>
              <w:noProof/>
              <w:sz w:val="24"/>
              <w:szCs w:val="24"/>
            </w:rPr>
          </w:pPr>
          <w:hyperlink w:anchor="_Toc47625635" w:history="1">
            <w:r w:rsidRPr="009042A3">
              <w:rPr>
                <w:rStyle w:val="Hyperlink"/>
                <w:noProof/>
              </w:rPr>
              <w:t>4.2 Universal Elements</w:t>
            </w:r>
            <w:r>
              <w:rPr>
                <w:noProof/>
                <w:webHidden/>
              </w:rPr>
              <w:tab/>
            </w:r>
            <w:r>
              <w:rPr>
                <w:noProof/>
                <w:webHidden/>
              </w:rPr>
              <w:fldChar w:fldCharType="begin"/>
            </w:r>
            <w:r>
              <w:rPr>
                <w:noProof/>
                <w:webHidden/>
              </w:rPr>
              <w:instrText xml:space="preserve"> PAGEREF _Toc47625635 \h </w:instrText>
            </w:r>
            <w:r>
              <w:rPr>
                <w:noProof/>
                <w:webHidden/>
              </w:rPr>
            </w:r>
            <w:r>
              <w:rPr>
                <w:noProof/>
                <w:webHidden/>
              </w:rPr>
              <w:fldChar w:fldCharType="separate"/>
            </w:r>
            <w:r>
              <w:rPr>
                <w:noProof/>
                <w:webHidden/>
              </w:rPr>
              <w:t>4</w:t>
            </w:r>
            <w:r>
              <w:rPr>
                <w:noProof/>
                <w:webHidden/>
              </w:rPr>
              <w:fldChar w:fldCharType="end"/>
            </w:r>
          </w:hyperlink>
        </w:p>
        <w:p w14:paraId="2EFE65E6" w14:textId="5081AD99" w:rsidR="002024A4" w:rsidRDefault="002024A4">
          <w:pPr>
            <w:pStyle w:val="TOC2"/>
            <w:tabs>
              <w:tab w:val="right" w:leader="dot" w:pos="8630"/>
            </w:tabs>
            <w:rPr>
              <w:rFonts w:eastAsiaTheme="minorEastAsia"/>
              <w:b w:val="0"/>
              <w:noProof/>
              <w:sz w:val="24"/>
              <w:szCs w:val="24"/>
            </w:rPr>
          </w:pPr>
          <w:hyperlink w:anchor="_Toc47625636" w:history="1">
            <w:r w:rsidRPr="009042A3">
              <w:rPr>
                <w:rStyle w:val="Hyperlink"/>
                <w:noProof/>
              </w:rPr>
              <w:t>4.3 Initialization Elements</w:t>
            </w:r>
            <w:r>
              <w:rPr>
                <w:noProof/>
                <w:webHidden/>
              </w:rPr>
              <w:tab/>
            </w:r>
            <w:r>
              <w:rPr>
                <w:noProof/>
                <w:webHidden/>
              </w:rPr>
              <w:fldChar w:fldCharType="begin"/>
            </w:r>
            <w:r>
              <w:rPr>
                <w:noProof/>
                <w:webHidden/>
              </w:rPr>
              <w:instrText xml:space="preserve"> PAGEREF _Toc47625636 \h </w:instrText>
            </w:r>
            <w:r>
              <w:rPr>
                <w:noProof/>
                <w:webHidden/>
              </w:rPr>
            </w:r>
            <w:r>
              <w:rPr>
                <w:noProof/>
                <w:webHidden/>
              </w:rPr>
              <w:fldChar w:fldCharType="separate"/>
            </w:r>
            <w:r>
              <w:rPr>
                <w:noProof/>
                <w:webHidden/>
              </w:rPr>
              <w:t>5</w:t>
            </w:r>
            <w:r>
              <w:rPr>
                <w:noProof/>
                <w:webHidden/>
              </w:rPr>
              <w:fldChar w:fldCharType="end"/>
            </w:r>
          </w:hyperlink>
        </w:p>
        <w:p w14:paraId="7098046A" w14:textId="3BEF9EF2" w:rsidR="002024A4" w:rsidRDefault="002024A4">
          <w:pPr>
            <w:pStyle w:val="TOC3"/>
            <w:tabs>
              <w:tab w:val="right" w:leader="dot" w:pos="8630"/>
            </w:tabs>
            <w:rPr>
              <w:rFonts w:eastAsiaTheme="minorEastAsia"/>
              <w:noProof/>
              <w:sz w:val="24"/>
              <w:szCs w:val="24"/>
            </w:rPr>
          </w:pPr>
          <w:hyperlink w:anchor="_Toc47625637" w:history="1">
            <w:r w:rsidRPr="009042A3">
              <w:rPr>
                <w:rStyle w:val="Hyperlink"/>
                <w:noProof/>
              </w:rPr>
              <w:t>4.3.1 Settings Elements</w:t>
            </w:r>
            <w:r>
              <w:rPr>
                <w:noProof/>
                <w:webHidden/>
              </w:rPr>
              <w:tab/>
            </w:r>
            <w:r>
              <w:rPr>
                <w:noProof/>
                <w:webHidden/>
              </w:rPr>
              <w:fldChar w:fldCharType="begin"/>
            </w:r>
            <w:r>
              <w:rPr>
                <w:noProof/>
                <w:webHidden/>
              </w:rPr>
              <w:instrText xml:space="preserve"> PAGEREF _Toc47625637 \h </w:instrText>
            </w:r>
            <w:r>
              <w:rPr>
                <w:noProof/>
                <w:webHidden/>
              </w:rPr>
            </w:r>
            <w:r>
              <w:rPr>
                <w:noProof/>
                <w:webHidden/>
              </w:rPr>
              <w:fldChar w:fldCharType="separate"/>
            </w:r>
            <w:r>
              <w:rPr>
                <w:noProof/>
                <w:webHidden/>
              </w:rPr>
              <w:t>5</w:t>
            </w:r>
            <w:r>
              <w:rPr>
                <w:noProof/>
                <w:webHidden/>
              </w:rPr>
              <w:fldChar w:fldCharType="end"/>
            </w:r>
          </w:hyperlink>
        </w:p>
        <w:p w14:paraId="12EE4AE0" w14:textId="2DC7D86C" w:rsidR="002024A4" w:rsidRDefault="002024A4">
          <w:pPr>
            <w:pStyle w:val="TOC3"/>
            <w:tabs>
              <w:tab w:val="right" w:leader="dot" w:pos="8630"/>
            </w:tabs>
            <w:rPr>
              <w:rFonts w:eastAsiaTheme="minorEastAsia"/>
              <w:noProof/>
              <w:sz w:val="24"/>
              <w:szCs w:val="24"/>
            </w:rPr>
          </w:pPr>
          <w:hyperlink w:anchor="_Toc47625638" w:history="1">
            <w:r w:rsidRPr="009042A3">
              <w:rPr>
                <w:rStyle w:val="Hyperlink"/>
                <w:noProof/>
              </w:rPr>
              <w:t>4.3.2 Input/Output Elements</w:t>
            </w:r>
            <w:r>
              <w:rPr>
                <w:noProof/>
                <w:webHidden/>
              </w:rPr>
              <w:tab/>
            </w:r>
            <w:r>
              <w:rPr>
                <w:noProof/>
                <w:webHidden/>
              </w:rPr>
              <w:fldChar w:fldCharType="begin"/>
            </w:r>
            <w:r>
              <w:rPr>
                <w:noProof/>
                <w:webHidden/>
              </w:rPr>
              <w:instrText xml:space="preserve"> PAGEREF _Toc47625638 \h </w:instrText>
            </w:r>
            <w:r>
              <w:rPr>
                <w:noProof/>
                <w:webHidden/>
              </w:rPr>
            </w:r>
            <w:r>
              <w:rPr>
                <w:noProof/>
                <w:webHidden/>
              </w:rPr>
              <w:fldChar w:fldCharType="separate"/>
            </w:r>
            <w:r>
              <w:rPr>
                <w:noProof/>
                <w:webHidden/>
              </w:rPr>
              <w:t>7</w:t>
            </w:r>
            <w:r>
              <w:rPr>
                <w:noProof/>
                <w:webHidden/>
              </w:rPr>
              <w:fldChar w:fldCharType="end"/>
            </w:r>
          </w:hyperlink>
        </w:p>
        <w:p w14:paraId="5ABB2A4C" w14:textId="2F7BAD34" w:rsidR="002024A4" w:rsidRDefault="002024A4">
          <w:pPr>
            <w:pStyle w:val="TOC3"/>
            <w:tabs>
              <w:tab w:val="right" w:leader="dot" w:pos="8630"/>
            </w:tabs>
            <w:rPr>
              <w:rFonts w:eastAsiaTheme="minorEastAsia"/>
              <w:noProof/>
              <w:sz w:val="24"/>
              <w:szCs w:val="24"/>
            </w:rPr>
          </w:pPr>
          <w:hyperlink w:anchor="_Toc47625639" w:history="1">
            <w:r w:rsidRPr="009042A3">
              <w:rPr>
                <w:rStyle w:val="Hyperlink"/>
                <w:noProof/>
              </w:rPr>
              <w:t>4.3.3 Logic Element</w:t>
            </w:r>
            <w:r>
              <w:rPr>
                <w:noProof/>
                <w:webHidden/>
              </w:rPr>
              <w:tab/>
            </w:r>
            <w:r>
              <w:rPr>
                <w:noProof/>
                <w:webHidden/>
              </w:rPr>
              <w:fldChar w:fldCharType="begin"/>
            </w:r>
            <w:r>
              <w:rPr>
                <w:noProof/>
                <w:webHidden/>
              </w:rPr>
              <w:instrText xml:space="preserve"> PAGEREF _Toc47625639 \h </w:instrText>
            </w:r>
            <w:r>
              <w:rPr>
                <w:noProof/>
                <w:webHidden/>
              </w:rPr>
            </w:r>
            <w:r>
              <w:rPr>
                <w:noProof/>
                <w:webHidden/>
              </w:rPr>
              <w:fldChar w:fldCharType="separate"/>
            </w:r>
            <w:r>
              <w:rPr>
                <w:noProof/>
                <w:webHidden/>
              </w:rPr>
              <w:t>9</w:t>
            </w:r>
            <w:r>
              <w:rPr>
                <w:noProof/>
                <w:webHidden/>
              </w:rPr>
              <w:fldChar w:fldCharType="end"/>
            </w:r>
          </w:hyperlink>
        </w:p>
        <w:p w14:paraId="595284EB" w14:textId="61505DFC" w:rsidR="002024A4" w:rsidRDefault="002024A4">
          <w:pPr>
            <w:pStyle w:val="TOC2"/>
            <w:tabs>
              <w:tab w:val="right" w:leader="dot" w:pos="8630"/>
            </w:tabs>
            <w:rPr>
              <w:rFonts w:eastAsiaTheme="minorEastAsia"/>
              <w:b w:val="0"/>
              <w:noProof/>
              <w:sz w:val="24"/>
              <w:szCs w:val="24"/>
            </w:rPr>
          </w:pPr>
          <w:hyperlink w:anchor="_Toc47625640" w:history="1">
            <w:r w:rsidRPr="009042A3">
              <w:rPr>
                <w:rStyle w:val="Hyperlink"/>
                <w:noProof/>
              </w:rPr>
              <w:t>4.4 Display Setup</w:t>
            </w:r>
            <w:r>
              <w:rPr>
                <w:noProof/>
                <w:webHidden/>
              </w:rPr>
              <w:tab/>
            </w:r>
            <w:r>
              <w:rPr>
                <w:noProof/>
                <w:webHidden/>
              </w:rPr>
              <w:fldChar w:fldCharType="begin"/>
            </w:r>
            <w:r>
              <w:rPr>
                <w:noProof/>
                <w:webHidden/>
              </w:rPr>
              <w:instrText xml:space="preserve"> PAGEREF _Toc47625640 \h </w:instrText>
            </w:r>
            <w:r>
              <w:rPr>
                <w:noProof/>
                <w:webHidden/>
              </w:rPr>
            </w:r>
            <w:r>
              <w:rPr>
                <w:noProof/>
                <w:webHidden/>
              </w:rPr>
              <w:fldChar w:fldCharType="separate"/>
            </w:r>
            <w:r>
              <w:rPr>
                <w:noProof/>
                <w:webHidden/>
              </w:rPr>
              <w:t>9</w:t>
            </w:r>
            <w:r>
              <w:rPr>
                <w:noProof/>
                <w:webHidden/>
              </w:rPr>
              <w:fldChar w:fldCharType="end"/>
            </w:r>
          </w:hyperlink>
        </w:p>
        <w:p w14:paraId="4DC20702" w14:textId="3CB09ED9" w:rsidR="002024A4" w:rsidRDefault="002024A4">
          <w:pPr>
            <w:pStyle w:val="TOC2"/>
            <w:tabs>
              <w:tab w:val="right" w:leader="dot" w:pos="8630"/>
            </w:tabs>
            <w:rPr>
              <w:rFonts w:eastAsiaTheme="minorEastAsia"/>
              <w:b w:val="0"/>
              <w:noProof/>
              <w:sz w:val="24"/>
              <w:szCs w:val="24"/>
            </w:rPr>
          </w:pPr>
          <w:hyperlink w:anchor="_Toc47625641" w:history="1">
            <w:r w:rsidRPr="009042A3">
              <w:rPr>
                <w:rStyle w:val="Hyperlink"/>
                <w:noProof/>
              </w:rPr>
              <w:t>4.5 Display Primitives</w:t>
            </w:r>
            <w:r>
              <w:rPr>
                <w:noProof/>
                <w:webHidden/>
              </w:rPr>
              <w:tab/>
            </w:r>
            <w:r>
              <w:rPr>
                <w:noProof/>
                <w:webHidden/>
              </w:rPr>
              <w:fldChar w:fldCharType="begin"/>
            </w:r>
            <w:r>
              <w:rPr>
                <w:noProof/>
                <w:webHidden/>
              </w:rPr>
              <w:instrText xml:space="preserve"> PAGEREF _Toc47625641 \h </w:instrText>
            </w:r>
            <w:r>
              <w:rPr>
                <w:noProof/>
                <w:webHidden/>
              </w:rPr>
            </w:r>
            <w:r>
              <w:rPr>
                <w:noProof/>
                <w:webHidden/>
              </w:rPr>
              <w:fldChar w:fldCharType="separate"/>
            </w:r>
            <w:r>
              <w:rPr>
                <w:noProof/>
                <w:webHidden/>
              </w:rPr>
              <w:t>10</w:t>
            </w:r>
            <w:r>
              <w:rPr>
                <w:noProof/>
                <w:webHidden/>
              </w:rPr>
              <w:fldChar w:fldCharType="end"/>
            </w:r>
          </w:hyperlink>
        </w:p>
        <w:p w14:paraId="2793B730" w14:textId="3A4EA832" w:rsidR="002024A4" w:rsidRDefault="002024A4">
          <w:pPr>
            <w:pStyle w:val="TOC3"/>
            <w:tabs>
              <w:tab w:val="right" w:leader="dot" w:pos="8630"/>
            </w:tabs>
            <w:rPr>
              <w:rFonts w:eastAsiaTheme="minorEastAsia"/>
              <w:noProof/>
              <w:sz w:val="24"/>
              <w:szCs w:val="24"/>
            </w:rPr>
          </w:pPr>
          <w:hyperlink w:anchor="_Toc47625642" w:history="1">
            <w:r w:rsidRPr="009042A3">
              <w:rPr>
                <w:rStyle w:val="Hyperlink"/>
                <w:noProof/>
              </w:rPr>
              <w:t>4.5.1 Visual Primitives</w:t>
            </w:r>
            <w:r>
              <w:rPr>
                <w:noProof/>
                <w:webHidden/>
              </w:rPr>
              <w:tab/>
            </w:r>
            <w:r>
              <w:rPr>
                <w:noProof/>
                <w:webHidden/>
              </w:rPr>
              <w:fldChar w:fldCharType="begin"/>
            </w:r>
            <w:r>
              <w:rPr>
                <w:noProof/>
                <w:webHidden/>
              </w:rPr>
              <w:instrText xml:space="preserve"> PAGEREF _Toc47625642 \h </w:instrText>
            </w:r>
            <w:r>
              <w:rPr>
                <w:noProof/>
                <w:webHidden/>
              </w:rPr>
            </w:r>
            <w:r>
              <w:rPr>
                <w:noProof/>
                <w:webHidden/>
              </w:rPr>
              <w:fldChar w:fldCharType="separate"/>
            </w:r>
            <w:r>
              <w:rPr>
                <w:noProof/>
                <w:webHidden/>
              </w:rPr>
              <w:t>10</w:t>
            </w:r>
            <w:r>
              <w:rPr>
                <w:noProof/>
                <w:webHidden/>
              </w:rPr>
              <w:fldChar w:fldCharType="end"/>
            </w:r>
          </w:hyperlink>
        </w:p>
        <w:p w14:paraId="68E76FA5" w14:textId="163FE628" w:rsidR="002024A4" w:rsidRDefault="002024A4">
          <w:pPr>
            <w:pStyle w:val="TOC3"/>
            <w:tabs>
              <w:tab w:val="right" w:leader="dot" w:pos="8630"/>
            </w:tabs>
            <w:rPr>
              <w:rFonts w:eastAsiaTheme="minorEastAsia"/>
              <w:noProof/>
              <w:sz w:val="24"/>
              <w:szCs w:val="24"/>
            </w:rPr>
          </w:pPr>
          <w:hyperlink w:anchor="_Toc47625643" w:history="1">
            <w:r w:rsidRPr="009042A3">
              <w:rPr>
                <w:rStyle w:val="Hyperlink"/>
                <w:noProof/>
              </w:rPr>
              <w:t>4.5.2 Event Primitives</w:t>
            </w:r>
            <w:r>
              <w:rPr>
                <w:noProof/>
                <w:webHidden/>
              </w:rPr>
              <w:tab/>
            </w:r>
            <w:r>
              <w:rPr>
                <w:noProof/>
                <w:webHidden/>
              </w:rPr>
              <w:fldChar w:fldCharType="begin"/>
            </w:r>
            <w:r>
              <w:rPr>
                <w:noProof/>
                <w:webHidden/>
              </w:rPr>
              <w:instrText xml:space="preserve"> PAGEREF _Toc47625643 \h </w:instrText>
            </w:r>
            <w:r>
              <w:rPr>
                <w:noProof/>
                <w:webHidden/>
              </w:rPr>
            </w:r>
            <w:r>
              <w:rPr>
                <w:noProof/>
                <w:webHidden/>
              </w:rPr>
              <w:fldChar w:fldCharType="separate"/>
            </w:r>
            <w:r>
              <w:rPr>
                <w:noProof/>
                <w:webHidden/>
              </w:rPr>
              <w:t>13</w:t>
            </w:r>
            <w:r>
              <w:rPr>
                <w:noProof/>
                <w:webHidden/>
              </w:rPr>
              <w:fldChar w:fldCharType="end"/>
            </w:r>
          </w:hyperlink>
        </w:p>
        <w:p w14:paraId="11B30A86" w14:textId="1A6D0566" w:rsidR="002024A4" w:rsidRDefault="002024A4">
          <w:pPr>
            <w:pStyle w:val="TOC1"/>
            <w:tabs>
              <w:tab w:val="right" w:leader="dot" w:pos="8630"/>
            </w:tabs>
            <w:rPr>
              <w:rFonts w:eastAsiaTheme="minorEastAsia"/>
              <w:b w:val="0"/>
              <w:noProof/>
            </w:rPr>
          </w:pPr>
          <w:hyperlink w:anchor="_Toc47625644" w:history="1">
            <w:r w:rsidRPr="009042A3">
              <w:rPr>
                <w:rStyle w:val="Hyperlink"/>
                <w:noProof/>
              </w:rPr>
              <w:t>5.0 Technical Details</w:t>
            </w:r>
            <w:r>
              <w:rPr>
                <w:noProof/>
                <w:webHidden/>
              </w:rPr>
              <w:tab/>
            </w:r>
            <w:r>
              <w:rPr>
                <w:noProof/>
                <w:webHidden/>
              </w:rPr>
              <w:fldChar w:fldCharType="begin"/>
            </w:r>
            <w:r>
              <w:rPr>
                <w:noProof/>
                <w:webHidden/>
              </w:rPr>
              <w:instrText xml:space="preserve"> PAGEREF _Toc47625644 \h </w:instrText>
            </w:r>
            <w:r>
              <w:rPr>
                <w:noProof/>
                <w:webHidden/>
              </w:rPr>
            </w:r>
            <w:r>
              <w:rPr>
                <w:noProof/>
                <w:webHidden/>
              </w:rPr>
              <w:fldChar w:fldCharType="separate"/>
            </w:r>
            <w:r>
              <w:rPr>
                <w:noProof/>
                <w:webHidden/>
              </w:rPr>
              <w:t>16</w:t>
            </w:r>
            <w:r>
              <w:rPr>
                <w:noProof/>
                <w:webHidden/>
              </w:rPr>
              <w:fldChar w:fldCharType="end"/>
            </w:r>
          </w:hyperlink>
        </w:p>
        <w:p w14:paraId="1CA77AA4" w14:textId="73140D0A" w:rsidR="002024A4" w:rsidRDefault="002024A4">
          <w:pPr>
            <w:pStyle w:val="TOC2"/>
            <w:tabs>
              <w:tab w:val="right" w:leader="dot" w:pos="8630"/>
            </w:tabs>
            <w:rPr>
              <w:rFonts w:eastAsiaTheme="minorEastAsia"/>
              <w:b w:val="0"/>
              <w:noProof/>
              <w:sz w:val="24"/>
              <w:szCs w:val="24"/>
            </w:rPr>
          </w:pPr>
          <w:hyperlink w:anchor="_Toc47625645" w:history="1">
            <w:r w:rsidRPr="009042A3">
              <w:rPr>
                <w:rStyle w:val="Hyperlink"/>
                <w:noProof/>
              </w:rPr>
              <w:t>5.1 Color Format Specification</w:t>
            </w:r>
            <w:r>
              <w:rPr>
                <w:noProof/>
                <w:webHidden/>
              </w:rPr>
              <w:tab/>
            </w:r>
            <w:r>
              <w:rPr>
                <w:noProof/>
                <w:webHidden/>
              </w:rPr>
              <w:fldChar w:fldCharType="begin"/>
            </w:r>
            <w:r>
              <w:rPr>
                <w:noProof/>
                <w:webHidden/>
              </w:rPr>
              <w:instrText xml:space="preserve"> PAGEREF _Toc47625645 \h </w:instrText>
            </w:r>
            <w:r>
              <w:rPr>
                <w:noProof/>
                <w:webHidden/>
              </w:rPr>
            </w:r>
            <w:r>
              <w:rPr>
                <w:noProof/>
                <w:webHidden/>
              </w:rPr>
              <w:fldChar w:fldCharType="separate"/>
            </w:r>
            <w:r>
              <w:rPr>
                <w:noProof/>
                <w:webHidden/>
              </w:rPr>
              <w:t>16</w:t>
            </w:r>
            <w:r>
              <w:rPr>
                <w:noProof/>
                <w:webHidden/>
              </w:rPr>
              <w:fldChar w:fldCharType="end"/>
            </w:r>
          </w:hyperlink>
        </w:p>
        <w:p w14:paraId="6018B5C0" w14:textId="61811471" w:rsidR="002024A4" w:rsidRDefault="002024A4">
          <w:pPr>
            <w:pStyle w:val="TOC2"/>
            <w:tabs>
              <w:tab w:val="right" w:leader="dot" w:pos="8630"/>
            </w:tabs>
            <w:rPr>
              <w:rFonts w:eastAsiaTheme="minorEastAsia"/>
              <w:b w:val="0"/>
              <w:noProof/>
              <w:sz w:val="24"/>
              <w:szCs w:val="24"/>
            </w:rPr>
          </w:pPr>
          <w:hyperlink w:anchor="_Toc47625646" w:history="1">
            <w:r w:rsidRPr="009042A3">
              <w:rPr>
                <w:rStyle w:val="Hyperlink"/>
                <w:noProof/>
              </w:rPr>
              <w:t>5.2 Origin Specification</w:t>
            </w:r>
            <w:r>
              <w:rPr>
                <w:noProof/>
                <w:webHidden/>
              </w:rPr>
              <w:tab/>
            </w:r>
            <w:r>
              <w:rPr>
                <w:noProof/>
                <w:webHidden/>
              </w:rPr>
              <w:fldChar w:fldCharType="begin"/>
            </w:r>
            <w:r>
              <w:rPr>
                <w:noProof/>
                <w:webHidden/>
              </w:rPr>
              <w:instrText xml:space="preserve"> PAGEREF _Toc47625646 \h </w:instrText>
            </w:r>
            <w:r>
              <w:rPr>
                <w:noProof/>
                <w:webHidden/>
              </w:rPr>
            </w:r>
            <w:r>
              <w:rPr>
                <w:noProof/>
                <w:webHidden/>
              </w:rPr>
              <w:fldChar w:fldCharType="separate"/>
            </w:r>
            <w:r>
              <w:rPr>
                <w:noProof/>
                <w:webHidden/>
              </w:rPr>
              <w:t>16</w:t>
            </w:r>
            <w:r>
              <w:rPr>
                <w:noProof/>
                <w:webHidden/>
              </w:rPr>
              <w:fldChar w:fldCharType="end"/>
            </w:r>
          </w:hyperlink>
        </w:p>
        <w:p w14:paraId="2F016E3A" w14:textId="0D44DB9B" w:rsidR="002024A4" w:rsidRDefault="002024A4">
          <w:pPr>
            <w:pStyle w:val="TOC2"/>
            <w:tabs>
              <w:tab w:val="right" w:leader="dot" w:pos="8630"/>
            </w:tabs>
            <w:rPr>
              <w:rFonts w:eastAsiaTheme="minorEastAsia"/>
              <w:b w:val="0"/>
              <w:noProof/>
              <w:sz w:val="24"/>
              <w:szCs w:val="24"/>
            </w:rPr>
          </w:pPr>
          <w:hyperlink w:anchor="_Toc47625647" w:history="1">
            <w:r w:rsidRPr="009042A3">
              <w:rPr>
                <w:rStyle w:val="Hyperlink"/>
                <w:noProof/>
              </w:rPr>
              <w:t>5.3 Alignment Specification</w:t>
            </w:r>
            <w:r>
              <w:rPr>
                <w:noProof/>
                <w:webHidden/>
              </w:rPr>
              <w:tab/>
            </w:r>
            <w:r>
              <w:rPr>
                <w:noProof/>
                <w:webHidden/>
              </w:rPr>
              <w:fldChar w:fldCharType="begin"/>
            </w:r>
            <w:r>
              <w:rPr>
                <w:noProof/>
                <w:webHidden/>
              </w:rPr>
              <w:instrText xml:space="preserve"> PAGEREF _Toc47625647 \h </w:instrText>
            </w:r>
            <w:r>
              <w:rPr>
                <w:noProof/>
                <w:webHidden/>
              </w:rPr>
            </w:r>
            <w:r>
              <w:rPr>
                <w:noProof/>
                <w:webHidden/>
              </w:rPr>
              <w:fldChar w:fldCharType="separate"/>
            </w:r>
            <w:r>
              <w:rPr>
                <w:noProof/>
                <w:webHidden/>
              </w:rPr>
              <w:t>16</w:t>
            </w:r>
            <w:r>
              <w:rPr>
                <w:noProof/>
                <w:webHidden/>
              </w:rPr>
              <w:fldChar w:fldCharType="end"/>
            </w:r>
          </w:hyperlink>
        </w:p>
        <w:p w14:paraId="64EE7AFD" w14:textId="0D246C92" w:rsidR="002024A4" w:rsidRDefault="002024A4">
          <w:pPr>
            <w:pStyle w:val="TOC2"/>
            <w:tabs>
              <w:tab w:val="right" w:leader="dot" w:pos="8630"/>
            </w:tabs>
            <w:rPr>
              <w:rFonts w:eastAsiaTheme="minorEastAsia"/>
              <w:b w:val="0"/>
              <w:noProof/>
              <w:sz w:val="24"/>
              <w:szCs w:val="24"/>
            </w:rPr>
          </w:pPr>
          <w:hyperlink w:anchor="_Toc47625648" w:history="1">
            <w:r w:rsidRPr="009042A3">
              <w:rPr>
                <w:rStyle w:val="Hyperlink"/>
                <w:noProof/>
              </w:rPr>
              <w:t>5.4 Graphic File Formats</w:t>
            </w:r>
            <w:r>
              <w:rPr>
                <w:noProof/>
                <w:webHidden/>
              </w:rPr>
              <w:tab/>
            </w:r>
            <w:r>
              <w:rPr>
                <w:noProof/>
                <w:webHidden/>
              </w:rPr>
              <w:fldChar w:fldCharType="begin"/>
            </w:r>
            <w:r>
              <w:rPr>
                <w:noProof/>
                <w:webHidden/>
              </w:rPr>
              <w:instrText xml:space="preserve"> PAGEREF _Toc47625648 \h </w:instrText>
            </w:r>
            <w:r>
              <w:rPr>
                <w:noProof/>
                <w:webHidden/>
              </w:rPr>
            </w:r>
            <w:r>
              <w:rPr>
                <w:noProof/>
                <w:webHidden/>
              </w:rPr>
              <w:fldChar w:fldCharType="separate"/>
            </w:r>
            <w:r>
              <w:rPr>
                <w:noProof/>
                <w:webHidden/>
              </w:rPr>
              <w:t>17</w:t>
            </w:r>
            <w:r>
              <w:rPr>
                <w:noProof/>
                <w:webHidden/>
              </w:rPr>
              <w:fldChar w:fldCharType="end"/>
            </w:r>
          </w:hyperlink>
        </w:p>
        <w:p w14:paraId="2BF12689" w14:textId="1E93BA2A" w:rsidR="002024A4" w:rsidRDefault="002024A4">
          <w:pPr>
            <w:pStyle w:val="TOC2"/>
            <w:tabs>
              <w:tab w:val="right" w:leader="dot" w:pos="8630"/>
            </w:tabs>
            <w:rPr>
              <w:rFonts w:eastAsiaTheme="minorEastAsia"/>
              <w:b w:val="0"/>
              <w:noProof/>
              <w:sz w:val="24"/>
              <w:szCs w:val="24"/>
            </w:rPr>
          </w:pPr>
          <w:hyperlink w:anchor="_Toc47625649" w:history="1">
            <w:r w:rsidRPr="009042A3">
              <w:rPr>
                <w:rStyle w:val="Hyperlink"/>
                <w:noProof/>
              </w:rPr>
              <w:t>5.5 Display Logic File</w:t>
            </w:r>
            <w:r>
              <w:rPr>
                <w:noProof/>
                <w:webHidden/>
              </w:rPr>
              <w:tab/>
            </w:r>
            <w:r>
              <w:rPr>
                <w:noProof/>
                <w:webHidden/>
              </w:rPr>
              <w:fldChar w:fldCharType="begin"/>
            </w:r>
            <w:r>
              <w:rPr>
                <w:noProof/>
                <w:webHidden/>
              </w:rPr>
              <w:instrText xml:space="preserve"> PAGEREF _Toc47625649 \h </w:instrText>
            </w:r>
            <w:r>
              <w:rPr>
                <w:noProof/>
                <w:webHidden/>
              </w:rPr>
            </w:r>
            <w:r>
              <w:rPr>
                <w:noProof/>
                <w:webHidden/>
              </w:rPr>
              <w:fldChar w:fldCharType="separate"/>
            </w:r>
            <w:r>
              <w:rPr>
                <w:noProof/>
                <w:webHidden/>
              </w:rPr>
              <w:t>17</w:t>
            </w:r>
            <w:r>
              <w:rPr>
                <w:noProof/>
                <w:webHidden/>
              </w:rPr>
              <w:fldChar w:fldCharType="end"/>
            </w:r>
          </w:hyperlink>
        </w:p>
        <w:p w14:paraId="5D601B74" w14:textId="13A75204" w:rsidR="002024A4" w:rsidRDefault="002024A4">
          <w:pPr>
            <w:pStyle w:val="TOC2"/>
            <w:tabs>
              <w:tab w:val="right" w:leader="dot" w:pos="8630"/>
            </w:tabs>
            <w:rPr>
              <w:rFonts w:eastAsiaTheme="minorEastAsia"/>
              <w:b w:val="0"/>
              <w:noProof/>
              <w:sz w:val="24"/>
              <w:szCs w:val="24"/>
            </w:rPr>
          </w:pPr>
          <w:hyperlink w:anchor="_Toc47625650" w:history="1">
            <w:r w:rsidRPr="009042A3">
              <w:rPr>
                <w:rStyle w:val="Hyperlink"/>
                <w:noProof/>
              </w:rPr>
              <w:t>5.6 Element Values</w:t>
            </w:r>
            <w:r>
              <w:rPr>
                <w:noProof/>
                <w:webHidden/>
              </w:rPr>
              <w:tab/>
            </w:r>
            <w:r>
              <w:rPr>
                <w:noProof/>
                <w:webHidden/>
              </w:rPr>
              <w:fldChar w:fldCharType="begin"/>
            </w:r>
            <w:r>
              <w:rPr>
                <w:noProof/>
                <w:webHidden/>
              </w:rPr>
              <w:instrText xml:space="preserve"> PAGEREF _Toc47625650 \h </w:instrText>
            </w:r>
            <w:r>
              <w:rPr>
                <w:noProof/>
                <w:webHidden/>
              </w:rPr>
            </w:r>
            <w:r>
              <w:rPr>
                <w:noProof/>
                <w:webHidden/>
              </w:rPr>
              <w:fldChar w:fldCharType="separate"/>
            </w:r>
            <w:r>
              <w:rPr>
                <w:noProof/>
                <w:webHidden/>
              </w:rPr>
              <w:t>18</w:t>
            </w:r>
            <w:r>
              <w:rPr>
                <w:noProof/>
                <w:webHidden/>
              </w:rPr>
              <w:fldChar w:fldCharType="end"/>
            </w:r>
          </w:hyperlink>
        </w:p>
        <w:p w14:paraId="4B0A0822" w14:textId="3C85E6A7" w:rsidR="002024A4" w:rsidRDefault="002024A4">
          <w:pPr>
            <w:pStyle w:val="TOC3"/>
            <w:tabs>
              <w:tab w:val="right" w:leader="dot" w:pos="8630"/>
            </w:tabs>
            <w:rPr>
              <w:rFonts w:eastAsiaTheme="minorEastAsia"/>
              <w:noProof/>
              <w:sz w:val="24"/>
              <w:szCs w:val="24"/>
            </w:rPr>
          </w:pPr>
          <w:hyperlink w:anchor="_Toc47625651" w:history="1">
            <w:r w:rsidRPr="009042A3">
              <w:rPr>
                <w:rStyle w:val="Hyperlink"/>
                <w:noProof/>
              </w:rPr>
              <w:t>5.6.1 Constants</w:t>
            </w:r>
            <w:r>
              <w:rPr>
                <w:noProof/>
                <w:webHidden/>
              </w:rPr>
              <w:tab/>
            </w:r>
            <w:r>
              <w:rPr>
                <w:noProof/>
                <w:webHidden/>
              </w:rPr>
              <w:fldChar w:fldCharType="begin"/>
            </w:r>
            <w:r>
              <w:rPr>
                <w:noProof/>
                <w:webHidden/>
              </w:rPr>
              <w:instrText xml:space="preserve"> PAGEREF _Toc47625651 \h </w:instrText>
            </w:r>
            <w:r>
              <w:rPr>
                <w:noProof/>
                <w:webHidden/>
              </w:rPr>
            </w:r>
            <w:r>
              <w:rPr>
                <w:noProof/>
                <w:webHidden/>
              </w:rPr>
              <w:fldChar w:fldCharType="separate"/>
            </w:r>
            <w:r>
              <w:rPr>
                <w:noProof/>
                <w:webHidden/>
              </w:rPr>
              <w:t>18</w:t>
            </w:r>
            <w:r>
              <w:rPr>
                <w:noProof/>
                <w:webHidden/>
              </w:rPr>
              <w:fldChar w:fldCharType="end"/>
            </w:r>
          </w:hyperlink>
        </w:p>
        <w:p w14:paraId="5AE6D5C5" w14:textId="6D334334" w:rsidR="002024A4" w:rsidRDefault="002024A4">
          <w:pPr>
            <w:pStyle w:val="TOC3"/>
            <w:tabs>
              <w:tab w:val="right" w:leader="dot" w:pos="8630"/>
            </w:tabs>
            <w:rPr>
              <w:rFonts w:eastAsiaTheme="minorEastAsia"/>
              <w:noProof/>
              <w:sz w:val="24"/>
              <w:szCs w:val="24"/>
            </w:rPr>
          </w:pPr>
          <w:hyperlink w:anchor="_Toc47625652" w:history="1">
            <w:r w:rsidRPr="009042A3">
              <w:rPr>
                <w:rStyle w:val="Hyperlink"/>
                <w:noProof/>
              </w:rPr>
              <w:t>5.6.2 Variables</w:t>
            </w:r>
            <w:r>
              <w:rPr>
                <w:noProof/>
                <w:webHidden/>
              </w:rPr>
              <w:tab/>
            </w:r>
            <w:r>
              <w:rPr>
                <w:noProof/>
                <w:webHidden/>
              </w:rPr>
              <w:fldChar w:fldCharType="begin"/>
            </w:r>
            <w:r>
              <w:rPr>
                <w:noProof/>
                <w:webHidden/>
              </w:rPr>
              <w:instrText xml:space="preserve"> PAGEREF _Toc47625652 \h </w:instrText>
            </w:r>
            <w:r>
              <w:rPr>
                <w:noProof/>
                <w:webHidden/>
              </w:rPr>
            </w:r>
            <w:r>
              <w:rPr>
                <w:noProof/>
                <w:webHidden/>
              </w:rPr>
              <w:fldChar w:fldCharType="separate"/>
            </w:r>
            <w:r>
              <w:rPr>
                <w:noProof/>
                <w:webHidden/>
              </w:rPr>
              <w:t>18</w:t>
            </w:r>
            <w:r>
              <w:rPr>
                <w:noProof/>
                <w:webHidden/>
              </w:rPr>
              <w:fldChar w:fldCharType="end"/>
            </w:r>
          </w:hyperlink>
        </w:p>
        <w:p w14:paraId="64A3C31A" w14:textId="21FC1C67" w:rsidR="002024A4" w:rsidRDefault="002024A4">
          <w:pPr>
            <w:pStyle w:val="TOC3"/>
            <w:tabs>
              <w:tab w:val="right" w:leader="dot" w:pos="8630"/>
            </w:tabs>
            <w:rPr>
              <w:rFonts w:eastAsiaTheme="minorEastAsia"/>
              <w:noProof/>
              <w:sz w:val="24"/>
              <w:szCs w:val="24"/>
            </w:rPr>
          </w:pPr>
          <w:hyperlink w:anchor="_Toc47625653" w:history="1">
            <w:r w:rsidRPr="009042A3">
              <w:rPr>
                <w:rStyle w:val="Hyperlink"/>
                <w:noProof/>
              </w:rPr>
              <w:t>5.6.3 Environment Variables</w:t>
            </w:r>
            <w:r>
              <w:rPr>
                <w:noProof/>
                <w:webHidden/>
              </w:rPr>
              <w:tab/>
            </w:r>
            <w:r>
              <w:rPr>
                <w:noProof/>
                <w:webHidden/>
              </w:rPr>
              <w:fldChar w:fldCharType="begin"/>
            </w:r>
            <w:r>
              <w:rPr>
                <w:noProof/>
                <w:webHidden/>
              </w:rPr>
              <w:instrText xml:space="preserve"> PAGEREF _Toc47625653 \h </w:instrText>
            </w:r>
            <w:r>
              <w:rPr>
                <w:noProof/>
                <w:webHidden/>
              </w:rPr>
            </w:r>
            <w:r>
              <w:rPr>
                <w:noProof/>
                <w:webHidden/>
              </w:rPr>
              <w:fldChar w:fldCharType="separate"/>
            </w:r>
            <w:r>
              <w:rPr>
                <w:noProof/>
                <w:webHidden/>
              </w:rPr>
              <w:t>18</w:t>
            </w:r>
            <w:r>
              <w:rPr>
                <w:noProof/>
                <w:webHidden/>
              </w:rPr>
              <w:fldChar w:fldCharType="end"/>
            </w:r>
          </w:hyperlink>
        </w:p>
        <w:p w14:paraId="7980A2CB" w14:textId="6124F07E" w:rsidR="002024A4" w:rsidRDefault="002024A4">
          <w:pPr>
            <w:pStyle w:val="TOC1"/>
            <w:tabs>
              <w:tab w:val="right" w:leader="dot" w:pos="8630"/>
            </w:tabs>
            <w:rPr>
              <w:rFonts w:eastAsiaTheme="minorEastAsia"/>
              <w:b w:val="0"/>
              <w:noProof/>
            </w:rPr>
          </w:pPr>
          <w:hyperlink w:anchor="_Toc47625654" w:history="1">
            <w:r w:rsidRPr="009042A3">
              <w:rPr>
                <w:rStyle w:val="Hyperlink"/>
                <w:noProof/>
              </w:rPr>
              <w:t>6.0 Release Information</w:t>
            </w:r>
            <w:r>
              <w:rPr>
                <w:noProof/>
                <w:webHidden/>
              </w:rPr>
              <w:tab/>
            </w:r>
            <w:r>
              <w:rPr>
                <w:noProof/>
                <w:webHidden/>
              </w:rPr>
              <w:fldChar w:fldCharType="begin"/>
            </w:r>
            <w:r>
              <w:rPr>
                <w:noProof/>
                <w:webHidden/>
              </w:rPr>
              <w:instrText xml:space="preserve"> PAGEREF _Toc47625654 \h </w:instrText>
            </w:r>
            <w:r>
              <w:rPr>
                <w:noProof/>
                <w:webHidden/>
              </w:rPr>
            </w:r>
            <w:r>
              <w:rPr>
                <w:noProof/>
                <w:webHidden/>
              </w:rPr>
              <w:fldChar w:fldCharType="separate"/>
            </w:r>
            <w:r>
              <w:rPr>
                <w:noProof/>
                <w:webHidden/>
              </w:rPr>
              <w:t>19</w:t>
            </w:r>
            <w:r>
              <w:rPr>
                <w:noProof/>
                <w:webHidden/>
              </w:rPr>
              <w:fldChar w:fldCharType="end"/>
            </w:r>
          </w:hyperlink>
        </w:p>
        <w:p w14:paraId="378F334A" w14:textId="56F24A98"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47625627"/>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37138A"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47625628"/>
      <w:r>
        <w:t>2.0 Installation</w:t>
      </w:r>
      <w:bookmarkEnd w:id="1"/>
    </w:p>
    <w:p w14:paraId="27EFC503" w14:textId="03925B36" w:rsidR="00C4589B" w:rsidRDefault="00C4589B" w:rsidP="00C4589B">
      <w:pPr>
        <w:pStyle w:val="Heading2"/>
      </w:pPr>
      <w:bookmarkStart w:id="2" w:name="_Toc47625629"/>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47625630"/>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47625631"/>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47625632"/>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47625633"/>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47625634"/>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47625635"/>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47625636"/>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47625637"/>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47625638"/>
      <w:r>
        <w:lastRenderedPageBreak/>
        <w:t xml:space="preserve">4.3.2 </w:t>
      </w:r>
      <w:proofErr w:type="spellStart"/>
      <w:r>
        <w:t>Input/Output</w:t>
      </w:r>
      <w:proofErr w:type="spellEnd"/>
      <w:r>
        <w:t xml:space="preserve">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47625639"/>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47625640"/>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47625641"/>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47625642"/>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w:t>
            </w:r>
            <w:r>
              <w:lastRenderedPageBreak/>
              <w:t xml:space="preserve">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AD71971"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w:t>
            </w:r>
            <w:r w:rsidR="002024A4">
              <w:t>he content of this element</w:t>
            </w:r>
            <w:r w:rsidR="002024A4">
              <w: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w:t>
            </w:r>
            <w:r w:rsidR="00216A1D">
              <w:lastRenderedPageBreak/>
              <w:t xml:space="preserve">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47625643"/>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lastRenderedPageBreak/>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lastRenderedPageBreak/>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lastRenderedPageBreak/>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47625644"/>
      <w:r>
        <w:t xml:space="preserve">5.0 </w:t>
      </w:r>
      <w:r w:rsidR="001E74B8">
        <w:t>Technical Details</w:t>
      </w:r>
      <w:bookmarkEnd w:id="17"/>
    </w:p>
    <w:p w14:paraId="613E8909" w14:textId="77777777" w:rsidR="001E74B8" w:rsidRDefault="001E74B8" w:rsidP="001E74B8">
      <w:pPr>
        <w:pStyle w:val="Heading2"/>
      </w:pPr>
      <w:bookmarkStart w:id="18" w:name="_Toc47625645"/>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47625646"/>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47625647"/>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47625648"/>
      <w:r>
        <w:lastRenderedPageBreak/>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47625649"/>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47625650"/>
      <w:r>
        <w:lastRenderedPageBreak/>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47625651"/>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47625652"/>
      <w:r>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 xml:space="preserve">&lt;String&gt;My name is @MyName and I am @MyHeight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6" w:name="_Toc47625653"/>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lastRenderedPageBreak/>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7" w:name="_Toc47625654"/>
      <w:r>
        <w:t>6.0 Release Information</w:t>
      </w:r>
      <w:bookmarkEnd w:id="27"/>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lastRenderedPageBreak/>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78B12" w14:textId="77777777" w:rsidR="0037138A" w:rsidRDefault="0037138A">
      <w:r>
        <w:separator/>
      </w:r>
    </w:p>
  </w:endnote>
  <w:endnote w:type="continuationSeparator" w:id="0">
    <w:p w14:paraId="2D662611" w14:textId="77777777" w:rsidR="0037138A" w:rsidRDefault="0037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3B41D" w14:textId="77777777" w:rsidR="0037138A" w:rsidRDefault="0037138A">
      <w:r>
        <w:separator/>
      </w:r>
    </w:p>
  </w:footnote>
  <w:footnote w:type="continuationSeparator" w:id="0">
    <w:p w14:paraId="189CF2CF" w14:textId="77777777" w:rsidR="0037138A" w:rsidRDefault="00371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95627"/>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22</Pages>
  <Words>6216</Words>
  <Characters>35433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220</cp:revision>
  <cp:lastPrinted>2020-08-06T15:18:00Z</cp:lastPrinted>
  <dcterms:created xsi:type="dcterms:W3CDTF">2011-10-25T15:57:00Z</dcterms:created>
  <dcterms:modified xsi:type="dcterms:W3CDTF">2020-08-06T22:00:00Z</dcterms:modified>
</cp:coreProperties>
</file>