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市場風險</w:t>
      </w:r>
    </w:p>
    <w:p>
      <w:r>
        <w:t xml:space="preserve">題目：經濟  </w:t>
        <w:br/>
        <w:t xml:space="preserve">風險等級：高  </w:t>
        <w:br/>
        <w:t>分析內容：美國對台晶片徵收高額關稅、歐洲央行升息、伊朗與美國在中東的衝突導致油價飆升，均對全球供應鏈與能源成本構成重大衝擊。台灣出口創紀錄但面臨美國關稅審查，若關稅持續升高，出口收入將大幅減少。加上能源價格上漲推升通膨，央行可能進一步加息，進一步壓縮企業投資與消費。最壞情境是全球能源供應緊張、關稅壁壘加劇，導致台灣經濟增長停滯甚至負增長。</w:t>
        <w:br/>
        <w:br/>
        <w:t xml:space="preserve">題目：房市  </w:t>
        <w:br/>
        <w:t xml:space="preserve">風險等級：中  </w:t>
        <w:br/>
        <w:t>分析內容：房價受利率、通膨與能源成本影響。ECB升息與美國可能加息將提升按揭利率，抑制購房需求；油價上升推高建材成本，進一步壓縮開發商利潤。若能源價格持續高企，居民生活成本上升，購房意願下降。最壞情境是利率大幅上升導致房市需求急劇萎縮，房價下跌，影響銀行資產質量。</w:t>
        <w:br/>
        <w:br/>
        <w:t xml:space="preserve">題目：股市  </w:t>
        <w:br/>
        <w:t xml:space="preserve">風險等級：高  </w:t>
        <w:br/>
        <w:t>分析內容：台股受美國PPI、CPI預期、油價波動及美國政治不確定性影響。AI、半導體產業仍具成長潛力，但美國關稅與供應鏈限制可能削弱出口。油價飆升推高企業成本，市場情緒波動。最壞情境是美國加息加速、油價持續高企，導致市場流動性緊縮，股價大幅下跌，投資者信心受挫。</w:t>
        <w:br/>
        <w:br/>
        <w:t xml:space="preserve">題目：兩岸  </w:t>
        <w:br/>
        <w:t xml:space="preserve">風險等級：中高  </w:t>
        <w:br/>
        <w:t>分析內容：美國對台晶片徵稅、台灣強化國防自主法案、台中電廠燃煤拆除等政策顯示台灣加強自主與安全。若美國加大對台關稅或美中關係惡化，台灣在供應鏈中的關鍵地位可能被削弱，對兩岸關係產生緊張。最壞情境是美中衝突升級，台灣被迫在兩大勢力間做出選擇，導致經濟與安全風險加劇。</w:t>
        <w:br/>
        <w:br/>
        <w:t xml:space="preserve">題目：民生  </w:t>
        <w:br/>
        <w:t xml:space="preserve">風險等級：中  </w:t>
        <w:br/>
        <w:t>分析內容：最低工資預計升至3萬元，提升勞工收入，但同時能源價格高企與通膨壓力可能抵消實質購買力。油價上漲推高交通與生活成本，影響低收入家庭。最壞情境是通膨持續高企，工資增幅不足以抵消成本上升，導致民眾生活困難加劇。</w:t>
        <w:br/>
        <w:br/>
        <w:t xml:space="preserve">題目：就業  </w:t>
        <w:br/>
        <w:t xml:space="preserve">風險等級：中  </w:t>
        <w:br/>
        <w:t>分析內容：最低工資上調與企業投資擴大帶來就業機會，但AI與自動化技術推進可能取代部分傳統職位。台灣機械出口增長帶來製造業就業，但若美國關稅升高，出口需求減少，可能影響就業。最壞情境是自動化加速、出口需求下降，造成製造業失業率上升，勞動市場結構性失衡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