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Platform Specifications</w:t>
      </w:r>
    </w:p>
    <w:p>
      <w:r>
        <w:t>This document outlines the operational limits, SLA agreements, and security compliance of the Cloud Platform.</w:t>
      </w:r>
    </w:p>
    <w:p>
      <w:pPr>
        <w:pStyle w:val="Heading2"/>
      </w:pPr>
      <w:r>
        <w:t>Section 1: SLA and Uptime</w:t>
      </w:r>
    </w:p>
    <w:p>
      <w:r>
        <w:t>The platform guarantees 99.99% monthly uptime. Maintenance windows are scheduled on Sunday at 02:00 UTC.</w:t>
      </w:r>
    </w:p>
    <w:p>
      <w:pPr>
        <w:pStyle w:val="Heading2"/>
      </w:pPr>
      <w:r>
        <w:t>Section 2: Security &amp; Encryption</w:t>
      </w:r>
    </w:p>
    <w:p>
      <w:r>
        <w:t>All data at rest is encrypted using AES-256 GCM. Data in transit requires TLS 1.3 encryption.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