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rPr/>
      </w:pPr>
      <w:r w:rsidDel="00000000" w:rsidR="00000000" w:rsidRPr="00000000">
        <w:rPr>
          <w:b w:val="1"/>
          <w:bCs w:val="1"/>
          <w:color w:val="0b2545"/>
          <w:sz w:val="24"/>
          <w:szCs w:val="24"/>
          <w:rtl w:val="0"/>
        </w:rPr>
        <w:t xml:space="preserve">Juan Manuel Mendoza </w:t>
      </w:r>
      <w:r w:rsidDel="00000000" w:rsidR="00000000" w:rsidRPr="00000000">
        <w:rPr>
          <w:b w:val="1"/>
          <w:bCs w:val="1"/>
          <w:color w:val="0b2545"/>
          <w:rtl w:val="0"/>
        </w:rPr>
        <w:br w:type="textWrapping"/>
        <w:t xml:space="preserve">Modelo XGBoost para probabilidad de pago mínimo</w:t>
      </w:r>
      <w:r w:rsidDel="00000000" w:rsidR="00000000" w:rsidRPr="00000000">
        <w:rPr>
          <w:rtl w:val="0"/>
        </w:rPr>
      </w:r>
    </w:p>
    <w:p w:rsidR="00000000" w:rsidDel="00000000" w:rsidP="00000000" w:rsidRDefault="00000000" w:rsidRPr="00000000" w14:paraId="00000002">
      <w:pPr>
        <w:rPr/>
      </w:pPr>
      <w:r w:rsidDel="00000000" w:rsidR="00000000" w:rsidRPr="00000000">
        <w:rPr>
          <w:i w:val="1"/>
          <w:iCs w:val="1"/>
          <w:rtl w:val="0"/>
        </w:rPr>
        <w:t xml:space="preserve">Problema: estimar la probabilidad de que un usuario pague al menos el mínimo requerido antes de su fecha límite.</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Fonts w:ascii="Calibri" w:cs="Calibri" w:eastAsia="Calibri" w:hAnsi="Calibri"/>
          <w:color w:val="1f4d78"/>
          <w:rtl w:val="0"/>
        </w:rPr>
        <w:t xml:space="preserve">Resumen ejecutivo</w:t>
      </w:r>
      <w:r w:rsidDel="00000000" w:rsidR="00000000" w:rsidRPr="00000000">
        <w:rPr>
          <w:rtl w:val="0"/>
        </w:rPr>
      </w:r>
    </w:p>
    <w:p w:rsidR="00000000" w:rsidDel="00000000" w:rsidP="00000000" w:rsidRDefault="00000000" w:rsidRPr="00000000" w14:paraId="00000004">
      <w:pPr>
        <w:spacing w:after="120" w:line="264" w:lineRule="auto"/>
        <w:rPr/>
      </w:pPr>
      <w:r w:rsidDel="00000000" w:rsidR="00000000" w:rsidRPr="00000000">
        <w:rPr>
          <w:color w:val="111827"/>
          <w:rtl w:val="0"/>
        </w:rPr>
        <w:t xml:space="preserve">El modelo estima una probabilidad individual de pago mínimo para usuarios con monto mínimo mayor a cero en su fecha de corte. La salida principal es </w:t>
      </w:r>
      <w:r w:rsidDel="00000000" w:rsidR="00000000" w:rsidRPr="00000000">
        <w:rPr>
          <w:color w:val="111827"/>
          <w:rtl w:val="0"/>
        </w:rPr>
        <w:t xml:space="preserve">probability_pay_minimum</w:t>
      </w:r>
      <w:r w:rsidDel="00000000" w:rsidR="00000000" w:rsidRPr="00000000">
        <w:rPr>
          <w:color w:val="111827"/>
          <w:rtl w:val="0"/>
        </w:rPr>
        <w:t xml:space="preserve"> y su complemento </w:t>
      </w:r>
      <w:r w:rsidDel="00000000" w:rsidR="00000000" w:rsidRPr="00000000">
        <w:rPr>
          <w:color w:val="111827"/>
          <w:rtl w:val="0"/>
        </w:rPr>
        <w:t xml:space="preserve">probability_not_pay_minimum</w:t>
      </w:r>
      <w:r w:rsidDel="00000000" w:rsidR="00000000" w:rsidRPr="00000000">
        <w:rPr>
          <w:color w:val="111827"/>
          <w:rtl w:val="0"/>
        </w:rPr>
        <w:t xml:space="preserve">, que permite ordenar usuarios por riesgo de no pago.</w:t>
      </w:r>
      <w:r w:rsidDel="00000000" w:rsidR="00000000" w:rsidRPr="00000000">
        <w:rPr>
          <w:rtl w:val="0"/>
        </w:rPr>
      </w:r>
    </w:p>
    <w:p w:rsidR="00000000" w:rsidDel="00000000" w:rsidP="00000000" w:rsidRDefault="00000000" w:rsidRPr="00000000" w14:paraId="00000005">
      <w:pPr>
        <w:spacing w:after="120" w:line="264" w:lineRule="auto"/>
        <w:rPr/>
      </w:pPr>
      <w:r w:rsidDel="00000000" w:rsidR="00000000" w:rsidRPr="00000000">
        <w:rPr>
          <w:color w:val="111827"/>
          <w:rtl w:val="0"/>
        </w:rPr>
        <w:t xml:space="preserve">La evaluación se diseñó sobre meses no usados para entrenar: marzo y abril de 2026. El criterio de selección priorizo el valor de negocio: capturar el mayor porcentaje de no pagadores reales dentro del top 30% de usuarios de mayor riesgo.</w:t>
      </w:r>
      <w:r w:rsidDel="00000000" w:rsidR="00000000" w:rsidRPr="00000000">
        <w:rPr>
          <w:rtl w:val="0"/>
        </w:rPr>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Candidato recomendado: c04_depth5_lambda10.</w:t>
      </w:r>
      <w:r w:rsidDel="00000000" w:rsidR="00000000" w:rsidRPr="00000000">
        <w:rPr>
          <w:rtl w:val="0"/>
        </w:rPr>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Captura promedio March/April en top 30% de riesgo: 71.739%.</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Captura de no pagadores en abril: top 10% = 29.03%, top 20% = 54.73%, top 30% = 71.78%.</w:t>
      </w:r>
      <w:r w:rsidDel="00000000" w:rsidR="00000000" w:rsidRPr="00000000">
        <w:rPr>
          <w:rtl w:val="0"/>
        </w:rPr>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Variables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relevantes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max_dpd_2m, max_dpd_1m, max_dpd_3m, deposits_to_exposure_ratio, max_dpd_6m y paid_at_least_minimum_score_6m.</w:t>
      </w:r>
      <w:r w:rsidDel="00000000" w:rsidR="00000000" w:rsidRPr="00000000">
        <w:rPr>
          <w:rtl w:val="0"/>
        </w:rPr>
      </w:r>
    </w:p>
    <w:p w:rsidR="00000000" w:rsidDel="00000000" w:rsidP="00000000" w:rsidRDefault="00000000" w:rsidRPr="00000000" w14:paraId="000000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Siguiente paso recomendado: piloto de scoring diario en Mage AI y monitoreo mensual de estabilidad, </w:t>
      </w:r>
      <w:r w:rsidDel="00000000" w:rsidR="00000000" w:rsidRPr="00000000">
        <w:rPr>
          <w:sz w:val="21"/>
          <w:szCs w:val="21"/>
          <w:rtl w:val="0"/>
        </w:rPr>
        <w:t xml:space="preserve">calibración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y captura por decil.</w:t>
      </w:r>
      <w:r w:rsidDel="00000000" w:rsidR="00000000" w:rsidRPr="00000000">
        <w:rPr>
          <w:rtl w:val="0"/>
        </w:rPr>
      </w:r>
    </w:p>
    <w:p w:rsidR="00000000" w:rsidDel="00000000" w:rsidP="00000000" w:rsidRDefault="00000000" w:rsidRPr="00000000" w14:paraId="0000000B">
      <w:pPr>
        <w:pStyle w:val="Heading1"/>
        <w:rPr/>
      </w:pPr>
      <w:r w:rsidDel="00000000" w:rsidR="00000000" w:rsidRPr="00000000">
        <w:rPr>
          <w:rFonts w:ascii="Calibri" w:cs="Calibri" w:eastAsia="Calibri" w:hAnsi="Calibri"/>
          <w:color w:val="1f4d78"/>
          <w:rtl w:val="0"/>
        </w:rPr>
        <w:t xml:space="preserve">Metodologia CRISP-DM aplicada</w:t>
      </w:r>
      <w:r w:rsidDel="00000000" w:rsidR="00000000" w:rsidRPr="00000000">
        <w:rPr>
          <w:rtl w:val="0"/>
        </w:rPr>
      </w:r>
    </w:p>
    <w:p w:rsidR="00000000" w:rsidDel="00000000" w:rsidP="00000000" w:rsidRDefault="00000000" w:rsidRPr="00000000" w14:paraId="0000000C">
      <w:pPr>
        <w:pStyle w:val="Heading2"/>
        <w:rPr/>
      </w:pPr>
      <w:r w:rsidDel="00000000" w:rsidR="00000000" w:rsidRPr="00000000">
        <w:rPr>
          <w:rFonts w:ascii="Calibri" w:cs="Calibri" w:eastAsia="Calibri" w:hAnsi="Calibri"/>
          <w:color w:val="1f4d78"/>
          <w:rtl w:val="0"/>
        </w:rPr>
        <w:t xml:space="preserve">1. Business Understanding</w:t>
      </w:r>
      <w:r w:rsidDel="00000000" w:rsidR="00000000" w:rsidRPr="00000000">
        <w:rPr>
          <w:rtl w:val="0"/>
        </w:rPr>
      </w:r>
    </w:p>
    <w:p w:rsidR="00000000" w:rsidDel="00000000" w:rsidP="00000000" w:rsidRDefault="00000000" w:rsidRPr="00000000" w14:paraId="0000000D">
      <w:pPr>
        <w:spacing w:after="120" w:line="264" w:lineRule="auto"/>
        <w:rPr/>
      </w:pPr>
      <w:r w:rsidDel="00000000" w:rsidR="00000000" w:rsidRPr="00000000">
        <w:rPr>
          <w:color w:val="111827"/>
          <w:rtl w:val="0"/>
        </w:rPr>
        <w:t xml:space="preserve">Objetivo de negocio: identificar, en la fecha de corte, que usuarios tienen mayor riesgo de no pagar al menos el mínimo antes de su fecha de pago. El caso de uso no es solo clasificar usuarios, sino priorizar acciones de cobranza y comunicación entre su fecha de corte y su fecha de pago. </w:t>
      </w:r>
      <w:r w:rsidDel="00000000" w:rsidR="00000000" w:rsidRPr="00000000">
        <w:rPr>
          <w:rtl w:val="0"/>
        </w:rPr>
      </w:r>
    </w:p>
    <w:p w:rsidR="00000000" w:rsidDel="00000000" w:rsidP="00000000" w:rsidRDefault="00000000" w:rsidRPr="00000000" w14:paraId="0000000E">
      <w:pPr>
        <w:spacing w:after="120" w:line="264" w:lineRule="auto"/>
        <w:rPr/>
      </w:pPr>
      <w:r w:rsidDel="00000000" w:rsidR="00000000" w:rsidRPr="00000000">
        <w:rPr>
          <w:color w:val="111827"/>
          <w:rtl w:val="0"/>
        </w:rPr>
        <w:t xml:space="preserve">Decision operativa: usar score por snapshot_date = fecha de corte. La versión inicial se enfoca en el corte; en una fase posterior se puede evaluar el scoring diario entre fecha de corte y fecha de pago.</w:t>
      </w:r>
      <w:r w:rsidDel="00000000" w:rsidR="00000000" w:rsidRPr="00000000">
        <w:rPr>
          <w:rtl w:val="0"/>
        </w:rPr>
      </w:r>
    </w:p>
    <w:p w:rsidR="00000000" w:rsidDel="00000000" w:rsidP="00000000" w:rsidRDefault="00000000" w:rsidRPr="00000000" w14:paraId="0000000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Unidad de decision: usuario-snapshot.</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Poblacion objetivo: usuarios con </w:t>
      </w:r>
      <w:r w:rsidDel="00000000" w:rsidR="00000000" w:rsidRPr="00000000">
        <w:rPr>
          <w:sz w:val="21"/>
          <w:szCs w:val="21"/>
          <w:rtl w:val="0"/>
        </w:rPr>
        <w:t xml:space="preserve">pago minimio</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&gt; 0.</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Salida esperada: probabilidad de pago, probabilidad de no pago y decil de riesgo.</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Uso esperado: </w:t>
      </w:r>
      <w:r w:rsidDel="00000000" w:rsidR="00000000" w:rsidRPr="00000000">
        <w:rPr>
          <w:sz w:val="21"/>
          <w:szCs w:val="21"/>
          <w:rtl w:val="0"/>
        </w:rPr>
        <w:t xml:space="preserve">tratamientos de pre cobranza especializados en sub segmentos. </w:t>
        <w:br w:type="textWrapping"/>
        <w:br w:type="textWrapp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0" w:right="0" w:firstLine="0"/>
        <w:jc w:val="left"/>
        <w:rPr/>
      </w:pPr>
      <w:r w:rsidDel="00000000" w:rsidR="00000000" w:rsidRPr="00000000">
        <w:rPr>
          <w:sz w:val="21"/>
          <w:szCs w:val="21"/>
          <w:rtl w:val="0"/>
        </w:rPr>
        <w:br w:type="textWrapping"/>
      </w:r>
      <w:r w:rsidDel="00000000" w:rsidR="00000000" w:rsidRPr="00000000">
        <w:rPr>
          <w:rFonts w:ascii="Calibri" w:cs="Calibri" w:eastAsia="Calibri" w:hAnsi="Calibri"/>
          <w:color w:val="1f4d78"/>
          <w:rtl w:val="0"/>
        </w:rPr>
        <w:t xml:space="preserve">2. Data Understanding</w:t>
      </w:r>
      <w:r w:rsidDel="00000000" w:rsidR="00000000" w:rsidRPr="00000000">
        <w:rPr>
          <w:rtl w:val="0"/>
        </w:rPr>
      </w:r>
    </w:p>
    <w:p w:rsidR="00000000" w:rsidDel="00000000" w:rsidP="00000000" w:rsidRDefault="00000000" w:rsidRPr="00000000" w14:paraId="00000014">
      <w:pPr>
        <w:spacing w:after="120" w:line="264" w:lineRule="auto"/>
        <w:rPr/>
      </w:pPr>
      <w:r w:rsidDel="00000000" w:rsidR="00000000" w:rsidRPr="00000000">
        <w:rPr>
          <w:color w:val="111827"/>
          <w:rtl w:val="0"/>
        </w:rPr>
        <w:t xml:space="preserve">La tabla base proviene de un modelo de DBT y se complementa con pagos a nivel estado de cuenta para construir la etiqueta histórica. Los campos incluyen comportamiento de mora, exposición, línea de crédito, depósitos, uso de crédito, configuración de pago, edad, vintage y comportamiento histórico de pago.</w:t>
      </w:r>
      <w:r w:rsidDel="00000000" w:rsidR="00000000" w:rsidRPr="00000000">
        <w:rPr>
          <w:rtl w:val="0"/>
        </w:rPr>
      </w:r>
    </w:p>
    <w:tbl>
      <w:tblPr>
        <w:tblStyle w:val="Table1"/>
        <w:tblW w:w="9360.0" w:type="dxa"/>
        <w:jc w:val="center"/>
        <w:tblLayout w:type="fixed"/>
        <w:tblLook w:val="0400"/>
      </w:tblPr>
      <w:tblGrid>
        <w:gridCol w:w="3120"/>
        <w:gridCol w:w="3120"/>
        <w:gridCol w:w="3120"/>
        <w:tblGridChange w:id="0">
          <w:tblGrid>
            <w:gridCol w:w="3120"/>
            <w:gridCol w:w="3120"/>
            <w:gridCol w:w="3120"/>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15">
            <w:pPr>
              <w:spacing w:after="0" w:lineRule="auto"/>
              <w:rPr/>
            </w:pPr>
            <w:r w:rsidDel="00000000" w:rsidR="00000000" w:rsidRPr="00000000">
              <w:rPr>
                <w:b w:val="1"/>
                <w:bCs w:val="1"/>
                <w:color w:val="0b2545"/>
                <w:sz w:val="19"/>
                <w:szCs w:val="19"/>
                <w:rtl w:val="0"/>
              </w:rPr>
              <w:t xml:space="preserve">Split</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16">
            <w:pPr>
              <w:spacing w:after="0" w:lineRule="auto"/>
              <w:rPr/>
            </w:pPr>
            <w:r w:rsidDel="00000000" w:rsidR="00000000" w:rsidRPr="00000000">
              <w:rPr>
                <w:b w:val="1"/>
                <w:bCs w:val="1"/>
                <w:color w:val="0b2545"/>
                <w:sz w:val="19"/>
                <w:szCs w:val="19"/>
                <w:rtl w:val="0"/>
              </w:rPr>
              <w:t xml:space="preserve">Rows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17">
            <w:pPr>
              <w:spacing w:after="0" w:lineRule="auto"/>
              <w:rPr/>
            </w:pPr>
            <w:r w:rsidDel="00000000" w:rsidR="00000000" w:rsidRPr="00000000">
              <w:rPr>
                <w:b w:val="1"/>
                <w:bCs w:val="1"/>
                <w:color w:val="0b2545"/>
                <w:sz w:val="19"/>
                <w:szCs w:val="19"/>
                <w:rtl w:val="0"/>
              </w:rPr>
              <w:t xml:space="preserve">Pay rate</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8">
            <w:pPr>
              <w:spacing w:after="0" w:lineRule="auto"/>
              <w:rPr/>
            </w:pPr>
            <w:r w:rsidDel="00000000" w:rsidR="00000000" w:rsidRPr="00000000">
              <w:rPr>
                <w:color w:val="111827"/>
                <w:sz w:val="19"/>
                <w:szCs w:val="19"/>
                <w:rtl w:val="0"/>
              </w:rPr>
              <w:t xml:space="preserve">train</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9">
            <w:pPr>
              <w:spacing w:after="0" w:lineRule="auto"/>
              <w:rPr/>
            </w:pPr>
            <w:r w:rsidDel="00000000" w:rsidR="00000000" w:rsidRPr="00000000">
              <w:rPr>
                <w:color w:val="111827"/>
                <w:sz w:val="19"/>
                <w:szCs w:val="19"/>
                <w:rtl w:val="0"/>
              </w:rPr>
              <w:t xml:space="preserve">1 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A">
            <w:pPr>
              <w:spacing w:after="0" w:lineRule="auto"/>
              <w:rPr/>
            </w:pPr>
            <w:r w:rsidDel="00000000" w:rsidR="00000000" w:rsidRPr="00000000">
              <w:rPr>
                <w:color w:val="111827"/>
                <w:sz w:val="19"/>
                <w:szCs w:val="19"/>
                <w:rtl w:val="0"/>
              </w:rPr>
              <w:t xml:space="preserve">52.79%</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B">
            <w:pPr>
              <w:spacing w:after="0" w:lineRule="auto"/>
              <w:rPr/>
            </w:pPr>
            <w:r w:rsidDel="00000000" w:rsidR="00000000" w:rsidRPr="00000000">
              <w:rPr>
                <w:color w:val="111827"/>
                <w:sz w:val="19"/>
                <w:szCs w:val="19"/>
                <w:rtl w:val="0"/>
              </w:rPr>
              <w:t xml:space="preserve">validation_jan_feb</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C">
            <w:pPr>
              <w:spacing w:after="0" w:lineRule="auto"/>
              <w:rPr/>
            </w:pPr>
            <w:r w:rsidDel="00000000" w:rsidR="00000000" w:rsidRPr="00000000">
              <w:rPr>
                <w:color w:val="111827"/>
                <w:sz w:val="19"/>
                <w:szCs w:val="19"/>
                <w:rtl w:val="0"/>
              </w:rPr>
              <w:t xml:space="preserve">2 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D">
            <w:pPr>
              <w:spacing w:after="0" w:lineRule="auto"/>
              <w:rPr/>
            </w:pPr>
            <w:r w:rsidDel="00000000" w:rsidR="00000000" w:rsidRPr="00000000">
              <w:rPr>
                <w:color w:val="111827"/>
                <w:sz w:val="19"/>
                <w:szCs w:val="19"/>
                <w:rtl w:val="0"/>
              </w:rPr>
              <w:t xml:space="preserve">62.42%</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E">
            <w:pPr>
              <w:spacing w:after="0" w:lineRule="auto"/>
              <w:rPr/>
            </w:pPr>
            <w:r w:rsidDel="00000000" w:rsidR="00000000" w:rsidRPr="00000000">
              <w:rPr>
                <w:color w:val="111827"/>
                <w:sz w:val="19"/>
                <w:szCs w:val="19"/>
                <w:rtl w:val="0"/>
              </w:rPr>
              <w:t xml:space="preserve">test_march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1F">
            <w:pPr>
              <w:spacing w:after="0" w:lineRule="auto"/>
              <w:rPr/>
            </w:pPr>
            <w:r w:rsidDel="00000000" w:rsidR="00000000" w:rsidRPr="00000000">
              <w:rPr>
                <w:color w:val="111827"/>
                <w:sz w:val="19"/>
                <w:szCs w:val="19"/>
                <w:rtl w:val="0"/>
              </w:rPr>
              <w:t xml:space="preserve">1 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20">
            <w:pPr>
              <w:spacing w:after="0" w:lineRule="auto"/>
              <w:rPr/>
            </w:pPr>
            <w:r w:rsidDel="00000000" w:rsidR="00000000" w:rsidRPr="00000000">
              <w:rPr>
                <w:color w:val="111827"/>
                <w:sz w:val="19"/>
                <w:szCs w:val="19"/>
                <w:rtl w:val="0"/>
              </w:rPr>
              <w:t xml:space="preserve">62.92%</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21">
            <w:pPr>
              <w:spacing w:after="0" w:lineRule="auto"/>
              <w:rPr/>
            </w:pPr>
            <w:r w:rsidDel="00000000" w:rsidR="00000000" w:rsidRPr="00000000">
              <w:rPr>
                <w:color w:val="111827"/>
                <w:sz w:val="19"/>
                <w:szCs w:val="19"/>
                <w:rtl w:val="0"/>
              </w:rPr>
              <w:t xml:space="preserve">test_april</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22">
            <w:pPr>
              <w:spacing w:after="0" w:lineRule="auto"/>
              <w:rPr/>
            </w:pPr>
            <w:r w:rsidDel="00000000" w:rsidR="00000000" w:rsidRPr="00000000">
              <w:rPr>
                <w:color w:val="111827"/>
                <w:sz w:val="19"/>
                <w:szCs w:val="19"/>
                <w:rtl w:val="0"/>
              </w:rPr>
              <w:t xml:space="preserve">1 M</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23">
            <w:pPr>
              <w:spacing w:after="0" w:lineRule="auto"/>
              <w:rPr/>
            </w:pPr>
            <w:r w:rsidDel="00000000" w:rsidR="00000000" w:rsidRPr="00000000">
              <w:rPr>
                <w:color w:val="111827"/>
                <w:sz w:val="19"/>
                <w:szCs w:val="19"/>
                <w:rtl w:val="0"/>
              </w:rPr>
              <w:t xml:space="preserve">65.70%</w:t>
            </w:r>
            <w:r w:rsidDel="00000000" w:rsidR="00000000" w:rsidRPr="00000000">
              <w:rPr>
                <w:rtl w:val="0"/>
              </w:rPr>
            </w:r>
          </w:p>
        </w:tc>
      </w:tr>
    </w:tbl>
    <w:p w:rsidR="00000000" w:rsidDel="00000000" w:rsidP="00000000" w:rsidRDefault="00000000" w:rsidRPr="00000000" w14:paraId="00000024">
      <w:pPr>
        <w:spacing w:after="120" w:line="264" w:lineRule="auto"/>
        <w:rPr/>
      </w:pPr>
      <w:r w:rsidDel="00000000" w:rsidR="00000000" w:rsidRPr="00000000">
        <w:rPr>
          <w:color w:val="111827"/>
          <w:rtl w:val="0"/>
        </w:rPr>
        <w:t xml:space="preserve">Interpretación: abril tiene menor volumen que marzo y mayor tasa de pago, por lo que es un mes útil para validar estabilidad ante cambios de población. Un buen modelo debe mantener ordenamiento de riesgo aun cuando cambie el mix mensual.</w:t>
      </w:r>
      <w:r w:rsidDel="00000000" w:rsidR="00000000" w:rsidRPr="00000000">
        <w:rPr>
          <w:rtl w:val="0"/>
        </w:rPr>
      </w:r>
    </w:p>
    <w:p w:rsidR="00000000" w:rsidDel="00000000" w:rsidP="00000000" w:rsidRDefault="00000000" w:rsidRPr="00000000" w14:paraId="00000025">
      <w:pPr>
        <w:pStyle w:val="Heading2"/>
        <w:rPr/>
      </w:pPr>
      <w:r w:rsidDel="00000000" w:rsidR="00000000" w:rsidRPr="00000000">
        <w:rPr>
          <w:rFonts w:ascii="Calibri" w:cs="Calibri" w:eastAsia="Calibri" w:hAnsi="Calibri"/>
          <w:color w:val="1f4d78"/>
          <w:rtl w:val="0"/>
        </w:rPr>
        <w:t xml:space="preserve">3. Data Preparation</w:t>
      </w:r>
      <w:r w:rsidDel="00000000" w:rsidR="00000000" w:rsidRPr="00000000">
        <w:rPr>
          <w:rtl w:val="0"/>
        </w:rPr>
      </w:r>
    </w:p>
    <w:p w:rsidR="00000000" w:rsidDel="00000000" w:rsidP="00000000" w:rsidRDefault="00000000" w:rsidRPr="00000000" w14:paraId="00000026">
      <w:pPr>
        <w:spacing w:after="120" w:line="264" w:lineRule="auto"/>
        <w:rPr/>
      </w:pPr>
      <w:r w:rsidDel="00000000" w:rsidR="00000000" w:rsidRPr="00000000">
        <w:rPr>
          <w:color w:val="111827"/>
          <w:rtl w:val="0"/>
        </w:rPr>
        <w:t xml:space="preserve">Se aplicaron filtros para evitar ruido y leakage: snapshot_date debe coincidir con la fecha de corte, pago mínimo debe ser mayor a cero y la etiqueta se construye solo para entrenamiento/evaluación, no para scoring productivo.</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Variables de fechas convertidas a tipo fecha y normalizadas.</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Variables </w:t>
      </w:r>
      <w:r w:rsidDel="00000000" w:rsidR="00000000" w:rsidRPr="00000000">
        <w:rPr>
          <w:sz w:val="21"/>
          <w:szCs w:val="21"/>
          <w:rtl w:val="0"/>
        </w:rPr>
        <w:t xml:space="preserve">numéricas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imputadas con mediana dentro del pipeline entrenado.</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Variables </w:t>
      </w:r>
      <w:r w:rsidDel="00000000" w:rsidR="00000000" w:rsidRPr="00000000">
        <w:rPr>
          <w:sz w:val="21"/>
          <w:szCs w:val="21"/>
          <w:rtl w:val="0"/>
        </w:rPr>
        <w:t xml:space="preserve">categóricas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imputadas y codificadas con OneHotEncoder(handle_unknown='ignore').</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Variables derivadas: days_until_due, days_since_last_billing, statement_month, statement_day_of_month, min_payment_to_deposit_ratio, min_payment_to_credit_line_ratio, exposure_to_credit_line_ratio y deposits_to_exposure_ratio.</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Muestreo reciente ponderado: 2024 con 35k filas por mes, 2025 H1 con 80k y 2025 H2 con 100k, hasta 1.5M filas de entrenamiento.</w:t>
      </w:r>
      <w:r w:rsidDel="00000000" w:rsidR="00000000" w:rsidRPr="00000000">
        <w:rPr>
          <w:rtl w:val="0"/>
        </w:rPr>
      </w:r>
    </w:p>
    <w:p w:rsidR="00000000" w:rsidDel="00000000" w:rsidP="00000000" w:rsidRDefault="00000000" w:rsidRPr="00000000" w14:paraId="0000002C">
      <w:pPr>
        <w:spacing w:after="120" w:line="264" w:lineRule="auto"/>
        <w:rPr/>
      </w:pPr>
      <w:r w:rsidDel="00000000" w:rsidR="00000000" w:rsidRPr="00000000">
        <w:rPr>
          <w:color w:val="111827"/>
          <w:rtl w:val="0"/>
        </w:rPr>
        <w:t xml:space="preserve">Justificación técnica: el muestreo reciente ponderado mantiene historia suficiente sin dejar que meses antiguos dominen el patrón. Esto es importante porque el comportamiento de pago, producto y estrategias de cobranza pueden cambiar con el tiempo.</w:t>
      </w:r>
      <w:r w:rsidDel="00000000" w:rsidR="00000000" w:rsidRPr="00000000">
        <w:rPr>
          <w:rtl w:val="0"/>
        </w:rPr>
      </w:r>
    </w:p>
    <w:p w:rsidR="00000000" w:rsidDel="00000000" w:rsidP="00000000" w:rsidRDefault="00000000" w:rsidRPr="00000000" w14:paraId="0000002D">
      <w:pPr>
        <w:pStyle w:val="Heading2"/>
        <w:rPr/>
      </w:pPr>
      <w:r w:rsidDel="00000000" w:rsidR="00000000" w:rsidRPr="00000000">
        <w:rPr>
          <w:rFonts w:ascii="Calibri" w:cs="Calibri" w:eastAsia="Calibri" w:hAnsi="Calibri"/>
          <w:color w:val="1f4d78"/>
          <w:rtl w:val="0"/>
        </w:rPr>
        <w:t xml:space="preserve">4. Modeling</w:t>
      </w:r>
      <w:r w:rsidDel="00000000" w:rsidR="00000000" w:rsidRPr="00000000">
        <w:rPr>
          <w:rtl w:val="0"/>
        </w:rPr>
      </w:r>
    </w:p>
    <w:p w:rsidR="00000000" w:rsidDel="00000000" w:rsidP="00000000" w:rsidRDefault="00000000" w:rsidRPr="00000000" w14:paraId="0000002E">
      <w:pPr>
        <w:spacing w:after="120" w:line="264" w:lineRule="auto"/>
        <w:rPr/>
      </w:pPr>
      <w:r w:rsidDel="00000000" w:rsidR="00000000" w:rsidRPr="00000000">
        <w:rPr>
          <w:color w:val="111827"/>
          <w:rtl w:val="0"/>
        </w:rPr>
        <w:t xml:space="preserve">Se eligió XGBoost porque maneja relaciones no lineales, interacciones entre variables, missing values imputados y mezclas de variables numéricas y categóricas con buen desempeño en problemas tabulares. El modelo final produce probabilidad de pago y luego se calibra con regresión logística sobre validación.</w:t>
      </w:r>
      <w:r w:rsidDel="00000000" w:rsidR="00000000" w:rsidRPr="00000000">
        <w:rPr>
          <w:rtl w:val="0"/>
        </w:rPr>
      </w:r>
    </w:p>
    <w:tbl>
      <w:tblPr>
        <w:tblStyle w:val="Table2"/>
        <w:tblW w:w="9576.0" w:type="dxa"/>
        <w:jc w:val="center"/>
        <w:tblLayout w:type="fixed"/>
        <w:tblLook w:val="0400"/>
      </w:tblPr>
      <w:tblGrid>
        <w:gridCol w:w="2286"/>
        <w:gridCol w:w="1445"/>
        <w:gridCol w:w="1437"/>
        <w:gridCol w:w="1463"/>
        <w:gridCol w:w="1469"/>
        <w:gridCol w:w="1476"/>
        <w:tblGridChange w:id="0">
          <w:tblGrid>
            <w:gridCol w:w="2286"/>
            <w:gridCol w:w="1445"/>
            <w:gridCol w:w="1437"/>
            <w:gridCol w:w="1463"/>
            <w:gridCol w:w="1469"/>
            <w:gridCol w:w="1476"/>
          </w:tblGrid>
        </w:tblGridChange>
      </w:tblGrid>
      <w:tr>
        <w:trPr>
          <w:cantSplit w:val="0"/>
          <w:tblHeader w:val="0"/>
        </w:trPr>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2F">
            <w:pPr>
              <w:spacing w:after="0" w:lineRule="auto"/>
              <w:rPr/>
            </w:pPr>
            <w:r w:rsidDel="00000000" w:rsidR="00000000" w:rsidRPr="00000000">
              <w:rPr>
                <w:b w:val="1"/>
                <w:bCs w:val="1"/>
                <w:color w:val="0b2545"/>
                <w:sz w:val="19"/>
                <w:szCs w:val="19"/>
                <w:rtl w:val="0"/>
              </w:rPr>
              <w:t xml:space="preserve">Candidato</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30">
            <w:pPr>
              <w:spacing w:after="0" w:lineRule="auto"/>
              <w:rPr/>
            </w:pPr>
            <w:r w:rsidDel="00000000" w:rsidR="00000000" w:rsidRPr="00000000">
              <w:rPr>
                <w:b w:val="1"/>
                <w:bCs w:val="1"/>
                <w:color w:val="0b2545"/>
                <w:sz w:val="19"/>
                <w:szCs w:val="19"/>
                <w:rtl w:val="0"/>
              </w:rPr>
              <w:t xml:space="preserve">Depth</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31">
            <w:pPr>
              <w:spacing w:after="0" w:lineRule="auto"/>
              <w:rPr/>
            </w:pPr>
            <w:r w:rsidDel="00000000" w:rsidR="00000000" w:rsidRPr="00000000">
              <w:rPr>
                <w:b w:val="1"/>
                <w:bCs w:val="1"/>
                <w:color w:val="0b2545"/>
                <w:sz w:val="19"/>
                <w:szCs w:val="19"/>
                <w:rtl w:val="0"/>
              </w:rPr>
              <w:t xml:space="preserve">Trees</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32">
            <w:pPr>
              <w:spacing w:after="0" w:lineRule="auto"/>
              <w:rPr/>
            </w:pPr>
            <w:r w:rsidDel="00000000" w:rsidR="00000000" w:rsidRPr="00000000">
              <w:rPr>
                <w:b w:val="1"/>
                <w:bCs w:val="1"/>
                <w:color w:val="0b2545"/>
                <w:sz w:val="19"/>
                <w:szCs w:val="19"/>
                <w:rtl w:val="0"/>
              </w:rPr>
              <w:t xml:space="preserve">Lambda</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33">
            <w:pPr>
              <w:spacing w:after="0" w:lineRule="auto"/>
              <w:rPr/>
            </w:pPr>
            <w:r w:rsidDel="00000000" w:rsidR="00000000" w:rsidRPr="00000000">
              <w:rPr>
                <w:b w:val="1"/>
                <w:bCs w:val="1"/>
                <w:color w:val="0b2545"/>
                <w:sz w:val="19"/>
                <w:szCs w:val="19"/>
                <w:rtl w:val="0"/>
              </w:rPr>
              <w:t xml:space="preserve">Avg top30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shd w:fill="e8eef5" w:val="clear"/>
            <w:vAlign w:val="center"/>
          </w:tcPr>
          <w:p w:rsidR="00000000" w:rsidDel="00000000" w:rsidP="00000000" w:rsidRDefault="00000000" w:rsidRPr="00000000" w14:paraId="00000034">
            <w:pPr>
              <w:spacing w:after="0" w:lineRule="auto"/>
              <w:rPr/>
            </w:pPr>
            <w:r w:rsidDel="00000000" w:rsidR="00000000" w:rsidRPr="00000000">
              <w:rPr>
                <w:b w:val="1"/>
                <w:bCs w:val="1"/>
                <w:color w:val="0b2545"/>
                <w:sz w:val="19"/>
                <w:szCs w:val="19"/>
                <w:rtl w:val="0"/>
              </w:rPr>
              <w:t xml:space="preserve">April PR AUC</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5">
            <w:pPr>
              <w:spacing w:after="0" w:lineRule="auto"/>
              <w:rPr/>
            </w:pPr>
            <w:r w:rsidDel="00000000" w:rsidR="00000000" w:rsidRPr="00000000">
              <w:rPr>
                <w:color w:val="111827"/>
                <w:sz w:val="19"/>
                <w:szCs w:val="19"/>
                <w:rtl w:val="0"/>
              </w:rPr>
              <w:t xml:space="preserve">c04_depth5_lambda10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6">
            <w:pPr>
              <w:spacing w:after="0" w:lineRule="auto"/>
              <w:rPr/>
            </w:pPr>
            <w:r w:rsidDel="00000000" w:rsidR="00000000" w:rsidRPr="00000000">
              <w:rPr>
                <w:color w:val="111827"/>
                <w:sz w:val="19"/>
                <w:szCs w:val="19"/>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7">
            <w:pPr>
              <w:spacing w:after="0" w:lineRule="auto"/>
              <w:rPr/>
            </w:pPr>
            <w:r w:rsidDel="00000000" w:rsidR="00000000" w:rsidRPr="00000000">
              <w:rPr>
                <w:color w:val="111827"/>
                <w:sz w:val="19"/>
                <w:szCs w:val="19"/>
                <w:rtl w:val="0"/>
              </w:rPr>
              <w:t xml:space="preserve">900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8">
            <w:pPr>
              <w:spacing w:after="0" w:lineRule="auto"/>
              <w:rPr/>
            </w:pPr>
            <w:r w:rsidDel="00000000" w:rsidR="00000000" w:rsidRPr="00000000">
              <w:rPr>
                <w:color w:val="111827"/>
                <w:sz w:val="19"/>
                <w:szCs w:val="19"/>
                <w:rtl w:val="0"/>
              </w:rPr>
              <w:t xml:space="preserve">10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9">
            <w:pPr>
              <w:spacing w:after="0" w:lineRule="auto"/>
              <w:rPr/>
            </w:pPr>
            <w:r w:rsidDel="00000000" w:rsidR="00000000" w:rsidRPr="00000000">
              <w:rPr>
                <w:color w:val="111827"/>
                <w:sz w:val="19"/>
                <w:szCs w:val="19"/>
                <w:rtl w:val="0"/>
              </w:rPr>
              <w:t xml:space="preserve">71.739%</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A">
            <w:pPr>
              <w:spacing w:after="0" w:lineRule="auto"/>
              <w:rPr/>
            </w:pPr>
            <w:r w:rsidDel="00000000" w:rsidR="00000000" w:rsidRPr="00000000">
              <w:rPr>
                <w:color w:val="111827"/>
                <w:sz w:val="19"/>
                <w:szCs w:val="19"/>
                <w:rtl w:val="0"/>
              </w:rPr>
              <w:t xml:space="preserve">0.876573</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B">
            <w:pPr>
              <w:spacing w:after="0" w:lineRule="auto"/>
              <w:rPr/>
            </w:pPr>
            <w:r w:rsidDel="00000000" w:rsidR="00000000" w:rsidRPr="00000000">
              <w:rPr>
                <w:color w:val="111827"/>
                <w:sz w:val="19"/>
                <w:szCs w:val="19"/>
                <w:rtl w:val="0"/>
              </w:rPr>
              <w:t xml:space="preserve">c14_depth5_lr035_child35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C">
            <w:pPr>
              <w:spacing w:after="0" w:lineRule="auto"/>
              <w:rPr/>
            </w:pPr>
            <w:r w:rsidDel="00000000" w:rsidR="00000000" w:rsidRPr="00000000">
              <w:rPr>
                <w:color w:val="111827"/>
                <w:sz w:val="19"/>
                <w:szCs w:val="19"/>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D">
            <w:pPr>
              <w:spacing w:after="0" w:lineRule="auto"/>
              <w:rPr/>
            </w:pPr>
            <w:r w:rsidDel="00000000" w:rsidR="00000000" w:rsidRPr="00000000">
              <w:rPr>
                <w:color w:val="111827"/>
                <w:sz w:val="19"/>
                <w:szCs w:val="19"/>
                <w:rtl w:val="0"/>
              </w:rPr>
              <w:t xml:space="preserve">1000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E">
            <w:pPr>
              <w:spacing w:after="0" w:lineRule="auto"/>
              <w:rPr/>
            </w:pPr>
            <w:r w:rsidDel="00000000" w:rsidR="00000000" w:rsidRPr="00000000">
              <w:rPr>
                <w:color w:val="111827"/>
                <w:sz w:val="19"/>
                <w:szCs w:val="19"/>
                <w:rtl w:val="0"/>
              </w:rPr>
              <w:t xml:space="preserve">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3F">
            <w:pPr>
              <w:spacing w:after="0" w:lineRule="auto"/>
              <w:rPr/>
            </w:pPr>
            <w:r w:rsidDel="00000000" w:rsidR="00000000" w:rsidRPr="00000000">
              <w:rPr>
                <w:color w:val="111827"/>
                <w:sz w:val="19"/>
                <w:szCs w:val="19"/>
                <w:rtl w:val="0"/>
              </w:rPr>
              <w:t xml:space="preserve">71.735%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0">
            <w:pPr>
              <w:spacing w:after="0" w:lineRule="auto"/>
              <w:rPr/>
            </w:pPr>
            <w:r w:rsidDel="00000000" w:rsidR="00000000" w:rsidRPr="00000000">
              <w:rPr>
                <w:color w:val="111827"/>
                <w:sz w:val="19"/>
                <w:szCs w:val="19"/>
                <w:rtl w:val="0"/>
              </w:rPr>
              <w:t xml:space="preserve">0.876390</w:t>
            </w:r>
            <w:r w:rsidDel="00000000" w:rsidR="00000000" w:rsidRPr="00000000">
              <w:rPr>
                <w:rtl w:val="0"/>
              </w:rPr>
            </w:r>
          </w:p>
        </w:tc>
      </w:tr>
      <w:tr>
        <w:trPr>
          <w:cantSplit w:val="0"/>
          <w:tblHeader w:val="0"/>
        </w:trPr>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1">
            <w:pPr>
              <w:spacing w:after="0" w:lineRule="auto"/>
              <w:rPr/>
            </w:pPr>
            <w:r w:rsidDel="00000000" w:rsidR="00000000" w:rsidRPr="00000000">
              <w:rPr>
                <w:color w:val="111827"/>
                <w:sz w:val="19"/>
                <w:szCs w:val="19"/>
                <w:rtl w:val="0"/>
              </w:rPr>
              <w:t xml:space="preserve">c07_depth5_child50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2">
            <w:pPr>
              <w:spacing w:after="0" w:lineRule="auto"/>
              <w:rPr/>
            </w:pPr>
            <w:r w:rsidDel="00000000" w:rsidR="00000000" w:rsidRPr="00000000">
              <w:rPr>
                <w:color w:val="111827"/>
                <w:sz w:val="19"/>
                <w:szCs w:val="19"/>
                <w:rtl w:val="0"/>
              </w:rPr>
              <w:t xml:space="preserve">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3">
            <w:pPr>
              <w:spacing w:after="0" w:lineRule="auto"/>
              <w:rPr/>
            </w:pPr>
            <w:r w:rsidDel="00000000" w:rsidR="00000000" w:rsidRPr="00000000">
              <w:rPr>
                <w:color w:val="111827"/>
                <w:sz w:val="19"/>
                <w:szCs w:val="19"/>
                <w:rtl w:val="0"/>
              </w:rPr>
              <w:t xml:space="preserve">900</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4">
            <w:pPr>
              <w:spacing w:after="0" w:lineRule="auto"/>
              <w:rPr/>
            </w:pPr>
            <w:r w:rsidDel="00000000" w:rsidR="00000000" w:rsidRPr="00000000">
              <w:rPr>
                <w:color w:val="111827"/>
                <w:sz w:val="19"/>
                <w:szCs w:val="19"/>
                <w:rtl w:val="0"/>
              </w:rPr>
              <w:t xml:space="preserve">8</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5">
            <w:pPr>
              <w:spacing w:after="0" w:lineRule="auto"/>
              <w:rPr/>
            </w:pPr>
            <w:r w:rsidDel="00000000" w:rsidR="00000000" w:rsidRPr="00000000">
              <w:rPr>
                <w:color w:val="111827"/>
                <w:sz w:val="19"/>
                <w:szCs w:val="19"/>
                <w:rtl w:val="0"/>
              </w:rPr>
              <w:t xml:space="preserve">71.735%</w:t>
            </w:r>
            <w:r w:rsidDel="00000000" w:rsidR="00000000" w:rsidRPr="00000000">
              <w:rPr>
                <w:rtl w:val="0"/>
              </w:rPr>
            </w:r>
          </w:p>
        </w:tc>
        <w:tc>
          <w:tcPr>
            <w:tcBorders>
              <w:top w:color="d0d7de" w:space="0" w:sz="4" w:val="single"/>
              <w:left w:color="d0d7de" w:space="0" w:sz="4" w:val="single"/>
              <w:bottom w:color="d0d7de" w:space="0" w:sz="4" w:val="single"/>
              <w:right w:color="d0d7de" w:space="0" w:sz="4" w:val="single"/>
            </w:tcBorders>
            <w:vAlign w:val="center"/>
          </w:tcPr>
          <w:p w:rsidR="00000000" w:rsidDel="00000000" w:rsidP="00000000" w:rsidRDefault="00000000" w:rsidRPr="00000000" w14:paraId="00000046">
            <w:pPr>
              <w:spacing w:after="0" w:lineRule="auto"/>
              <w:rPr/>
            </w:pPr>
            <w:r w:rsidDel="00000000" w:rsidR="00000000" w:rsidRPr="00000000">
              <w:rPr>
                <w:color w:val="111827"/>
                <w:sz w:val="19"/>
                <w:szCs w:val="19"/>
                <w:rtl w:val="0"/>
              </w:rPr>
              <w:t xml:space="preserve">0.876597</w:t>
            </w:r>
            <w:r w:rsidDel="00000000" w:rsidR="00000000" w:rsidRPr="00000000">
              <w:rPr>
                <w:rtl w:val="0"/>
              </w:rPr>
            </w:r>
          </w:p>
        </w:tc>
      </w:tr>
    </w:tbl>
    <w:p w:rsidR="00000000" w:rsidDel="00000000" w:rsidP="00000000" w:rsidRDefault="00000000" w:rsidRPr="00000000" w14:paraId="00000047">
      <w:pPr>
        <w:spacing w:after="120" w:line="264" w:lineRule="auto"/>
        <w:rPr/>
      </w:pPr>
      <w:r w:rsidDel="00000000" w:rsidR="00000000" w:rsidRPr="00000000">
        <w:rPr>
          <w:color w:val="111827"/>
          <w:rtl w:val="0"/>
        </w:rPr>
        <w:t xml:space="preserve">Justificación de selección: se entrenaron 15 candidatos con microajustes. Los mejores fueron variantes depth 5. La mejora contra baseline fue pequeña pero consistente; por ello se recomienda avanzar con c04_depth5_lambda10 como candidato piloto.</w:t>
      </w:r>
      <w:r w:rsidDel="00000000" w:rsidR="00000000" w:rsidRPr="00000000">
        <w:rPr>
          <w:rtl w:val="0"/>
        </w:rPr>
      </w:r>
    </w:p>
    <w:p w:rsidR="00000000" w:rsidDel="00000000" w:rsidP="00000000" w:rsidRDefault="00000000" w:rsidRPr="00000000" w14:paraId="00000048">
      <w:pPr>
        <w:pStyle w:val="Heading2"/>
        <w:rPr/>
      </w:pPr>
      <w:r w:rsidDel="00000000" w:rsidR="00000000" w:rsidRPr="00000000">
        <w:rPr>
          <w:rFonts w:ascii="Calibri" w:cs="Calibri" w:eastAsia="Calibri" w:hAnsi="Calibri"/>
          <w:color w:val="1f4d78"/>
          <w:rtl w:val="0"/>
        </w:rPr>
        <w:t xml:space="preserve">5. Evaluation</w:t>
      </w:r>
      <w:r w:rsidDel="00000000" w:rsidR="00000000" w:rsidRPr="00000000">
        <w:rPr>
          <w:rtl w:val="0"/>
        </w:rPr>
      </w:r>
    </w:p>
    <w:p w:rsidR="00000000" w:rsidDel="00000000" w:rsidP="00000000" w:rsidRDefault="00000000" w:rsidRPr="00000000" w14:paraId="00000049">
      <w:pPr>
        <w:spacing w:after="120" w:line="264" w:lineRule="auto"/>
        <w:rPr/>
      </w:pPr>
      <w:r w:rsidDel="00000000" w:rsidR="00000000" w:rsidRPr="00000000">
        <w:rPr>
          <w:color w:val="111827"/>
          <w:rtl w:val="0"/>
        </w:rPr>
        <w:t xml:space="preserve">El modelo sabe si fue correcto comparando sus probabilidades contra el resultado real observado después de la fecha límite. En entrenamiento y validación histórica ya conocemos si cada usuario pago al menos el mínimo; con eso medimos ranking, calibración y clasificación.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Top-30 capture: porcentaje de no pagadores reales contenidos en el 30% de usuarios de mayor riesgo.</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PR AUC no pago: calidad del ranking cuando la clase de </w:t>
      </w:r>
      <w:r w:rsidDel="00000000" w:rsidR="00000000" w:rsidRPr="00000000">
        <w:rPr>
          <w:sz w:val="21"/>
          <w:szCs w:val="21"/>
          <w:rtl w:val="0"/>
        </w:rPr>
        <w:t xml:space="preserve">interés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es no pago.</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ROC AUC no pago: </w:t>
      </w:r>
      <w:r w:rsidDel="00000000" w:rsidR="00000000" w:rsidRPr="00000000">
        <w:rPr>
          <w:sz w:val="21"/>
          <w:szCs w:val="21"/>
          <w:rtl w:val="0"/>
        </w:rPr>
        <w:t xml:space="preserve">separación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general entre pagadores y no pagadores.</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Brier/RMSE/Log Loss: calidad de la probabilidad; menor es mejor.</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F1: balance precision-recall tras elegir un threshold, </w:t>
      </w:r>
      <w:r w:rsidDel="00000000" w:rsidR="00000000" w:rsidRPr="00000000">
        <w:rPr>
          <w:sz w:val="21"/>
          <w:szCs w:val="21"/>
          <w:rtl w:val="0"/>
        </w:rPr>
        <w:t xml:space="preserve">útil</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flags, no necesariamente para priorizacion.</w:t>
      </w:r>
      <w:r w:rsidDel="00000000" w:rsidR="00000000" w:rsidRPr="00000000">
        <w:rPr>
          <w:rtl w:val="0"/>
        </w:rPr>
      </w:r>
    </w:p>
    <w:p w:rsidR="00000000" w:rsidDel="00000000" w:rsidP="00000000" w:rsidRDefault="00000000" w:rsidRPr="00000000" w14:paraId="0000004F">
      <w:pPr>
        <w:jc w:val="center"/>
        <w:rPr/>
      </w:pPr>
      <w:r w:rsidDel="00000000" w:rsidR="00000000" w:rsidRPr="00000000">
        <w:rPr/>
        <w:drawing>
          <wp:inline distB="0" distT="0" distL="0" distR="0">
            <wp:extent cx="5669280" cy="3092335"/>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5669280" cy="309233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160" w:lineRule="auto"/>
        <w:jc w:val="center"/>
        <w:rPr/>
      </w:pPr>
      <w:r w:rsidDel="00000000" w:rsidR="00000000" w:rsidRPr="00000000">
        <w:rPr>
          <w:i w:val="1"/>
          <w:iCs w:val="1"/>
          <w:color w:val="475569"/>
          <w:sz w:val="18"/>
          <w:szCs w:val="18"/>
          <w:rtl w:val="0"/>
        </w:rPr>
        <w:t xml:space="preserve">Figura 1. Comparación de captura promedio de no pagadores en top 10%, 20% y 30% para los tres mejores candidatos.</w:t>
      </w:r>
      <w:r w:rsidDel="00000000" w:rsidR="00000000" w:rsidRPr="00000000">
        <w:rPr>
          <w:rtl w:val="0"/>
        </w:rPr>
      </w:r>
    </w:p>
    <w:p w:rsidR="00000000" w:rsidDel="00000000" w:rsidP="00000000" w:rsidRDefault="00000000" w:rsidRPr="00000000" w14:paraId="00000051">
      <w:pPr>
        <w:spacing w:after="120" w:line="264" w:lineRule="auto"/>
        <w:rPr/>
      </w:pPr>
      <w:r w:rsidDel="00000000" w:rsidR="00000000" w:rsidRPr="00000000">
        <w:rPr>
          <w:color w:val="111827"/>
          <w:rtl w:val="0"/>
        </w:rPr>
        <w:t xml:space="preserve">Interpretación de la Figura 1: los tres candidatos principales tienen resultados casi idénticos. Esto indica que el ajuste fino ya está en una zona estable; la decisión debe privilegiar robustez, simplicidad operativa y monitoreo mensual más que buscar diferencias mínimas.</w:t>
      </w:r>
      <w:r w:rsidDel="00000000" w:rsidR="00000000" w:rsidRPr="00000000">
        <w:rPr>
          <w:rtl w:val="0"/>
        </w:rPr>
      </w:r>
    </w:p>
    <w:p w:rsidR="00000000" w:rsidDel="00000000" w:rsidP="00000000" w:rsidRDefault="00000000" w:rsidRPr="00000000" w14:paraId="00000052">
      <w:pPr>
        <w:jc w:val="center"/>
        <w:rPr/>
      </w:pPr>
      <w:r w:rsidDel="00000000" w:rsidR="00000000" w:rsidRPr="00000000">
        <w:rPr/>
        <w:drawing>
          <wp:inline distB="0" distT="0" distL="0" distR="0">
            <wp:extent cx="5669280" cy="3307080"/>
            <wp:effectExtent b="0" l="0" r="0" t="0"/>
            <wp:docPr id="3"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5669280" cy="3307080"/>
                    </a:xfrm>
                    <a:prstGeom prst="rect"/>
                    <a:ln/>
                  </pic:spPr>
                </pic:pic>
              </a:graphicData>
            </a:graphic>
          </wp:inline>
        </w:drawing>
      </w:r>
      <w:r w:rsidDel="00000000" w:rsidR="00000000" w:rsidRPr="00000000">
        <w:rPr>
          <w:rtl w:val="0"/>
        </w:rPr>
      </w:r>
    </w:p>
    <w:p w:rsidR="00000000" w:rsidDel="00000000" w:rsidP="00000000" w:rsidRDefault="00000000" w:rsidRPr="00000000" w14:paraId="00000053">
      <w:pPr>
        <w:spacing w:after="160" w:lineRule="auto"/>
        <w:jc w:val="center"/>
        <w:rPr/>
      </w:pPr>
      <w:r w:rsidDel="00000000" w:rsidR="00000000" w:rsidRPr="00000000">
        <w:rPr>
          <w:i w:val="1"/>
          <w:iCs w:val="1"/>
          <w:color w:val="475569"/>
          <w:sz w:val="18"/>
          <w:szCs w:val="18"/>
          <w:rtl w:val="0"/>
        </w:rPr>
        <w:t xml:space="preserve">Figura 2. Ranking de los 15 candidatos por captura promedio top 30% en marzo y abril.</w:t>
      </w:r>
      <w:r w:rsidDel="00000000" w:rsidR="00000000" w:rsidRPr="00000000">
        <w:rPr>
          <w:rtl w:val="0"/>
        </w:rPr>
      </w:r>
    </w:p>
    <w:p w:rsidR="00000000" w:rsidDel="00000000" w:rsidP="00000000" w:rsidRDefault="00000000" w:rsidRPr="00000000" w14:paraId="00000054">
      <w:pPr>
        <w:spacing w:after="120" w:line="264" w:lineRule="auto"/>
        <w:rPr/>
      </w:pPr>
      <w:r w:rsidDel="00000000" w:rsidR="00000000" w:rsidRPr="00000000">
        <w:rPr>
          <w:color w:val="111827"/>
          <w:rtl w:val="0"/>
        </w:rPr>
        <w:t xml:space="preserve">Interpretación de la Figura 2: las variantes depth 5 dominan el ranking; las variantes depth 3 pierden capacidad para capturar no pagadores. Esto sugiere que el problema necesita interacciones algo más complejas que un modelo muy superficial.</w:t>
      </w:r>
      <w:r w:rsidDel="00000000" w:rsidR="00000000" w:rsidRPr="00000000">
        <w:rPr>
          <w:rtl w:val="0"/>
        </w:rPr>
      </w:r>
    </w:p>
    <w:p w:rsidR="00000000" w:rsidDel="00000000" w:rsidP="00000000" w:rsidRDefault="00000000" w:rsidRPr="00000000" w14:paraId="00000055">
      <w:pPr>
        <w:jc w:val="center"/>
        <w:rPr/>
      </w:pPr>
      <w:r w:rsidDel="00000000" w:rsidR="00000000" w:rsidRPr="00000000">
        <w:rPr/>
        <w:drawing>
          <wp:inline distB="0" distT="0" distL="0" distR="0">
            <wp:extent cx="5669280" cy="1889760"/>
            <wp:effectExtent b="0" l="0" r="0" t="0"/>
            <wp:docPr id="2"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669280" cy="1889760"/>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160" w:lineRule="auto"/>
        <w:jc w:val="center"/>
        <w:rPr/>
      </w:pPr>
      <w:r w:rsidDel="00000000" w:rsidR="00000000" w:rsidRPr="00000000">
        <w:rPr>
          <w:i w:val="1"/>
          <w:iCs w:val="1"/>
          <w:color w:val="475569"/>
          <w:sz w:val="18"/>
          <w:szCs w:val="18"/>
          <w:rtl w:val="0"/>
        </w:rPr>
        <w:t xml:space="preserve">Figura 3. Calibración por decil y captura acumulada en abril para el candidato ganador.</w:t>
      </w:r>
      <w:r w:rsidDel="00000000" w:rsidR="00000000" w:rsidRPr="00000000">
        <w:rPr>
          <w:rtl w:val="0"/>
        </w:rPr>
      </w:r>
    </w:p>
    <w:p w:rsidR="00000000" w:rsidDel="00000000" w:rsidP="00000000" w:rsidRDefault="00000000" w:rsidRPr="00000000" w14:paraId="00000057">
      <w:pPr>
        <w:spacing w:after="120" w:line="264" w:lineRule="auto"/>
        <w:rPr/>
      </w:pPr>
      <w:r w:rsidDel="00000000" w:rsidR="00000000" w:rsidRPr="00000000">
        <w:rPr>
          <w:color w:val="111827"/>
          <w:rtl w:val="0"/>
        </w:rPr>
        <w:t xml:space="preserve">Interpretación de la Figura 3: el riesgo está fuertemente concentrado en los primeros deciles. El top 30% de mayor riesgo </w:t>
      </w:r>
      <w:r w:rsidDel="00000000" w:rsidR="00000000" w:rsidRPr="00000000">
        <w:rPr>
          <w:color w:val="111827"/>
          <w:rtl w:val="0"/>
        </w:rPr>
        <w:t xml:space="preserve">captura 71.78</w:t>
      </w:r>
      <w:r w:rsidDel="00000000" w:rsidR="00000000" w:rsidRPr="00000000">
        <w:rPr>
          <w:color w:val="111827"/>
          <w:rtl w:val="0"/>
        </w:rPr>
        <w:t xml:space="preserve">% de los no pagadores de abril. Para Customer.io, esto permite enfocar tratamientos intensivos en segmentos de mayor probabilidad de incumplimiento.</w:t>
      </w:r>
      <w:r w:rsidDel="00000000" w:rsidR="00000000" w:rsidRPr="00000000">
        <w:rPr>
          <w:rtl w:val="0"/>
        </w:rPr>
      </w:r>
    </w:p>
    <w:p w:rsidR="00000000" w:rsidDel="00000000" w:rsidP="00000000" w:rsidRDefault="00000000" w:rsidRPr="00000000" w14:paraId="00000058">
      <w:pPr>
        <w:jc w:val="center"/>
        <w:rPr/>
      </w:pPr>
      <w:r w:rsidDel="00000000" w:rsidR="00000000" w:rsidRPr="00000000">
        <w:rPr/>
        <w:drawing>
          <wp:inline distB="0" distT="0" distL="0" distR="0">
            <wp:extent cx="5669280" cy="2024743"/>
            <wp:effectExtent b="0" l="0" r="0" t="0"/>
            <wp:docPr id="5"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669280" cy="2024743"/>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160" w:lineRule="auto"/>
        <w:jc w:val="center"/>
        <w:rPr/>
      </w:pPr>
      <w:r w:rsidDel="00000000" w:rsidR="00000000" w:rsidRPr="00000000">
        <w:rPr>
          <w:i w:val="1"/>
          <w:iCs w:val="1"/>
          <w:color w:val="475569"/>
          <w:sz w:val="18"/>
          <w:szCs w:val="18"/>
          <w:rtl w:val="0"/>
        </w:rPr>
        <w:t xml:space="preserve">Figura 4. Curvas ROC y Precision-Recall para no pago en abril.</w:t>
      </w:r>
      <w:r w:rsidDel="00000000" w:rsidR="00000000" w:rsidRPr="00000000">
        <w:rPr>
          <w:rtl w:val="0"/>
        </w:rPr>
      </w:r>
    </w:p>
    <w:p w:rsidR="00000000" w:rsidDel="00000000" w:rsidP="00000000" w:rsidRDefault="00000000" w:rsidRPr="00000000" w14:paraId="0000005A">
      <w:pPr>
        <w:spacing w:after="120" w:line="264" w:lineRule="auto"/>
        <w:rPr/>
      </w:pPr>
      <w:r w:rsidDel="00000000" w:rsidR="00000000" w:rsidRPr="00000000">
        <w:rPr>
          <w:color w:val="111827"/>
          <w:rtl w:val="0"/>
        </w:rPr>
        <w:t xml:space="preserve">Interpretación de la Figura 4: el PR AUC de 0.8766 indica buen ordenamiento de la clase de interés. La curva PR es especialmente importante porque el objetivo operativo es encontrar no pagadores, no solo maximizar accuracy general.</w:t>
      </w:r>
      <w:r w:rsidDel="00000000" w:rsidR="00000000" w:rsidRPr="00000000">
        <w:rPr>
          <w:rtl w:val="0"/>
        </w:rPr>
      </w:r>
    </w:p>
    <w:p w:rsidR="00000000" w:rsidDel="00000000" w:rsidP="00000000" w:rsidRDefault="00000000" w:rsidRPr="00000000" w14:paraId="0000005B">
      <w:pPr>
        <w:jc w:val="center"/>
        <w:rPr/>
      </w:pPr>
      <w:r w:rsidDel="00000000" w:rsidR="00000000" w:rsidRPr="00000000">
        <w:rPr/>
        <w:drawing>
          <wp:inline distB="0" distT="0" distL="0" distR="0">
            <wp:extent cx="5669280" cy="4859383"/>
            <wp:effectExtent b="0" l="0" r="0" t="0"/>
            <wp:docPr id="4" name="image2.png"/>
            <a:graphic>
              <a:graphicData uri="http://schemas.openxmlformats.org/drawingml/2006/picture">
                <pic:pic>
                  <pic:nvPicPr>
                    <pic:cNvPr id="0" name="image2.png"/>
                    <pic:cNvPicPr preferRelativeResize="0"/>
                  </pic:nvPicPr>
                  <pic:blipFill>
                    <a:blip r:embed="rId11"/>
                    <a:srcRect b="0" l="0" r="0" t="0"/>
                    <a:stretch>
                      <a:fillRect/>
                    </a:stretch>
                  </pic:blipFill>
                  <pic:spPr>
                    <a:xfrm>
                      <a:off x="0" y="0"/>
                      <a:ext cx="5669280" cy="4859383"/>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160" w:lineRule="auto"/>
        <w:jc w:val="center"/>
        <w:rPr/>
      </w:pPr>
      <w:r w:rsidDel="00000000" w:rsidR="00000000" w:rsidRPr="00000000">
        <w:rPr>
          <w:i w:val="1"/>
          <w:iCs w:val="1"/>
          <w:color w:val="475569"/>
          <w:sz w:val="18"/>
          <w:szCs w:val="18"/>
          <w:rtl w:val="0"/>
        </w:rPr>
        <w:t xml:space="preserve">Figura 5. Matriz de confusión en abril usando el threshold de mejor F1 en validación.</w:t>
      </w:r>
      <w:r w:rsidDel="00000000" w:rsidR="00000000" w:rsidRPr="00000000">
        <w:rPr>
          <w:rtl w:val="0"/>
        </w:rPr>
      </w:r>
    </w:p>
    <w:p w:rsidR="00000000" w:rsidDel="00000000" w:rsidP="00000000" w:rsidRDefault="00000000" w:rsidRPr="00000000" w14:paraId="0000005D">
      <w:pPr>
        <w:spacing w:after="120" w:line="264" w:lineRule="auto"/>
        <w:rPr/>
      </w:pPr>
      <w:r w:rsidDel="00000000" w:rsidR="00000000" w:rsidRPr="00000000">
        <w:rPr>
          <w:color w:val="111827"/>
          <w:rtl w:val="0"/>
        </w:rPr>
        <w:t xml:space="preserve">Interpretación de la Figura 5: el threshold transforma probabilidades en una decisión binaria. Para despliegue, se recomienda enviar probabilidad y decil a Customer.io; el flag por threshold debe ser secundario porque diferentes campanas pueden requerir distintos puntos de corte.</w:t>
      </w:r>
      <w:r w:rsidDel="00000000" w:rsidR="00000000" w:rsidRPr="00000000">
        <w:rPr>
          <w:rtl w:val="0"/>
        </w:rPr>
      </w:r>
    </w:p>
    <w:p w:rsidR="00000000" w:rsidDel="00000000" w:rsidP="00000000" w:rsidRDefault="00000000" w:rsidRPr="00000000" w14:paraId="0000005E">
      <w:pPr>
        <w:jc w:val="center"/>
        <w:rPr/>
      </w:pPr>
      <w:r w:rsidDel="00000000" w:rsidR="00000000" w:rsidRPr="00000000">
        <w:rPr/>
        <w:drawing>
          <wp:inline distB="0" distT="0" distL="0" distR="0">
            <wp:extent cx="5669280" cy="251968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669280" cy="251968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spacing w:after="160" w:lineRule="auto"/>
        <w:jc w:val="center"/>
        <w:rPr/>
      </w:pPr>
      <w:r w:rsidDel="00000000" w:rsidR="00000000" w:rsidRPr="00000000">
        <w:rPr>
          <w:i w:val="1"/>
          <w:iCs w:val="1"/>
          <w:color w:val="475569"/>
          <w:sz w:val="18"/>
          <w:szCs w:val="18"/>
          <w:rtl w:val="0"/>
        </w:rPr>
        <w:t xml:space="preserve">Figura 6. Importancia de variables del candidato ganador por gain, weight y cover.</w:t>
      </w:r>
      <w:r w:rsidDel="00000000" w:rsidR="00000000" w:rsidRPr="00000000">
        <w:rPr>
          <w:rtl w:val="0"/>
        </w:rPr>
      </w:r>
    </w:p>
    <w:p w:rsidR="00000000" w:rsidDel="00000000" w:rsidP="00000000" w:rsidRDefault="00000000" w:rsidRPr="00000000" w14:paraId="00000060">
      <w:pPr>
        <w:spacing w:after="120" w:line="264" w:lineRule="auto"/>
        <w:rPr/>
      </w:pPr>
      <w:r w:rsidDel="00000000" w:rsidR="00000000" w:rsidRPr="00000000">
        <w:rPr>
          <w:color w:val="111827"/>
          <w:rtl w:val="0"/>
        </w:rPr>
        <w:t xml:space="preserve">Interpretación de la Figura 6: los principales drivers son comportamiento reciente de mora, historial de pago, capacidad financiera y carga de pago mínimo. Esto es coherente con el negocio y reduce la preocupación de que el modelo dependa de una variable aislada o accidental.</w:t>
      </w:r>
      <w:r w:rsidDel="00000000" w:rsidR="00000000" w:rsidRPr="00000000">
        <w:rPr>
          <w:rtl w:val="0"/>
        </w:rPr>
      </w:r>
    </w:p>
    <w:p w:rsidR="00000000" w:rsidDel="00000000" w:rsidP="00000000" w:rsidRDefault="00000000" w:rsidRPr="00000000" w14:paraId="00000061">
      <w:pPr>
        <w:pStyle w:val="Heading2"/>
        <w:rPr/>
      </w:pPr>
      <w:r w:rsidDel="00000000" w:rsidR="00000000" w:rsidRPr="00000000">
        <w:rPr>
          <w:rFonts w:ascii="Calibri" w:cs="Calibri" w:eastAsia="Calibri" w:hAnsi="Calibri"/>
          <w:color w:val="1f4d78"/>
          <w:rtl w:val="0"/>
        </w:rPr>
        <w:t xml:space="preserve">6. Deployment</w:t>
      </w:r>
      <w:r w:rsidDel="00000000" w:rsidR="00000000" w:rsidRPr="00000000">
        <w:rPr>
          <w:rtl w:val="0"/>
        </w:rPr>
      </w:r>
    </w:p>
    <w:p w:rsidR="00000000" w:rsidDel="00000000" w:rsidP="00000000" w:rsidRDefault="00000000" w:rsidRPr="00000000" w14:paraId="00000062">
      <w:pPr>
        <w:spacing w:after="120" w:line="264" w:lineRule="auto"/>
        <w:rPr/>
      </w:pPr>
      <w:r w:rsidDel="00000000" w:rsidR="00000000" w:rsidRPr="00000000">
        <w:rPr>
          <w:color w:val="111827"/>
          <w:rtl w:val="0"/>
        </w:rPr>
        <w:t xml:space="preserve">El despliegue recomendado es un pipeline de Mage AI que ejecute la consulta SQL del día, aplique el mismo feature engineering usado en entrenamiento, cargue el artefacto .joblib y devuelva un dataframe con probabilidades.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SQL loader: consultar usuarios con cutoff_date_mx del dia, snapshot_date = cutoff_date_mx y min_payment_amount &gt; 0.</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Transformer: </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cargar</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collections_xgboost_minimum_payment_model.joblib.</w:t>
      </w:r>
      <w:r w:rsidDel="00000000" w:rsidR="00000000" w:rsidRPr="00000000">
        <w:rPr>
          <w:rtl w:val="0"/>
        </w:rPr>
      </w:r>
    </w:p>
    <w:p w:rsidR="00000000" w:rsidDel="00000000" w:rsidP="00000000" w:rsidRDefault="00000000" w:rsidRPr="00000000" w14:paraId="0000006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Feature engineering: recrear variables derivadas de fechas y ratios.</w:t>
      </w:r>
      <w:r w:rsidDel="00000000" w:rsidR="00000000" w:rsidRPr="00000000">
        <w:rPr>
          <w:rtl w:val="0"/>
        </w:rPr>
      </w:r>
    </w:p>
    <w:p w:rsidR="00000000" w:rsidDel="00000000" w:rsidP="00000000" w:rsidRDefault="00000000" w:rsidRPr="00000000" w14:paraId="0000006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Scoring: aplicar preprocessor, xgb_model y calibrator incluidos en el joblib.</w:t>
      </w:r>
      <w:r w:rsidDel="00000000" w:rsidR="00000000" w:rsidRPr="00000000">
        <w:rPr>
          <w:rtl w:val="0"/>
        </w:rPr>
      </w:r>
    </w:p>
    <w:p w:rsidR="00000000" w:rsidDel="00000000" w:rsidP="00000000" w:rsidRDefault="00000000" w:rsidRPr="00000000" w14:paraId="0000006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Output: user_id, cutoff_date_mx, probability_pay_minimum, probability_not_pay_minimum, risk_decile, model_version y scored_at.</w:t>
      </w:r>
      <w:r w:rsidDel="00000000" w:rsidR="00000000" w:rsidRPr="00000000">
        <w:rPr>
          <w:rtl w:val="0"/>
        </w:rPr>
      </w:r>
    </w:p>
    <w:p w:rsidR="00000000" w:rsidDel="00000000" w:rsidP="00000000" w:rsidRDefault="00000000" w:rsidRPr="00000000" w14:paraId="0000006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Exporter: escribir a tabla intermedia o enviar a Customer.io.</w:t>
      </w:r>
      <w:r w:rsidDel="00000000" w:rsidR="00000000" w:rsidRPr="00000000">
        <w:rPr>
          <w:rtl w:val="0"/>
        </w:rPr>
      </w:r>
    </w:p>
    <w:p w:rsidR="00000000" w:rsidDel="00000000" w:rsidP="00000000" w:rsidRDefault="00000000" w:rsidRPr="00000000" w14:paraId="00000069">
      <w:pPr>
        <w:pStyle w:val="Heading1"/>
        <w:rPr>
          <w:color w:val="1f4d78"/>
        </w:rPr>
      </w:pPr>
      <w:r w:rsidDel="00000000" w:rsidR="00000000" w:rsidRPr="00000000">
        <w:rPr>
          <w:rtl w:val="0"/>
        </w:rPr>
      </w:r>
    </w:p>
    <w:p w:rsidR="00000000" w:rsidDel="00000000" w:rsidP="00000000" w:rsidRDefault="00000000" w:rsidRPr="00000000" w14:paraId="0000006A">
      <w:pPr>
        <w:pStyle w:val="Heading1"/>
        <w:rPr/>
      </w:pPr>
      <w:r w:rsidDel="00000000" w:rsidR="00000000" w:rsidRPr="00000000">
        <w:rPr>
          <w:rFonts w:ascii="Calibri" w:cs="Calibri" w:eastAsia="Calibri" w:hAnsi="Calibri"/>
          <w:color w:val="1f4d78"/>
          <w:rtl w:val="0"/>
        </w:rPr>
        <w:t xml:space="preserve">Conclusiones orientadas al negocio</w:t>
      </w: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modelo genera una </w:t>
      </w:r>
      <w:r w:rsidDel="00000000" w:rsidR="00000000" w:rsidRPr="00000000">
        <w:rPr>
          <w:sz w:val="21"/>
          <w:szCs w:val="21"/>
          <w:rtl w:val="0"/>
        </w:rPr>
        <w:t xml:space="preserve">priorización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accionable: no solo predice, </w:t>
      </w:r>
      <w:r w:rsidDel="00000000" w:rsidR="00000000" w:rsidRPr="00000000">
        <w:rPr>
          <w:sz w:val="21"/>
          <w:szCs w:val="21"/>
          <w:rtl w:val="0"/>
        </w:rPr>
        <w:t xml:space="preserve">también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w:t>
      </w:r>
      <w:r w:rsidDel="00000000" w:rsidR="00000000" w:rsidRPr="00000000">
        <w:rPr>
          <w:sz w:val="21"/>
          <w:szCs w:val="21"/>
          <w:rtl w:val="0"/>
        </w:rPr>
        <w:t xml:space="preserve">ordena a los usuarios</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para decidir </w:t>
      </w:r>
      <w:r w:rsidDel="00000000" w:rsidR="00000000" w:rsidRPr="00000000">
        <w:rPr>
          <w:sz w:val="21"/>
          <w:szCs w:val="21"/>
          <w:rtl w:val="0"/>
        </w:rPr>
        <w:t xml:space="preserve">dónde</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invertir esfuerzos de </w:t>
      </w:r>
      <w:r w:rsidDel="00000000" w:rsidR="00000000" w:rsidRPr="00000000">
        <w:rPr>
          <w:sz w:val="21"/>
          <w:szCs w:val="21"/>
          <w:rtl w:val="0"/>
        </w:rPr>
        <w:t xml:space="preserve">comunicación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top 30% de mayor riesgo concentra cerca de 72% de no pagadores, lo que puede aumentar la eficiencia de campanas respecto a una estrategia uniforme.</w:t>
      </w:r>
      <w:r w:rsidDel="00000000" w:rsidR="00000000" w:rsidRPr="00000000">
        <w:rPr>
          <w:rtl w:val="0"/>
        </w:rPr>
      </w:r>
    </w:p>
    <w:p w:rsidR="00000000" w:rsidDel="00000000" w:rsidP="00000000" w:rsidRDefault="00000000" w:rsidRPr="00000000" w14:paraId="0000006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candidato ganador supera al baseline de forma modesta pero consistente; la prioridad ahora debe ser despliegue controlado y monitoreo, no seguir haciendo microajustes sin datos nuevos.</w:t>
      </w: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Mage AI es viable como capa de scoring: input SQL, output dataframe con probabilidades para Customer.io.</w:t>
      </w:r>
      <w:r w:rsidDel="00000000" w:rsidR="00000000" w:rsidRPr="00000000">
        <w:rPr>
          <w:rtl w:val="0"/>
        </w:rPr>
      </w:r>
    </w:p>
    <w:p w:rsidR="00000000" w:rsidDel="00000000" w:rsidP="00000000" w:rsidRDefault="00000000" w:rsidRPr="00000000" w14:paraId="000000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76" w:lineRule="auto"/>
        <w:ind w:left="360" w:right="0" w:hanging="360"/>
        <w:jc w:val="left"/>
        <w:rPr/>
      </w:pP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El modelo debe monitorearse mensualmente por estabilidad de volumen, tasa real de pago, </w:t>
      </w:r>
      <w:r w:rsidDel="00000000" w:rsidR="00000000" w:rsidRPr="00000000">
        <w:rPr>
          <w:sz w:val="21"/>
          <w:szCs w:val="21"/>
          <w:rtl w:val="0"/>
        </w:rPr>
        <w:t xml:space="preserve">calibración</w:t>
      </w:r>
      <w:r w:rsidDel="00000000" w:rsidR="00000000" w:rsidRPr="00000000">
        <w:rPr>
          <w:rFonts w:ascii="Calibri" w:cs="Calibri" w:eastAsia="Calibri" w:hAnsi="Calibri"/>
          <w:b w:val="0"/>
          <w:bCs w:val="0"/>
          <w:i w:val="0"/>
          <w:iCs w:val="0"/>
          <w:smallCaps w:val="0"/>
          <w:strike w:val="0"/>
          <w:color w:val="000000"/>
          <w:sz w:val="21"/>
          <w:szCs w:val="21"/>
          <w:u w:val="none"/>
          <w:shd w:fill="auto" w:val="clear"/>
          <w:vertAlign w:val="baseline"/>
          <w:rtl w:val="0"/>
        </w:rPr>
        <w:t xml:space="preserve">, PR AUC y captura por decil.</w:t>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76" w:lineRule="auto"/>
        <w:ind w:left="36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sectPr>
      <w:headerReference r:id="rId13" w:type="default"/>
      <w:footerReference r:id="rId14"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32"/>
      <w:szCs w:val="32"/>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sz w:val="24"/>
      <w:szCs w:val="24"/>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46"/>
      <w:szCs w:val="46"/>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2.png"/><Relationship Id="rId10" Type="http://schemas.openxmlformats.org/officeDocument/2006/relationships/image" Target="media/image5.png"/><Relationship Id="rId13" Type="http://schemas.openxmlformats.org/officeDocument/2006/relationships/header" Target="header1.xml"/><Relationship Id="rId12" Type="http://schemas.openxmlformats.org/officeDocument/2006/relationships/image" Target="media/image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14"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4.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V5KGUIOPG3xXSc6v8BRPW2+NXhQ==">CgMxLjA4AHIhMWFqdlBFSlctb2NrSzIzWml0WDdqaTk4S3NiblBCbGsx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