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0"/>
        <w:jc w:val="left"/>
      </w:pPr>
      <w:r>
        <w:drawing>
          <wp:inline xmlns:a="http://schemas.openxmlformats.org/drawingml/2006/main" xmlns:pic="http://schemas.openxmlformats.org/drawingml/2006/picture">
            <wp:extent cx="1512000" cy="4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pro_logo_refer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4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hAnsi="Arial"/>
          <w:b/>
          <w:i w:val="0"/>
          <w:color w:val="203E70"/>
          <w:sz w:val="34"/>
        </w:rPr>
        <w:t>RELATÓRIO TÉCNICO-OPERACIONAL</w:t>
      </w:r>
    </w:p>
    <w:p>
      <w:pPr>
        <w:spacing w:after="160"/>
      </w:pPr>
      <w:r>
        <w:rPr>
          <w:rFonts w:ascii="Arial" w:hAnsi="Arial"/>
          <w:b/>
          <w:i w:val="0"/>
          <w:color w:val="203E70"/>
          <w:sz w:val="23"/>
        </w:rPr>
        <w:t>Sistema de Gestão Financeira e Operacional</w:t>
      </w:r>
    </w:p>
    <w:p>
      <w:pPr>
        <w:spacing w:after="180"/>
        <w:pBdr>
          <w:bottom w:val="single" w:sz="14" w:space="3" w:color="B18B4B"/>
        </w:pBdr>
      </w:pPr>
    </w:p>
    <w:tbl>
      <w:tblPr>
        <w:tblW w:type="dxa" w:w="1058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140"/>
        <w:gridCol w:w="3660"/>
        <w:gridCol w:w="1820"/>
        <w:gridCol w:w="2964"/>
      </w:tblGrid>
      <w:tr>
        <w:tc>
          <w:tcPr>
            <w:tcW w:type="dxa" w:w="214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F1F1F1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1111"/>
                <w:sz w:val="18"/>
              </w:rPr>
              <w:t>Cliente:</w:t>
            </w:r>
          </w:p>
        </w:tc>
        <w:tc>
          <w:tcPr>
            <w:tcW w:type="dxa" w:w="366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Guardiões da Lasanha</w:t>
            </w:r>
          </w:p>
        </w:tc>
        <w:tc>
          <w:tcPr>
            <w:tcW w:type="dxa" w:w="182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F1F1F1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1111"/>
                <w:sz w:val="18"/>
              </w:rPr>
              <w:t>Data:</w:t>
            </w:r>
          </w:p>
        </w:tc>
        <w:tc>
          <w:tcPr>
            <w:tcW w:type="dxa" w:w="2964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01/09/2026</w:t>
            </w:r>
          </w:p>
        </w:tc>
      </w:tr>
      <w:tr>
        <w:tc>
          <w:tcPr>
            <w:tcW w:type="dxa" w:w="214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F1F1F1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1111"/>
                <w:sz w:val="18"/>
              </w:rPr>
              <w:t>Referência:</w:t>
            </w:r>
          </w:p>
        </w:tc>
        <w:tc>
          <w:tcPr>
            <w:tcW w:type="dxa" w:w="366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Sistema Financeiro e Operacional</w:t>
            </w:r>
          </w:p>
        </w:tc>
        <w:tc>
          <w:tcPr>
            <w:tcW w:type="dxa" w:w="182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F1F1F1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11111"/>
                <w:sz w:val="18"/>
              </w:rPr>
              <w:t>Versão:</w:t>
            </w:r>
          </w:p>
        </w:tc>
        <w:tc>
          <w:tcPr>
            <w:tcW w:type="dxa" w:w="2964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1.0</w:t>
            </w:r>
          </w:p>
        </w:tc>
      </w:tr>
    </w:tbl>
    <w:p>
      <w:pPr>
        <w:spacing w:before="0" w:after="140" w:line="269" w:lineRule="auto"/>
        <w:jc w:val="left"/>
      </w:pPr>
      <w:r>
        <w:rPr>
          <w:rFonts w:ascii="Arial" w:hAnsi="Arial"/>
          <w:b w:val="0"/>
          <w:i w:val="0"/>
          <w:color w:val="111111"/>
          <w:sz w:val="21"/>
        </w:rPr>
      </w:r>
    </w:p>
    <w:p>
      <w:pPr>
        <w:keepNext/>
        <w:spacing w:before="240" w:after="140"/>
        <w:jc w:val="left"/>
        <w:pBdr>
          <w:bottom w:val="single" w:sz="10" w:space="3" w:color="203E70"/>
        </w:pBdr>
      </w:pPr>
      <w:r>
        <w:rPr>
          <w:rFonts w:ascii="Arial" w:hAnsi="Arial"/>
          <w:b/>
          <w:i w:val="0"/>
          <w:color w:val="203E70"/>
          <w:sz w:val="28"/>
        </w:rPr>
        <w:t>1. Sumário Executivo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O sistema Guardiões da Lasanha foi desenvolvido para concentrar o controle financeiro e operacional da empresa em uma única plataforma. A solução organiza cadastros, custos, produtos, vendas, estoque, perdas, metas e análises gerenciais, reduzindo a dependência de controles dispersos e tornando os indicadores acessíveis para decisão diária.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A entrega foi estruturada para atender três níveis de uso: administração da base e das permissões, gestão dos indicadores e registro operacional dos fatos do dia a dia. O resultado é uma visão integrada da rentabilidade por produto e canal, da cobertura de estoque, do comportamento das perdas e das metas comerciais.</w:t>
      </w:r>
    </w:p>
    <w:p>
      <w:pPr>
        <w:keepNext/>
        <w:spacing w:before="240" w:after="140"/>
        <w:jc w:val="left"/>
        <w:pBdr>
          <w:bottom w:val="single" w:sz="10" w:space="3" w:color="203E70"/>
        </w:pBdr>
      </w:pPr>
      <w:r>
        <w:rPr>
          <w:rFonts w:ascii="Arial" w:hAnsi="Arial"/>
          <w:b/>
          <w:i w:val="0"/>
          <w:color w:val="203E70"/>
          <w:sz w:val="28"/>
        </w:rPr>
        <w:t>2. Estrutura do Sistema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A navegação foi organizada na sequência natural de leitura gerencial: primeiro a visão consolidada, depois os relatórios, custos, decisões de equilíbrio, operação de estoque, metas e registros. Os módulos preservam informações históricas e permitem análise por período sem alterar vendas já registradas.</w:t>
      </w:r>
    </w:p>
    <w:p>
      <w:pPr>
        <w:keepNext/>
        <w:spacing w:before="160" w:after="80"/>
        <w:jc w:val="left"/>
        <w:pBdr>
          <w:bottom w:val="single" w:sz="6" w:space="3" w:color="203E70"/>
        </w:pBdr>
      </w:pPr>
      <w:r>
        <w:rPr>
          <w:rFonts w:ascii="Arial" w:hAnsi="Arial"/>
          <w:b/>
          <w:i w:val="0"/>
          <w:color w:val="203E70"/>
          <w:sz w:val="23"/>
        </w:rPr>
        <w:t>2.1 Organização da navegação</w:t>
      </w:r>
    </w:p>
    <w:tbl>
      <w:tblPr>
        <w:tblW w:type="dxa" w:w="1058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500"/>
        <w:gridCol w:w="8084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Grupo</w:t>
            </w:r>
          </w:p>
        </w:tc>
        <w:tc>
          <w:tcPr>
            <w:tcW w:type="dxa" w:w="8084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Módulos</w:t>
            </w:r>
          </w:p>
        </w:tc>
      </w:tr>
      <w:tr>
        <w:tc>
          <w:tcPr>
            <w:tcW w:type="dxa" w:w="25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Leitura executiva</w:t>
            </w:r>
          </w:p>
        </w:tc>
        <w:tc>
          <w:tcPr>
            <w:tcW w:type="dxa" w:w="808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Visão geral; Análise gerencial; Relatórios gerenciais; DRE gerencial.</w:t>
            </w:r>
          </w:p>
        </w:tc>
      </w:tr>
      <w:tr>
        <w:tc>
          <w:tcPr>
            <w:tcW w:type="dxa" w:w="25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Decisão financeira</w:t>
            </w:r>
          </w:p>
        </w:tc>
        <w:tc>
          <w:tcPr>
            <w:tcW w:type="dxa" w:w="808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Custos e precificação; Ponto de equilíbrio; Custos fixos e metas; E se?.</w:t>
            </w:r>
          </w:p>
        </w:tc>
      </w:tr>
      <w:tr>
        <w:tc>
          <w:tcPr>
            <w:tcW w:type="dxa" w:w="25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Operação</w:t>
            </w:r>
          </w:p>
        </w:tc>
        <w:tc>
          <w:tcPr>
            <w:tcW w:type="dxa" w:w="808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Estoque; Vendas e canais; Perdas; Produtos.</w:t>
            </w:r>
          </w:p>
        </w:tc>
      </w:tr>
      <w:tr>
        <w:tc>
          <w:tcPr>
            <w:tcW w:type="dxa" w:w="25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Apoio e controle</w:t>
            </w:r>
          </w:p>
        </w:tc>
        <w:tc>
          <w:tcPr>
            <w:tcW w:type="dxa" w:w="808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Guia e glossário; Usuários e permissões; backup e restauração.</w:t>
            </w:r>
          </w:p>
        </w:tc>
      </w:tr>
    </w:tbl>
    <w:p>
      <w:pPr>
        <w:keepNext/>
        <w:spacing w:before="160" w:after="80"/>
        <w:jc w:val="left"/>
        <w:pBdr>
          <w:bottom w:val="single" w:sz="6" w:space="3" w:color="203E70"/>
        </w:pBdr>
      </w:pPr>
      <w:r>
        <w:rPr>
          <w:rFonts w:ascii="Arial" w:hAnsi="Arial"/>
          <w:b/>
          <w:i w:val="0"/>
          <w:color w:val="203E70"/>
          <w:sz w:val="23"/>
        </w:rPr>
        <w:t>2.2 Perfis de acesso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O controle de acesso considera os perfis Administrador, Gestor e Operacional. Cada perfil recebe somente as ações necessárias para sua rotina, e o Administrador controla usuários, senhas e permissões.</w:t>
      </w:r>
    </w:p>
    <w:tbl>
      <w:tblPr>
        <w:tblW w:type="dxa" w:w="1058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3300"/>
        <w:gridCol w:w="5584"/>
      </w:tblGrid>
      <w:tr>
        <w:trPr>
          <w:tblHeader w:val="true"/>
        </w:trPr>
        <w:tc>
          <w:tcPr>
            <w:tcW w:type="dxa" w:w="170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Perfil</w:t>
            </w:r>
          </w:p>
        </w:tc>
        <w:tc>
          <w:tcPr>
            <w:tcW w:type="dxa" w:w="330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Papel no processo</w:t>
            </w:r>
          </w:p>
        </w:tc>
        <w:tc>
          <w:tcPr>
            <w:tcW w:type="dxa" w:w="5584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Responsabilidade</w:t>
            </w:r>
          </w:p>
        </w:tc>
      </w:tr>
      <w:tr>
        <w:tc>
          <w:tcPr>
            <w:tcW w:type="dxa" w:w="17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Administrador</w:t>
            </w:r>
          </w:p>
        </w:tc>
        <w:tc>
          <w:tcPr>
            <w:tcW w:type="dxa" w:w="33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Configuração e governança.</w:t>
            </w:r>
          </w:p>
        </w:tc>
        <w:tc>
          <w:tcPr>
            <w:tcW w:type="dxa" w:w="558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Gerencia usuários, permissões, parâmetros e integridade da base.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Gestor</w:t>
            </w:r>
          </w:p>
        </w:tc>
        <w:tc>
          <w:tcPr>
            <w:tcW w:type="dxa" w:w="330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Análise e decisão.</w:t>
            </w:r>
          </w:p>
        </w:tc>
        <w:tc>
          <w:tcPr>
            <w:tcW w:type="dxa" w:w="558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Acompanha custos, margens, metas, relatórios, estoque e desempenho.</w:t>
            </w:r>
          </w:p>
        </w:tc>
      </w:tr>
      <w:tr>
        <w:tc>
          <w:tcPr>
            <w:tcW w:type="dxa" w:w="17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Operacional</w:t>
            </w:r>
          </w:p>
        </w:tc>
        <w:tc>
          <w:tcPr>
            <w:tcW w:type="dxa" w:w="33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Registro e consulta.</w:t>
            </w:r>
          </w:p>
        </w:tc>
        <w:tc>
          <w:tcPr>
            <w:tcW w:type="dxa" w:w="558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Registra fatos autorizados e consulta informações necessárias à rotina.</w:t>
            </w:r>
          </w:p>
        </w:tc>
      </w:tr>
    </w:tbl>
    <w:p>
      <w:pPr>
        <w:keepNext/>
        <w:spacing w:before="240" w:after="140"/>
        <w:jc w:val="left"/>
        <w:pBdr>
          <w:bottom w:val="single" w:sz="10" w:space="3" w:color="203E70"/>
        </w:pBdr>
      </w:pPr>
      <w:r>
        <w:rPr>
          <w:rFonts w:ascii="Arial" w:hAnsi="Arial"/>
          <w:b/>
          <w:i w:val="0"/>
          <w:color w:val="203E70"/>
          <w:sz w:val="28"/>
        </w:rPr>
        <w:t>3. Controles Financeiros e de Precificação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O módulo de Custos e Precificação consolida os componentes de custo de cada produto e apresenta a leitura por canal B2C e B2B. O preço sugerido é calculado com base no custo, nos impostos do canal e na margem desejada, permitindo uma análise que parte do custo real e não apenas de estimativas de mercado.</w:t>
      </w:r>
    </w:p>
    <w:p>
      <w:pPr>
        <w:keepNext/>
        <w:spacing w:before="160" w:after="80"/>
        <w:jc w:val="left"/>
        <w:pBdr>
          <w:bottom w:val="single" w:sz="6" w:space="3" w:color="203E70"/>
        </w:pBdr>
      </w:pPr>
      <w:r>
        <w:rPr>
          <w:rFonts w:ascii="Arial" w:hAnsi="Arial"/>
          <w:b/>
          <w:i w:val="0"/>
          <w:color w:val="203E70"/>
          <w:sz w:val="23"/>
        </w:rPr>
        <w:t>3.1 Indicadores financeiros</w:t>
      </w:r>
    </w:p>
    <w:tbl>
      <w:tblPr>
        <w:tblW w:type="dxa" w:w="1058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100"/>
        <w:gridCol w:w="4720"/>
        <w:gridCol w:w="3764"/>
      </w:tblGrid>
      <w:tr>
        <w:trPr>
          <w:tblHeader w:val="true"/>
        </w:trPr>
        <w:tc>
          <w:tcPr>
            <w:tcW w:type="dxa" w:w="210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472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Aplicação no sistema</w:t>
            </w:r>
          </w:p>
        </w:tc>
        <w:tc>
          <w:tcPr>
            <w:tcW w:type="dxa" w:w="3764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Uso gerencial</w:t>
            </w:r>
          </w:p>
        </w:tc>
      </w:tr>
      <w:tr>
        <w:tc>
          <w:tcPr>
            <w:tcW w:type="dxa" w:w="21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Receita</w:t>
            </w:r>
          </w:p>
        </w:tc>
        <w:tc>
          <w:tcPr>
            <w:tcW w:type="dxa" w:w="472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Consolidada a partir das vendas lançadas por período e canal.</w:t>
            </w:r>
          </w:p>
        </w:tc>
        <w:tc>
          <w:tcPr>
            <w:tcW w:type="dxa" w:w="376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Acompanhar faturamento e participação de cada canal.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Margem de contribuição</w:t>
            </w:r>
          </w:p>
        </w:tc>
        <w:tc>
          <w:tcPr>
            <w:tcW w:type="dxa" w:w="472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Calculada após impostos, custos variáveis e perdas aplicáveis.</w:t>
            </w:r>
          </w:p>
        </w:tc>
        <w:tc>
          <w:tcPr>
            <w:tcW w:type="dxa" w:w="376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Avaliar quais produtos e canais sustentam o resultado.</w:t>
            </w:r>
          </w:p>
        </w:tc>
      </w:tr>
      <w:tr>
        <w:tc>
          <w:tcPr>
            <w:tcW w:type="dxa" w:w="21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Resultado operacional</w:t>
            </w:r>
          </w:p>
        </w:tc>
        <w:tc>
          <w:tcPr>
            <w:tcW w:type="dxa" w:w="472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Margem de contribuição menos custos fixos do período.</w:t>
            </w:r>
          </w:p>
        </w:tc>
        <w:tc>
          <w:tcPr>
            <w:tcW w:type="dxa" w:w="376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Identificar cobertura ou insuficiência operacional.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Ponto de equilíbrio</w:t>
            </w:r>
          </w:p>
        </w:tc>
        <w:tc>
          <w:tcPr>
            <w:tcW w:type="dxa" w:w="472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Apuração contábil, econômica e financeira quando a margem é positiva.</w:t>
            </w:r>
          </w:p>
        </w:tc>
        <w:tc>
          <w:tcPr>
            <w:tcW w:type="dxa" w:w="376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Definir meta mínima de receita e volume.</w:t>
            </w:r>
          </w:p>
        </w:tc>
      </w:tr>
    </w:tbl>
    <w:p>
      <w:pPr>
        <w:keepNext/>
        <w:spacing w:before="160" w:after="80"/>
        <w:jc w:val="left"/>
        <w:pBdr>
          <w:bottom w:val="single" w:sz="6" w:space="3" w:color="203E70"/>
        </w:pBdr>
      </w:pPr>
      <w:r>
        <w:rPr>
          <w:rFonts w:ascii="Arial" w:hAnsi="Arial"/>
          <w:b/>
          <w:i w:val="0"/>
          <w:color w:val="203E70"/>
          <w:sz w:val="23"/>
        </w:rPr>
        <w:t>3.2 Regra de preservação histórica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Vendas registradas mantêm os valores financeiros aplicados no momento do lançamento. Uma alteração posterior de custo, imposto, preço ou margem desejada orienta decisões futuras, mas não reescreve automaticamente o histórico. Essa separação mantém os relatórios consistentes e auditáveis.</w:t>
      </w:r>
    </w:p>
    <w:p>
      <w:pPr>
        <w:keepNext/>
        <w:spacing w:before="240" w:after="140"/>
        <w:jc w:val="left"/>
        <w:pBdr>
          <w:bottom w:val="single" w:sz="10" w:space="3" w:color="203E70"/>
        </w:pBdr>
      </w:pPr>
      <w:r>
        <w:rPr>
          <w:rFonts w:ascii="Arial" w:hAnsi="Arial"/>
          <w:b/>
          <w:i w:val="0"/>
          <w:color w:val="203E70"/>
          <w:sz w:val="28"/>
        </w:rPr>
        <w:t>4. Operação, Estoque e Perdas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A camada operacional reúne o estoque físico, as movimentações, a ficha técnica dos produtos, as vendas e os registros de perda. Os dados são apresentados em relatórios e no Cockpit de forma didática, com alertas e prioridades para facilitar a tomada de decisão.</w:t>
      </w:r>
    </w:p>
    <w:p>
      <w:pPr>
        <w:keepNext/>
        <w:spacing w:before="160" w:after="80"/>
        <w:jc w:val="left"/>
        <w:pBdr>
          <w:bottom w:val="single" w:sz="6" w:space="3" w:color="203E70"/>
        </w:pBdr>
      </w:pPr>
      <w:r>
        <w:rPr>
          <w:rFonts w:ascii="Arial" w:hAnsi="Arial"/>
          <w:b/>
          <w:i w:val="0"/>
          <w:color w:val="203E70"/>
          <w:sz w:val="23"/>
        </w:rPr>
        <w:t>4.1 Inteligência de estoque</w:t>
      </w:r>
    </w:p>
    <w:tbl>
      <w:tblPr>
        <w:tblW w:type="dxa" w:w="1058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100"/>
        <w:gridCol w:w="4720"/>
        <w:gridCol w:w="3764"/>
      </w:tblGrid>
      <w:tr>
        <w:trPr>
          <w:tblHeader w:val="true"/>
        </w:trPr>
        <w:tc>
          <w:tcPr>
            <w:tcW w:type="dxa" w:w="210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Informação</w:t>
            </w:r>
          </w:p>
        </w:tc>
        <w:tc>
          <w:tcPr>
            <w:tcW w:type="dxa" w:w="472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Como é apresentada</w:t>
            </w:r>
          </w:p>
        </w:tc>
        <w:tc>
          <w:tcPr>
            <w:tcW w:type="dxa" w:w="3764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Decisão apoiada</w:t>
            </w:r>
          </w:p>
        </w:tc>
      </w:tr>
      <w:tr>
        <w:tc>
          <w:tcPr>
            <w:tcW w:type="dxa" w:w="21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Saldo e movimentações</w:t>
            </w:r>
          </w:p>
        </w:tc>
        <w:tc>
          <w:tcPr>
            <w:tcW w:type="dxa" w:w="472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Entradas, saídas e ajustes registrados por insumo.</w:t>
            </w:r>
          </w:p>
        </w:tc>
        <w:tc>
          <w:tcPr>
            <w:tcW w:type="dxa" w:w="376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Conferência física e rastreabilidade.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Ficha técnica</w:t>
            </w:r>
          </w:p>
        </w:tc>
        <w:tc>
          <w:tcPr>
            <w:tcW w:type="dxa" w:w="472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Consumo por produto com unidade de medida correspondente.</w:t>
            </w:r>
          </w:p>
        </w:tc>
        <w:tc>
          <w:tcPr>
            <w:tcW w:type="dxa" w:w="376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Planejamento de produção e compatibilidade de unidades.</w:t>
            </w:r>
          </w:p>
        </w:tc>
      </w:tr>
      <w:tr>
        <w:tc>
          <w:tcPr>
            <w:tcW w:type="dxa" w:w="21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Cobertura e risco</w:t>
            </w:r>
          </w:p>
        </w:tc>
        <w:tc>
          <w:tcPr>
            <w:tcW w:type="dxa" w:w="472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Média diária, cobertura estimada, risco e ação sugerida.</w:t>
            </w:r>
          </w:p>
        </w:tc>
        <w:tc>
          <w:tcPr>
            <w:tcW w:type="dxa" w:w="376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Reposição de itens críticos ou em atenção.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Perdas</w:t>
            </w:r>
          </w:p>
        </w:tc>
        <w:tc>
          <w:tcPr>
            <w:tcW w:type="dxa" w:w="472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Causa, setor, quantidade e impacto financeiro.</w:t>
            </w:r>
          </w:p>
        </w:tc>
        <w:tc>
          <w:tcPr>
            <w:tcW w:type="dxa" w:w="376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Priorização de ações de redução de perdas.</w:t>
            </w:r>
          </w:p>
        </w:tc>
      </w:tr>
    </w:tbl>
    <w:p>
      <w:pPr>
        <w:keepNext/>
        <w:spacing w:before="160" w:after="80"/>
        <w:jc w:val="left"/>
        <w:pBdr>
          <w:bottom w:val="single" w:sz="6" w:space="3" w:color="203E70"/>
        </w:pBdr>
      </w:pPr>
      <w:r>
        <w:rPr>
          <w:rFonts w:ascii="Arial" w:hAnsi="Arial"/>
          <w:b/>
          <w:i w:val="0"/>
          <w:color w:val="203E70"/>
          <w:sz w:val="23"/>
        </w:rPr>
        <w:t>4.2 Fluxo recomendado de registro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Cadastrar ou revisar produto, custo, imposto, margem desejada e status antes de novas vendas.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Registrar entrada, saída ou ajuste de estoque com o tipo correto de movimentação.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Registrar vendas por produto, canal, quantidade e preço aplicável.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Registrar perdas assim que identificadas, com causa, setor e valor correspondente.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Consultar as prioridades operacionais e validar o saldo físico antes de realizar compras ou ajustes.</w:t>
      </w:r>
    </w:p>
    <w:p>
      <w:pPr>
        <w:keepNext/>
        <w:spacing w:before="240" w:after="140"/>
        <w:jc w:val="left"/>
        <w:pBdr>
          <w:bottom w:val="single" w:sz="10" w:space="3" w:color="203E70"/>
        </w:pBdr>
      </w:pPr>
      <w:r>
        <w:rPr>
          <w:rFonts w:ascii="Arial" w:hAnsi="Arial"/>
          <w:b/>
          <w:i w:val="0"/>
          <w:color w:val="203E70"/>
          <w:sz w:val="28"/>
        </w:rPr>
        <w:t>5. Gestão, Relatórios e Simulações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Os módulos de Análise Gerencial, Relatórios Gerenciais e DRE Gerencial foram reunidos na navegação como uma única frente de gestão. Cada um tem uma função complementar: interpretação do período, consolidação para apresentação e demonstração do resultado.</w:t>
      </w:r>
    </w:p>
    <w:tbl>
      <w:tblPr>
        <w:tblW w:type="dxa" w:w="1058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100"/>
        <w:gridCol w:w="4720"/>
        <w:gridCol w:w="3764"/>
      </w:tblGrid>
      <w:tr>
        <w:trPr>
          <w:tblHeader w:val="true"/>
        </w:trPr>
        <w:tc>
          <w:tcPr>
            <w:tcW w:type="dxa" w:w="210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Ferramenta</w:t>
            </w:r>
          </w:p>
        </w:tc>
        <w:tc>
          <w:tcPr>
            <w:tcW w:type="dxa" w:w="472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Entrega</w:t>
            </w:r>
          </w:p>
        </w:tc>
        <w:tc>
          <w:tcPr>
            <w:tcW w:type="dxa" w:w="3764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Validação de uso</w:t>
            </w:r>
          </w:p>
        </w:tc>
      </w:tr>
      <w:tr>
        <w:tc>
          <w:tcPr>
            <w:tcW w:type="dxa" w:w="21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Análise gerencial</w:t>
            </w:r>
          </w:p>
        </w:tc>
        <w:tc>
          <w:tcPr>
            <w:tcW w:type="dxa" w:w="472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Leitura integrada de rentabilidade, produtos, canais, perdas e prioridades.</w:t>
            </w:r>
          </w:p>
        </w:tc>
        <w:tc>
          <w:tcPr>
            <w:tcW w:type="dxa" w:w="376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Usar para identificar causas e oportunidades.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Relatórios gerenciais</w:t>
            </w:r>
          </w:p>
        </w:tc>
        <w:tc>
          <w:tcPr>
            <w:tcW w:type="dxa" w:w="472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Filtros de data, comparação de períodos, ranking, timeline, alertas, CSV e impressão.</w:t>
            </w:r>
          </w:p>
        </w:tc>
        <w:tc>
          <w:tcPr>
            <w:tcW w:type="dxa" w:w="376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Conferir o recorte selecionado antes de exportar ou imprimir.</w:t>
            </w:r>
          </w:p>
        </w:tc>
      </w:tr>
      <w:tr>
        <w:tc>
          <w:tcPr>
            <w:tcW w:type="dxa" w:w="21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DRE gerencial</w:t>
            </w:r>
          </w:p>
        </w:tc>
        <w:tc>
          <w:tcPr>
            <w:tcW w:type="dxa" w:w="472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Consolidação de receita, impostos, custos, margem e resultado operacional.</w:t>
            </w:r>
          </w:p>
        </w:tc>
        <w:tc>
          <w:tcPr>
            <w:tcW w:type="dxa" w:w="376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Usar como demonstração sintética do desempenho do período.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E se?</w:t>
            </w:r>
          </w:p>
        </w:tc>
        <w:tc>
          <w:tcPr>
            <w:tcW w:type="dxa" w:w="472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Simulação de alternativas sem alterar a base persistida.</w:t>
            </w:r>
          </w:p>
        </w:tc>
        <w:tc>
          <w:tcPr>
            <w:tcW w:type="dxa" w:w="376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Testar cenários de volume, preço, custos e perdas antes de decidir.</w:t>
            </w:r>
          </w:p>
        </w:tc>
      </w:tr>
    </w:tbl>
    <w:p>
      <w:pPr>
        <w:keepNext/>
        <w:spacing w:before="160" w:after="80"/>
        <w:jc w:val="left"/>
        <w:pBdr>
          <w:bottom w:val="single" w:sz="6" w:space="3" w:color="203E70"/>
        </w:pBdr>
      </w:pPr>
      <w:r>
        <w:rPr>
          <w:rFonts w:ascii="Arial" w:hAnsi="Arial"/>
          <w:b/>
          <w:i w:val="0"/>
          <w:color w:val="203E70"/>
          <w:sz w:val="23"/>
        </w:rPr>
        <w:t>5.1 Exportação e apresentação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A exportação CSV respeita os filtros aplicados e utiliza codificação UTF-8 com separador ponto e vírgula. A impressão utiliza uma visualização própria, sem elementos de navegação ou botões de ação, adequada para a geração de PDF pelo navegador quando o recurso estiver disponível.</w:t>
      </w:r>
    </w:p>
    <w:p>
      <w:pPr>
        <w:keepNext/>
        <w:spacing w:before="240" w:after="140"/>
        <w:jc w:val="left"/>
        <w:pBdr>
          <w:bottom w:val="single" w:sz="10" w:space="3" w:color="203E70"/>
        </w:pBdr>
      </w:pPr>
      <w:r>
        <w:rPr>
          <w:rFonts w:ascii="Arial" w:hAnsi="Arial"/>
          <w:b/>
          <w:i w:val="0"/>
          <w:color w:val="203E70"/>
          <w:sz w:val="28"/>
        </w:rPr>
        <w:t>6. Segurança, Continuidade e Encerramento</w:t>
      </w:r>
    </w:p>
    <w:p>
      <w:pPr>
        <w:spacing w:before="0" w:after="120" w:line="269" w:lineRule="auto"/>
        <w:jc w:val="both"/>
      </w:pPr>
      <w:r>
        <w:rPr>
          <w:rFonts w:ascii="Arial" w:hAnsi="Arial"/>
          <w:b w:val="0"/>
          <w:i w:val="0"/>
          <w:color w:val="111111"/>
          <w:sz w:val="21"/>
        </w:rPr>
        <w:t>O sistema possui login local, usuários, senha e permissões por perfil. O uso adequado exige que cada pessoa utilize a própria conta, que as permissões sejam revisadas pelo Administrador e que cópias de segurança sejam realizadas antes de restaurações ou mudanças relevantes na base local.</w:t>
      </w:r>
    </w:p>
    <w:p>
      <w:pPr>
        <w:keepNext/>
        <w:spacing w:before="160" w:after="80"/>
        <w:jc w:val="left"/>
        <w:pBdr>
          <w:bottom w:val="single" w:sz="6" w:space="3" w:color="203E70"/>
        </w:pBdr>
      </w:pPr>
      <w:r>
        <w:rPr>
          <w:rFonts w:ascii="Arial" w:hAnsi="Arial"/>
          <w:b/>
          <w:i w:val="0"/>
          <w:color w:val="203E70"/>
          <w:sz w:val="23"/>
        </w:rPr>
        <w:t>6.1 Checklist de apresentação</w:t>
      </w:r>
    </w:p>
    <w:tbl>
      <w:tblPr>
        <w:tblW w:type="dxa" w:w="10584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500"/>
        <w:gridCol w:w="8084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Etapa</w:t>
            </w:r>
          </w:p>
        </w:tc>
        <w:tc>
          <w:tcPr>
            <w:tcW w:type="dxa" w:w="8084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5" w:color="111111"/>
              <w:left w:val="single" w:sz="5" w:color="111111"/>
              <w:bottom w:val="single" w:sz="5" w:color="111111"/>
              <w:right w:val="single" w:sz="5" w:color="111111"/>
            </w:tcBorders>
            <w:vAlign w:val="center"/>
            <w:shd w:fill="203E70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Conferência</w:t>
            </w:r>
          </w:p>
        </w:tc>
      </w:tr>
      <w:tr>
        <w:tc>
          <w:tcPr>
            <w:tcW w:type="dxa" w:w="25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Acesso</w:t>
            </w:r>
          </w:p>
        </w:tc>
        <w:tc>
          <w:tcPr>
            <w:tcW w:type="dxa" w:w="808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Login realizado com perfil de demonstração apropriado.</w:t>
            </w:r>
          </w:p>
        </w:tc>
      </w:tr>
      <w:tr>
        <w:tc>
          <w:tcPr>
            <w:tcW w:type="dxa" w:w="25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Visão geral</w:t>
            </w:r>
          </w:p>
        </w:tc>
        <w:tc>
          <w:tcPr>
            <w:tcW w:type="dxa" w:w="808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Cards, gráficos e prioridades exibindo dados demonstrativos.</w:t>
            </w:r>
          </w:p>
        </w:tc>
      </w:tr>
      <w:tr>
        <w:tc>
          <w:tcPr>
            <w:tcW w:type="dxa" w:w="25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Operação</w:t>
            </w:r>
          </w:p>
        </w:tc>
        <w:tc>
          <w:tcPr>
            <w:tcW w:type="dxa" w:w="808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Produtos, estoque, vendas, perdas e ficha técnica carregando normalmente.</w:t>
            </w:r>
          </w:p>
        </w:tc>
      </w:tr>
      <w:tr>
        <w:tc>
          <w:tcPr>
            <w:tcW w:type="dxa" w:w="25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Gestão</w:t>
            </w:r>
          </w:p>
        </w:tc>
        <w:tc>
          <w:tcPr>
            <w:tcW w:type="dxa" w:w="808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Análise, relatórios, DRE, ponto de equilíbrio e simulador disponíveis.</w:t>
            </w:r>
          </w:p>
        </w:tc>
      </w:tr>
      <w:tr>
        <w:tc>
          <w:tcPr>
            <w:tcW w:type="dxa" w:w="2500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Saída</w:t>
            </w:r>
          </w:p>
        </w:tc>
        <w:tc>
          <w:tcPr>
            <w:tcW w:type="dxa" w:w="8084"/>
            <w:shd w:fill="F8F8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CSV e impressão revisados com o filtro de período aplicado.</w:t>
            </w:r>
          </w:p>
        </w:tc>
      </w:tr>
      <w:tr>
        <w:tc>
          <w:tcPr>
            <w:tcW w:type="dxa" w:w="2500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11111"/>
                <w:sz w:val="17"/>
              </w:rPr>
              <w:t>Continuidade</w:t>
            </w:r>
          </w:p>
        </w:tc>
        <w:tc>
          <w:tcPr>
            <w:tcW w:type="dxa" w:w="8084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Backup salvo antes de qualquer restauração de base.</w:t>
            </w:r>
          </w:p>
        </w:tc>
      </w:tr>
    </w:tbl>
    <w:p>
      <w:pPr>
        <w:keepNext/>
        <w:spacing w:before="240" w:after="140"/>
        <w:jc w:val="left"/>
        <w:pBdr>
          <w:bottom w:val="single" w:sz="10" w:space="3" w:color="203E70"/>
        </w:pBdr>
      </w:pPr>
      <w:r>
        <w:rPr>
          <w:rFonts w:ascii="Arial" w:hAnsi="Arial"/>
          <w:b/>
          <w:i w:val="0"/>
          <w:color w:val="203E70"/>
          <w:sz w:val="28"/>
        </w:rPr>
        <w:t>7. Benefícios Entregues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Precificação orientada por custo, impostos e margem desejada por canal.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Visão integrada de receita, margem de contribuição, resultado operacional e ponto de equilíbrio.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Controle operacional de estoque, ficha técnica, consumo, cobertura e risco.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Acompanhamento de vendas, metas, canais e desempenho comercial.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Registro estruturado de perdas e priorização de ações operacionais.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Relatórios com filtros, comparação, CSV, impressão e suporte à apresentação gerencial.</w:t>
      </w:r>
    </w:p>
    <w:p>
      <w:pPr>
        <w:pStyle w:val="ListBullet"/>
        <w:spacing w:after="40" w:line="259" w:lineRule="auto"/>
        <w:ind w:left="397" w:hanging="198"/>
      </w:pPr>
      <w:r>
        <w:rPr>
          <w:rFonts w:ascii="Arial" w:hAnsi="Arial"/>
          <w:b w:val="0"/>
          <w:i w:val="0"/>
          <w:color w:val="111111"/>
          <w:sz w:val="21"/>
        </w:rPr>
        <w:t>Perfis de acesso, login local, backup e restauração para continuidade da operação.</w:t>
      </w:r>
    </w:p>
    <w:sectPr w:rsidR="00FC693F" w:rsidRPr="0006063C" w:rsidSect="00034616"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Técnico-Operacional - Guardiões da Lasanha</dc:title>
  <dc:subject>POP e visão geral do sistema</dc:subject>
  <dc:creator>Enpro Júnior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