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Calculadora do Novo IPVA</w:t>
      </w:r>
    </w:p>
    <w:p>
      <w:pPr>
        <w:jc w:val="center"/>
      </w:pPr>
      <w:r>
        <w:rPr>
          <w:color w:val="64748B"/>
          <w:sz w:val="26"/>
        </w:rPr>
        <w:t>PEC do Teto de 1% — Documentação Técnica do Projeto</w:t>
      </w:r>
    </w:p>
    <w:p/>
    <w:p>
      <w:pPr>
        <w:pStyle w:val="Heading1"/>
      </w:pPr>
      <w:r>
        <w:t>1. Visão Geral do Projeto</w:t>
      </w:r>
    </w:p>
    <w:p>
      <w:r>
        <w:t>Sistema web de página única (SPA estática) que permite ao usuário calcular a economia no IPVA caso a PEC que propõe teto constitucional de 1% seja aprovada. O sistema compara a alíquota atual do estado do usuário com o novo teto proposto, projetando economia anual e em 5 anos.</w:t>
      </w:r>
    </w:p>
    <w:p>
      <w:r>
        <w:t>O projeto é composto por HTML, CSS e JavaScript puros (sem frameworks), garantindo performance máxima, SEO nativo e hospedagem como site estático no Render.</w:t>
      </w:r>
    </w:p>
    <w:p>
      <w:pPr>
        <w:pStyle w:val="Heading1"/>
      </w:pPr>
      <w:r>
        <w:t>2. Estrutura de Arquivos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Arquivo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index.html</w:t>
            </w:r>
          </w:p>
        </w:tc>
        <w:tc>
          <w:tcPr>
            <w:tcW w:type="dxa" w:w="4320"/>
          </w:tcPr>
          <w:p>
            <w:r>
              <w:t>Página principal com formulário, resultados, ads e meta tags SEO</w:t>
            </w:r>
          </w:p>
        </w:tc>
      </w:tr>
      <w:tr>
        <w:tc>
          <w:tcPr>
            <w:tcW w:type="dxa" w:w="4320"/>
          </w:tcPr>
          <w:p>
            <w:r>
              <w:t>style.css</w:t>
            </w:r>
          </w:p>
        </w:tc>
        <w:tc>
          <w:tcPr>
            <w:tcW w:type="dxa" w:w="4320"/>
          </w:tcPr>
          <w:p>
            <w:r>
              <w:t>Estilos responsivos com design moderno (mobile-first)</w:t>
            </w:r>
          </w:p>
        </w:tc>
      </w:tr>
      <w:tr>
        <w:tc>
          <w:tcPr>
            <w:tcW w:type="dxa" w:w="4320"/>
          </w:tcPr>
          <w:p>
            <w:r>
              <w:t>script.js</w:t>
            </w:r>
          </w:p>
        </w:tc>
        <w:tc>
          <w:tcPr>
            <w:tcW w:type="dxa" w:w="4320"/>
          </w:tcPr>
          <w:p>
            <w:r>
              <w:t>Lógica de cálculo, máscara monetária, estados e analytics</w:t>
            </w:r>
          </w:p>
        </w:tc>
      </w:tr>
      <w:tr>
        <w:tc>
          <w:tcPr>
            <w:tcW w:type="dxa" w:w="4320"/>
          </w:tcPr>
          <w:p>
            <w:r>
              <w:t>render.yaml</w:t>
            </w:r>
          </w:p>
        </w:tc>
        <w:tc>
          <w:tcPr>
            <w:tcW w:type="dxa" w:w="4320"/>
          </w:tcPr>
          <w:p>
            <w:r>
              <w:t>Configuração de deploy como Static Site no Render</w:t>
            </w:r>
          </w:p>
        </w:tc>
      </w:tr>
    </w:tbl>
    <w:p/>
    <w:p>
      <w:pPr>
        <w:pStyle w:val="Heading1"/>
      </w:pPr>
      <w:r>
        <w:t>3. Alíquotas de IPVA por Estado (Veículos de Passeio)</w:t>
      </w:r>
    </w:p>
    <w:p>
      <w:r>
        <w:t>As alíquotas abaixo são referentes a automóveis de passeio particulares, conforme dados oficiais das Secretarias da Fazenda estaduais (2025/2026).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Alíquota</w:t>
            </w:r>
          </w:p>
        </w:tc>
        <w:tc>
          <w:tcPr>
            <w:tcW w:type="dxa" w:w="4320"/>
          </w:tcPr>
          <w:p>
            <w:r>
              <w:t>Estados</w:t>
            </w:r>
          </w:p>
        </w:tc>
      </w:tr>
      <w:tr>
        <w:tc>
          <w:tcPr>
            <w:tcW w:type="dxa" w:w="4320"/>
          </w:tcPr>
          <w:p>
            <w:r>
              <w:t>4,0%</w:t>
            </w:r>
          </w:p>
        </w:tc>
        <w:tc>
          <w:tcPr>
            <w:tcW w:type="dxa" w:w="4320"/>
          </w:tcPr>
          <w:p>
            <w:r>
              <w:t>SP, MG, RJ</w:t>
            </w:r>
          </w:p>
        </w:tc>
      </w:tr>
      <w:tr>
        <w:tc>
          <w:tcPr>
            <w:tcW w:type="dxa" w:w="4320"/>
          </w:tcPr>
          <w:p>
            <w:r>
              <w:t>3,75%</w:t>
            </w:r>
          </w:p>
        </w:tc>
        <w:tc>
          <w:tcPr>
            <w:tcW w:type="dxa" w:w="4320"/>
          </w:tcPr>
          <w:p>
            <w:r>
              <w:t>GO</w:t>
            </w:r>
          </w:p>
        </w:tc>
      </w:tr>
      <w:tr>
        <w:tc>
          <w:tcPr>
            <w:tcW w:type="dxa" w:w="4320"/>
          </w:tcPr>
          <w:p>
            <w:r>
              <w:t>3,5%</w:t>
            </w:r>
          </w:p>
        </w:tc>
        <w:tc>
          <w:tcPr>
            <w:tcW w:type="dxa" w:w="4320"/>
          </w:tcPr>
          <w:p>
            <w:r>
              <w:t>DF, PR</w:t>
            </w:r>
          </w:p>
        </w:tc>
      </w:tr>
      <w:tr>
        <w:tc>
          <w:tcPr>
            <w:tcW w:type="dxa" w:w="4320"/>
          </w:tcPr>
          <w:p>
            <w:r>
              <w:t>3,0%</w:t>
            </w:r>
          </w:p>
        </w:tc>
        <w:tc>
          <w:tcPr>
            <w:tcW w:type="dxa" w:w="4320"/>
          </w:tcPr>
          <w:p>
            <w:r>
              <w:t>AL, AM, AP, MS, MT, PE, RN, RO, RR, RS</w:t>
            </w:r>
          </w:p>
        </w:tc>
      </w:tr>
      <w:tr>
        <w:tc>
          <w:tcPr>
            <w:tcW w:type="dxa" w:w="4320"/>
          </w:tcPr>
          <w:p>
            <w:r>
              <w:t>2,5%</w:t>
            </w:r>
          </w:p>
        </w:tc>
        <w:tc>
          <w:tcPr>
            <w:tcW w:type="dxa" w:w="4320"/>
          </w:tcPr>
          <w:p>
            <w:r>
              <w:t>BA, CE, MA, PA, PB, PI, SE</w:t>
            </w:r>
          </w:p>
        </w:tc>
      </w:tr>
      <w:tr>
        <w:tc>
          <w:tcPr>
            <w:tcW w:type="dxa" w:w="4320"/>
          </w:tcPr>
          <w:p>
            <w:r>
              <w:t>2,0%</w:t>
            </w:r>
          </w:p>
        </w:tc>
        <w:tc>
          <w:tcPr>
            <w:tcW w:type="dxa" w:w="4320"/>
          </w:tcPr>
          <w:p>
            <w:r>
              <w:t>AC, ES, SC, TO</w:t>
            </w:r>
          </w:p>
        </w:tc>
      </w:tr>
    </w:tbl>
    <w:p/>
    <w:p>
      <w:pPr>
        <w:pStyle w:val="Heading1"/>
      </w:pPr>
      <w:r>
        <w:t>4. Lógica de Cálculo</w:t>
      </w:r>
    </w:p>
    <w:p>
      <w:pPr>
        <w:pStyle w:val="Heading2"/>
      </w:pPr>
      <w:r>
        <w:t>4.1. Fórmula do IPVA Atual</w:t>
      </w:r>
    </w:p>
    <w:p>
      <w:r>
        <w:rPr>
          <w:b/>
        </w:rPr>
        <w:t>IPVA Atual = Valor FIPE × (Alíquota do Estado / 100)</w:t>
      </w:r>
    </w:p>
    <w:p>
      <w:r>
        <w:t>Exemplo: Veículo de R$ 100.000 em SP (4%) → IPVA = R$ 4.000,00</w:t>
      </w:r>
    </w:p>
    <w:p>
      <w:pPr>
        <w:pStyle w:val="Heading2"/>
      </w:pPr>
      <w:r>
        <w:t>4.2. Fórmula do Novo IPVA (PEC)</w:t>
      </w:r>
    </w:p>
    <w:p>
      <w:r>
        <w:rPr>
          <w:b/>
        </w:rPr>
        <w:t>IPVA Novo = Valor FIPE × (Teto de 1% / 100)</w:t>
      </w:r>
    </w:p>
    <w:p>
      <w:r>
        <w:t>Exemplo: Veículo de R$ 100.000 com teto de 1% → IPVA = R$ 1.000,00</w:t>
      </w:r>
    </w:p>
    <w:p>
      <w:pPr>
        <w:pStyle w:val="Heading2"/>
      </w:pPr>
      <w:r>
        <w:t>4.3. Cálculo por Peso (Opcional)</w:t>
      </w:r>
    </w:p>
    <w:p>
      <w:r>
        <w:t>Se o peso do veículo for informado, aplica-se um fator proporcional ao teto de 1%:</w:t>
      </w:r>
    </w:p>
    <w:p>
      <w:r>
        <w:rPr>
          <w:b/>
        </w:rPr>
        <w:t>Fator Peso = max(0.3, min(1.0, peso_kg / 2000))</w:t>
      </w:r>
    </w:p>
    <w:p>
      <w:r>
        <w:t>Isso significa que veículos com até 600kg pagam 0,3% e veículos com 2000kg+ pagam 1,0%. Veículos intermediários têm alíquota proporcional.</w:t>
      </w:r>
    </w:p>
    <w:p>
      <w:pPr>
        <w:pStyle w:val="Heading2"/>
      </w:pPr>
      <w:r>
        <w:t>4.4. Projeções</w:t>
      </w:r>
    </w:p>
    <w:p>
      <w:pPr>
        <w:pStyle w:val="ListBullet"/>
      </w:pPr>
      <w:r>
        <w:t>Economia Anual = IPVA Atual − IPVA Novo</w:t>
      </w:r>
    </w:p>
    <w:p>
      <w:pPr>
        <w:pStyle w:val="ListBullet"/>
      </w:pPr>
      <w:r>
        <w:t>Redução (%) = (Economia Anual / IPVA Atual) × 100</w:t>
      </w:r>
    </w:p>
    <w:p>
      <w:pPr>
        <w:pStyle w:val="ListBullet"/>
      </w:pPr>
      <w:r>
        <w:t>Economia em 5 Anos = Economia Anual × 5</w:t>
      </w:r>
    </w:p>
    <w:p/>
    <w:p>
      <w:pPr>
        <w:pStyle w:val="Heading1"/>
      </w:pPr>
      <w:r>
        <w:t>5. Funcionalidades do Sistema</w:t>
      </w:r>
    </w:p>
    <w:p>
      <w:pPr>
        <w:pStyle w:val="ListBullet"/>
      </w:pPr>
      <w:r>
        <w:rPr>
          <w:b/>
        </w:rPr>
        <w:t xml:space="preserve">Formulário Principal: </w:t>
      </w:r>
      <w:r>
        <w:t>Seleção de estado (com alíquota exibida), valor FIPE com máscara monetária, peso opcional</w:t>
      </w:r>
    </w:p>
    <w:p>
      <w:pPr>
        <w:pStyle w:val="ListBullet"/>
      </w:pPr>
      <w:r>
        <w:rPr>
          <w:b/>
        </w:rPr>
        <w:t xml:space="preserve">Resultado Visual: </w:t>
      </w:r>
      <w:r>
        <w:t>Cards comparativos (atual vs novo), economia anual, redução percentual, economia em 5 anos</w:t>
      </w:r>
    </w:p>
    <w:p>
      <w:pPr>
        <w:pStyle w:val="ListBullet"/>
      </w:pPr>
      <w:r>
        <w:rPr>
          <w:b/>
        </w:rPr>
        <w:t xml:space="preserve">Compartilhamento: </w:t>
      </w:r>
      <w:r>
        <w:t>Botão de compartilhar via Web Share API ou clipboard</w:t>
      </w:r>
    </w:p>
    <w:p>
      <w:pPr>
        <w:pStyle w:val="ListBullet"/>
      </w:pPr>
      <w:r>
        <w:rPr>
          <w:b/>
        </w:rPr>
        <w:t xml:space="preserve">FAQ: </w:t>
      </w:r>
      <w:r>
        <w:t>Perguntas frequentes sobre a PEC com detalhes expandíveis</w:t>
      </w:r>
    </w:p>
    <w:p>
      <w:pPr>
        <w:pStyle w:val="ListBullet"/>
      </w:pPr>
      <w:r>
        <w:rPr>
          <w:b/>
        </w:rPr>
        <w:t xml:space="preserve">Responsividade: </w:t>
      </w:r>
      <w:r>
        <w:t>Layout adaptável para desktop, tablet e mobile</w:t>
      </w:r>
    </w:p>
    <w:p>
      <w:pPr>
        <w:pStyle w:val="ListBullet"/>
      </w:pPr>
      <w:r>
        <w:rPr>
          <w:b/>
        </w:rPr>
        <w:t xml:space="preserve">SEO: </w:t>
      </w:r>
      <w:r>
        <w:t>Meta tags Open Graph, Twitter Cards, canonical URL, schema semântico</w:t>
      </w:r>
    </w:p>
    <w:p/>
    <w:p>
      <w:pPr>
        <w:pStyle w:val="Heading1"/>
      </w:pPr>
      <w:r>
        <w:t>6. Espaços Publicitários (Ads)</w:t>
      </w:r>
    </w:p>
    <w:p>
      <w:r>
        <w:t>O layout possui 4 posições de anúncio prontas para integração com Google AdSense ou redes similares:</w:t>
      </w:r>
    </w:p>
    <w:p>
      <w:pPr>
        <w:pStyle w:val="ListBullet"/>
      </w:pPr>
      <w:r>
        <w:rPr>
          <w:b/>
        </w:rPr>
        <w:t xml:space="preserve">Ad Top: </w:t>
      </w:r>
      <w:r>
        <w:t>Banner horizontal no topo da página (728×90 ou responsivo)</w:t>
      </w:r>
    </w:p>
    <w:p>
      <w:pPr>
        <w:pStyle w:val="ListBullet"/>
      </w:pPr>
      <w:r>
        <w:rPr>
          <w:b/>
        </w:rPr>
        <w:t xml:space="preserve">Ad Bottom: </w:t>
      </w:r>
      <w:r>
        <w:t>Banner horizontal no rodapé (728×90 ou responsivo)</w:t>
      </w:r>
    </w:p>
    <w:p>
      <w:pPr>
        <w:pStyle w:val="ListBullet"/>
      </w:pPr>
      <w:r>
        <w:rPr>
          <w:b/>
        </w:rPr>
        <w:t xml:space="preserve">Ad Left: </w:t>
      </w:r>
      <w:r>
        <w:t>Banner vertical na lateral esquerda (160×600) — oculto em mobile</w:t>
      </w:r>
    </w:p>
    <w:p>
      <w:pPr>
        <w:pStyle w:val="ListBullet"/>
      </w:pPr>
      <w:r>
        <w:rPr>
          <w:b/>
        </w:rPr>
        <w:t xml:space="preserve">Ad Right: </w:t>
      </w:r>
      <w:r>
        <w:t>Banner vertical na lateral direita (160×600) — oculto em mobile</w:t>
      </w:r>
    </w:p>
    <w:p>
      <w:r>
        <w:t>Para ativar, substitua os placeholders &lt;div class="ad-placeholder"&gt; pelo código fornecido pelo Google AdSense ou outra rede de anúncios.</w:t>
      </w:r>
    </w:p>
    <w:p/>
    <w:p>
      <w:pPr>
        <w:pStyle w:val="Heading1"/>
      </w:pPr>
      <w:r>
        <w:t>7. Observabilidade e Métricas</w:t>
      </w:r>
    </w:p>
    <w:p>
      <w:pPr>
        <w:pStyle w:val="Heading2"/>
      </w:pPr>
      <w:r>
        <w:t>7.1. Google Analytics 4</w:t>
      </w:r>
    </w:p>
    <w:p>
      <w:r>
        <w:t>O sistema está pré-configurado com GA4. Para ativar, substitua "G-XXXXXXXXXX" no index.html pelo seu Measurement ID obtido em analytics.google.com.</w:t>
      </w:r>
    </w:p>
    <w:p>
      <w:pPr>
        <w:pStyle w:val="Heading2"/>
      </w:pPr>
      <w:r>
        <w:t>7.2. Microsoft Clarity</w:t>
      </w:r>
    </w:p>
    <w:p>
      <w:r>
        <w:t>Ferramenta gratuita da Microsoft para heatmaps e gravação de sessões. Substitua "CLARITY_ID" no index.html pelo ID do projeto criado em clarity.microsoft.com.</w:t>
      </w:r>
    </w:p>
    <w:p>
      <w:pPr>
        <w:pStyle w:val="Heading2"/>
      </w:pPr>
      <w:r>
        <w:t>7.3. Eventos Rastreados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page_view</w:t>
            </w:r>
          </w:p>
        </w:tc>
        <w:tc>
          <w:tcPr>
            <w:tcW w:type="dxa" w:w="4320"/>
          </w:tcPr>
          <w:p>
            <w:r>
              <w:t>Acesso à página</w:t>
            </w:r>
          </w:p>
        </w:tc>
      </w:tr>
      <w:tr>
        <w:tc>
          <w:tcPr>
            <w:tcW w:type="dxa" w:w="4320"/>
          </w:tcPr>
          <w:p>
            <w:r>
              <w:t>state_selected</w:t>
            </w:r>
          </w:p>
        </w:tc>
        <w:tc>
          <w:tcPr>
            <w:tcW w:type="dxa" w:w="4320"/>
          </w:tcPr>
          <w:p>
            <w:r>
              <w:t>Usuário selecionou um estado</w:t>
            </w:r>
          </w:p>
        </w:tc>
      </w:tr>
      <w:tr>
        <w:tc>
          <w:tcPr>
            <w:tcW w:type="dxa" w:w="4320"/>
          </w:tcPr>
          <w:p>
            <w:r>
              <w:t>calculation_performed</w:t>
            </w:r>
          </w:p>
        </w:tc>
        <w:tc>
          <w:tcPr>
            <w:tcW w:type="dxa" w:w="4320"/>
          </w:tcPr>
          <w:p>
            <w:r>
              <w:t>Cálculo realizado (inclui estado, valor, peso, resultados)</w:t>
            </w:r>
          </w:p>
        </w:tc>
      </w:tr>
      <w:tr>
        <w:tc>
          <w:tcPr>
            <w:tcW w:type="dxa" w:w="4320"/>
          </w:tcPr>
          <w:p>
            <w:r>
              <w:t>recalculate_clicked</w:t>
            </w:r>
          </w:p>
        </w:tc>
        <w:tc>
          <w:tcPr>
            <w:tcW w:type="dxa" w:w="4320"/>
          </w:tcPr>
          <w:p>
            <w:r>
              <w:t>Botão "Refazer Cálculo" clicado</w:t>
            </w:r>
          </w:p>
        </w:tc>
      </w:tr>
      <w:tr>
        <w:tc>
          <w:tcPr>
            <w:tcW w:type="dxa" w:w="4320"/>
          </w:tcPr>
          <w:p>
            <w:r>
              <w:t>share_clicked</w:t>
            </w:r>
          </w:p>
        </w:tc>
        <w:tc>
          <w:tcPr>
            <w:tcW w:type="dxa" w:w="4320"/>
          </w:tcPr>
          <w:p>
            <w:r>
              <w:t>Botão "Compartilhar" clicado (método nativo ou clipboard)</w:t>
            </w:r>
          </w:p>
        </w:tc>
      </w:tr>
      <w:tr>
        <w:tc>
          <w:tcPr>
            <w:tcW w:type="dxa" w:w="4320"/>
          </w:tcPr>
          <w:p>
            <w:r>
              <w:t>faq_opened</w:t>
            </w:r>
          </w:p>
        </w:tc>
        <w:tc>
          <w:tcPr>
            <w:tcW w:type="dxa" w:w="4320"/>
          </w:tcPr>
          <w:p>
            <w:r>
              <w:t>Pergunta do FAQ aberta</w:t>
            </w:r>
          </w:p>
        </w:tc>
      </w:tr>
    </w:tbl>
    <w:p/>
    <w:p>
      <w:pPr>
        <w:pStyle w:val="Heading1"/>
      </w:pPr>
      <w:r>
        <w:t>8. Hospedagem e Domínio</w:t>
      </w:r>
    </w:p>
    <w:p>
      <w:pPr>
        <w:pStyle w:val="Heading2"/>
      </w:pPr>
      <w:r>
        <w:t>8.1. Render (Static Site)</w:t>
      </w:r>
    </w:p>
    <w:p>
      <w:r>
        <w:t>O projeto é hospedado como Static Site no Render. O arquivo render.yaml contém toda a configuração necessária, incluindo headers de segurança e cache.</w:t>
      </w:r>
    </w:p>
    <w:p>
      <w:pPr>
        <w:pStyle w:val="Heading2"/>
      </w:pPr>
      <w:r>
        <w:t>8.2. Domínio: ipva.novocalculo.com.br</w:t>
      </w:r>
    </w:p>
    <w:p>
      <w:r>
        <w:t>"ipva" é um subdomínio de "novocalculo.com.br". O processo é:</w:t>
      </w:r>
    </w:p>
    <w:p>
      <w:pPr>
        <w:pStyle w:val="ListNumber"/>
      </w:pPr>
      <w:r>
        <w:t>Registrar o domínio "novocalculo.com.br" em um registrador (ex: Registro.br)</w:t>
      </w:r>
    </w:p>
    <w:p>
      <w:pPr>
        <w:pStyle w:val="ListNumber"/>
      </w:pPr>
      <w:r>
        <w:t>No Render Dashboard → Custom Domains → Adicionar "ipva.novocalculo.com.br"</w:t>
      </w:r>
    </w:p>
    <w:p>
      <w:pPr>
        <w:pStyle w:val="ListNumber"/>
      </w:pPr>
      <w:r>
        <w:t>No painel DNS do registrador, criar registro CNAME: "ipva" → "seu-app.onrender.com"</w:t>
      </w:r>
    </w:p>
    <w:p>
      <w:pPr>
        <w:pStyle w:val="ListNumber"/>
      </w:pPr>
      <w:r>
        <w:t>Verificar no Render — certificado SSL é emitido automaticamente</w:t>
      </w:r>
    </w:p>
    <w:p>
      <w:pPr>
        <w:pStyle w:val="Heading2"/>
      </w:pPr>
      <w:r>
        <w:t>8.3. Alternativas de Domínio</w:t>
      </w:r>
    </w:p>
    <w:p>
      <w:pPr>
        <w:pStyle w:val="ListBullet"/>
      </w:pPr>
      <w:r>
        <w:t>calculadoraipva.com.br</w:t>
      </w:r>
    </w:p>
    <w:p>
      <w:pPr>
        <w:pStyle w:val="ListBullet"/>
      </w:pPr>
      <w:r>
        <w:t>ipva.calculei.com.br</w:t>
      </w:r>
    </w:p>
    <w:p>
      <w:pPr>
        <w:pStyle w:val="ListBullet"/>
      </w:pPr>
      <w:r>
        <w:t>ipva.simulador.com.br</w:t>
      </w:r>
    </w:p>
    <w:p>
      <w:pPr>
        <w:pStyle w:val="ListBullet"/>
      </w:pPr>
      <w:r>
        <w:t>novocalculo.com.br (usando path /ipva ao invés de subdomínio)</w:t>
      </w:r>
    </w:p>
    <w:p/>
    <w:p>
      <w:pPr>
        <w:pStyle w:val="Heading1"/>
      </w:pPr>
      <w:r>
        <w:t>9. Como Fazer Deploy</w:t>
      </w:r>
    </w:p>
    <w:p>
      <w:pPr>
        <w:pStyle w:val="ListNumber"/>
      </w:pPr>
      <w:r>
        <w:t>Fazer push do código para o repositório GitHub: github.com/nascimentofe/ipva-calculator</w:t>
      </w:r>
    </w:p>
    <w:p>
      <w:pPr>
        <w:pStyle w:val="ListNumber"/>
      </w:pPr>
      <w:r>
        <w:t>No Render, criar novo Static Site conectado ao repositório GitHub</w:t>
      </w:r>
    </w:p>
    <w:p>
      <w:pPr>
        <w:pStyle w:val="ListNumber"/>
      </w:pPr>
      <w:r>
        <w:t>Branch: main | Publish Directory: . (raiz)</w:t>
      </w:r>
    </w:p>
    <w:p>
      <w:pPr>
        <w:pStyle w:val="ListNumber"/>
      </w:pPr>
      <w:r>
        <w:t>O Render fará deploy automático a cada push no main</w:t>
      </w:r>
    </w:p>
    <w:p>
      <w:pPr>
        <w:pStyle w:val="ListNumber"/>
      </w:pPr>
      <w:r>
        <w:t>Configurar domínio customizado conforme seção 8.2</w:t>
      </w:r>
    </w:p>
    <w:p/>
    <w:p>
      <w:pPr>
        <w:pStyle w:val="Heading1"/>
      </w:pPr>
      <w:r>
        <w:t>10. Sobre a PEC do IPVA</w:t>
      </w:r>
    </w:p>
    <w:p>
      <w:r>
        <w:t>A PEC (Proposta de Emenda à Constituição) propõe as seguintes mudanças no IPVA:</w:t>
      </w:r>
    </w:p>
    <w:p>
      <w:pPr>
        <w:pStyle w:val="ListBullet"/>
      </w:pPr>
      <w:r>
        <w:t>Teto de 1%: Garante que o IPVA nunca ultrapassará 1% do valor do veículo</w:t>
      </w:r>
    </w:p>
    <w:p>
      <w:pPr>
        <w:pStyle w:val="ListBullet"/>
      </w:pPr>
      <w:r>
        <w:t>Cálculo por Peso: Veículos mais leves pagam proporcionalmente menos, promovendo justiça tributária</w:t>
      </w:r>
    </w:p>
    <w:p>
      <w:pPr>
        <w:pStyle w:val="ListBullet"/>
      </w:pPr>
      <w:r>
        <w:t>Responsabilidade Fiscal: Compensação através do corte de privilégios</w:t>
      </w:r>
    </w:p>
    <w:p>
      <w:pPr>
        <w:pStyle w:val="ListBullet"/>
      </w:pPr>
      <w:r>
        <w:t>A PEC ainda está em tramitação e os valores apresentados são projeções</w:t>
      </w:r>
    </w:p>
    <w:p/>
    <w:p>
      <w:pPr>
        <w:jc w:val="center"/>
      </w:pPr>
      <w:r>
        <w:rPr>
          <w:color w:val="94A3B8"/>
          <w:sz w:val="18"/>
        </w:rPr>
        <w:t>© 2026 NovoCalculo — Documento gerado automaticamente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