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Calculadora do Novo IPVA</w:t>
      </w:r>
    </w:p>
    <w:p>
      <w:pPr>
        <w:jc w:val="center"/>
      </w:pPr>
      <w:r>
        <w:rPr>
          <w:color w:val="64748B"/>
          <w:sz w:val="26"/>
        </w:rPr>
        <w:t>PEC do Teto de 1% — Documentação Técnica do Projeto</w:t>
      </w:r>
    </w:p>
    <w:p/>
    <w:p>
      <w:pPr>
        <w:pStyle w:val="Heading1"/>
      </w:pPr>
      <w:r>
        <w:t>1. Visão Geral do Projeto</w:t>
      </w:r>
    </w:p>
    <w:p>
      <w:r>
        <w:t>Sistema web de página única (SPA estática) que permite ao usuário calcular a economia no IPVA caso a PEC que propõe teto constitucional de 1% seja aprovada. O sistema compara a alíquota atual do estado do usuário com o novo teto proposto, projetando economia anual e em 5 anos.</w:t>
      </w:r>
    </w:p>
    <w:p>
      <w:r>
        <w:t>O projeto é composto por HTML, CSS e JavaScript puros (sem frameworks), garantindo performance máxima, SEO nativo e hospedagem como site estático no Render.</w:t>
      </w:r>
    </w:p>
    <w:p>
      <w:pPr>
        <w:pStyle w:val="Heading1"/>
      </w:pPr>
      <w:r>
        <w:t>2. Estrutura de Arquivos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Arquivo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index.html</w:t>
            </w:r>
          </w:p>
        </w:tc>
        <w:tc>
          <w:tcPr>
            <w:tcW w:type="dxa" w:w="4320"/>
          </w:tcPr>
          <w:p>
            <w:r>
              <w:t>Página principal com formulário, resultados, ads AdSense e meta tags SEO</w:t>
            </w:r>
          </w:p>
        </w:tc>
      </w:tr>
      <w:tr>
        <w:tc>
          <w:tcPr>
            <w:tcW w:type="dxa" w:w="4320"/>
          </w:tcPr>
          <w:p>
            <w:r>
              <w:t>style.css</w:t>
            </w:r>
          </w:p>
        </w:tc>
        <w:tc>
          <w:tcPr>
            <w:tcW w:type="dxa" w:w="4320"/>
          </w:tcPr>
          <w:p>
            <w:r>
              <w:t>Estilos responsivos com design moderno, ads e cookie consent</w:t>
            </w:r>
          </w:p>
        </w:tc>
      </w:tr>
      <w:tr>
        <w:tc>
          <w:tcPr>
            <w:tcW w:type="dxa" w:w="4320"/>
          </w:tcPr>
          <w:p>
            <w:r>
              <w:t>script.js</w:t>
            </w:r>
          </w:p>
        </w:tc>
        <w:tc>
          <w:tcPr>
            <w:tcW w:type="dxa" w:w="4320"/>
          </w:tcPr>
          <w:p>
            <w:r>
              <w:t>Lógica de cálculo, máscara monetária, estados, analytics e consentimento LGPD</w:t>
            </w:r>
          </w:p>
        </w:tc>
      </w:tr>
      <w:tr>
        <w:tc>
          <w:tcPr>
            <w:tcW w:type="dxa" w:w="4320"/>
          </w:tcPr>
          <w:p>
            <w:r>
              <w:t>ads.txt</w:t>
            </w:r>
          </w:p>
        </w:tc>
        <w:tc>
          <w:tcPr>
            <w:tcW w:type="dxa" w:w="4320"/>
          </w:tcPr>
          <w:p>
            <w:r>
              <w:t>Arquivo de verificação obrigatório do Google AdSense</w:t>
            </w:r>
          </w:p>
        </w:tc>
      </w:tr>
      <w:tr>
        <w:tc>
          <w:tcPr>
            <w:tcW w:type="dxa" w:w="4320"/>
          </w:tcPr>
          <w:p>
            <w:r>
              <w:t>render.yaml</w:t>
            </w:r>
          </w:p>
        </w:tc>
        <w:tc>
          <w:tcPr>
            <w:tcW w:type="dxa" w:w="4320"/>
          </w:tcPr>
          <w:p>
            <w:r>
              <w:t>Configuração de deploy como Static Site no Render</w:t>
            </w:r>
          </w:p>
        </w:tc>
      </w:tr>
    </w:tbl>
    <w:p/>
    <w:p>
      <w:pPr>
        <w:pStyle w:val="Heading1"/>
      </w:pPr>
      <w:r>
        <w:t>3. Alíquotas de IPVA por Estado (Veículos de Passeio)</w:t>
      </w:r>
    </w:p>
    <w:p>
      <w:r>
        <w:t>As alíquotas abaixo são referentes a automóveis de passeio particulares, conforme dados oficiais das Secretarias da Fazenda estaduais (2025/2026).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Alíquota</w:t>
            </w:r>
          </w:p>
        </w:tc>
        <w:tc>
          <w:tcPr>
            <w:tcW w:type="dxa" w:w="4320"/>
          </w:tcPr>
          <w:p>
            <w:r>
              <w:t>Estados</w:t>
            </w:r>
          </w:p>
        </w:tc>
      </w:tr>
      <w:tr>
        <w:tc>
          <w:tcPr>
            <w:tcW w:type="dxa" w:w="4320"/>
          </w:tcPr>
          <w:p>
            <w:r>
              <w:t>4,0%</w:t>
            </w:r>
          </w:p>
        </w:tc>
        <w:tc>
          <w:tcPr>
            <w:tcW w:type="dxa" w:w="4320"/>
          </w:tcPr>
          <w:p>
            <w:r>
              <w:t>SP, MG, RJ</w:t>
            </w:r>
          </w:p>
        </w:tc>
      </w:tr>
      <w:tr>
        <w:tc>
          <w:tcPr>
            <w:tcW w:type="dxa" w:w="4320"/>
          </w:tcPr>
          <w:p>
            <w:r>
              <w:t>3,75%</w:t>
            </w:r>
          </w:p>
        </w:tc>
        <w:tc>
          <w:tcPr>
            <w:tcW w:type="dxa" w:w="4320"/>
          </w:tcPr>
          <w:p>
            <w:r>
              <w:t>GO</w:t>
            </w:r>
          </w:p>
        </w:tc>
      </w:tr>
      <w:tr>
        <w:tc>
          <w:tcPr>
            <w:tcW w:type="dxa" w:w="4320"/>
          </w:tcPr>
          <w:p>
            <w:r>
              <w:t>3,5%</w:t>
            </w:r>
          </w:p>
        </w:tc>
        <w:tc>
          <w:tcPr>
            <w:tcW w:type="dxa" w:w="4320"/>
          </w:tcPr>
          <w:p>
            <w:r>
              <w:t>DF, PR</w:t>
            </w:r>
          </w:p>
        </w:tc>
      </w:tr>
      <w:tr>
        <w:tc>
          <w:tcPr>
            <w:tcW w:type="dxa" w:w="4320"/>
          </w:tcPr>
          <w:p>
            <w:r>
              <w:t>3,0%</w:t>
            </w:r>
          </w:p>
        </w:tc>
        <w:tc>
          <w:tcPr>
            <w:tcW w:type="dxa" w:w="4320"/>
          </w:tcPr>
          <w:p>
            <w:r>
              <w:t>AL, AM, AP, MS, MT, PE, RN, RO, RR, RS</w:t>
            </w:r>
          </w:p>
        </w:tc>
      </w:tr>
      <w:tr>
        <w:tc>
          <w:tcPr>
            <w:tcW w:type="dxa" w:w="4320"/>
          </w:tcPr>
          <w:p>
            <w:r>
              <w:t>2,5%</w:t>
            </w:r>
          </w:p>
        </w:tc>
        <w:tc>
          <w:tcPr>
            <w:tcW w:type="dxa" w:w="4320"/>
          </w:tcPr>
          <w:p>
            <w:r>
              <w:t>BA, CE, MA, PA, PB, PI, SE</w:t>
            </w:r>
          </w:p>
        </w:tc>
      </w:tr>
      <w:tr>
        <w:tc>
          <w:tcPr>
            <w:tcW w:type="dxa" w:w="4320"/>
          </w:tcPr>
          <w:p>
            <w:r>
              <w:t>2,0%</w:t>
            </w:r>
          </w:p>
        </w:tc>
        <w:tc>
          <w:tcPr>
            <w:tcW w:type="dxa" w:w="4320"/>
          </w:tcPr>
          <w:p>
            <w:r>
              <w:t>AC, ES, SC, TO</w:t>
            </w:r>
          </w:p>
        </w:tc>
      </w:tr>
    </w:tbl>
    <w:p/>
    <w:p>
      <w:pPr>
        <w:pStyle w:val="Heading1"/>
      </w:pPr>
      <w:r>
        <w:t>4. Lógica de Cálculo</w:t>
      </w:r>
    </w:p>
    <w:p>
      <w:pPr>
        <w:pStyle w:val="Heading2"/>
      </w:pPr>
      <w:r>
        <w:t>4.1. Fórmula do IPVA Atual</w:t>
      </w:r>
    </w:p>
    <w:p>
      <w:r>
        <w:rPr>
          <w:b/>
        </w:rPr>
        <w:t>IPVA Atual = Valor FIPE × (Alíquota do Estado / 100)</w:t>
      </w:r>
    </w:p>
    <w:p>
      <w:r>
        <w:t>Exemplo: Veículo de R$ 100.000 em SP (4%) → IPVA = R$ 4.000,00</w:t>
      </w:r>
    </w:p>
    <w:p>
      <w:pPr>
        <w:pStyle w:val="Heading2"/>
      </w:pPr>
      <w:r>
        <w:t>4.2. Fórmula do Novo IPVA (PEC)</w:t>
      </w:r>
    </w:p>
    <w:p>
      <w:r>
        <w:rPr>
          <w:b/>
        </w:rPr>
        <w:t>IPVA Novo = Valor FIPE × (Teto de 1% / 100)</w:t>
      </w:r>
    </w:p>
    <w:p>
      <w:r>
        <w:t>Exemplo: Veículo de R$ 100.000 com teto de 1% → IPVA = R$ 1.000,00</w:t>
      </w:r>
    </w:p>
    <w:p>
      <w:pPr>
        <w:pStyle w:val="Heading2"/>
      </w:pPr>
      <w:r>
        <w:t>4.3. Cálculo por Peso (Opcional)</w:t>
      </w:r>
    </w:p>
    <w:p>
      <w:r>
        <w:t>Se o peso do veículo for informado, aplica-se um fator proporcional ao teto de 1%:</w:t>
      </w:r>
    </w:p>
    <w:p>
      <w:r>
        <w:rPr>
          <w:b/>
        </w:rPr>
        <w:t>Fator Peso = max(0.3, min(1.0, peso_kg / 2000))</w:t>
      </w:r>
    </w:p>
    <w:p>
      <w:r>
        <w:t>Isso significa que veículos com até 600kg pagam 0,3% e veículos com 2000kg+ pagam 1,0%. Veículos intermediários têm alíquota proporcional.</w:t>
      </w:r>
    </w:p>
    <w:p>
      <w:pPr>
        <w:pStyle w:val="Heading2"/>
      </w:pPr>
      <w:r>
        <w:t>4.4. Projeções</w:t>
      </w:r>
    </w:p>
    <w:p>
      <w:pPr>
        <w:pStyle w:val="ListBullet"/>
      </w:pPr>
      <w:r>
        <w:t>Economia Anual = IPVA Atual − IPVA Novo</w:t>
      </w:r>
    </w:p>
    <w:p>
      <w:pPr>
        <w:pStyle w:val="ListBullet"/>
      </w:pPr>
      <w:r>
        <w:t>Redução (%) = (Economia Anual / IPVA Atual) × 100</w:t>
      </w:r>
    </w:p>
    <w:p>
      <w:pPr>
        <w:pStyle w:val="ListBullet"/>
      </w:pPr>
      <w:r>
        <w:t>Economia em 5 Anos = Economia Anual × 5</w:t>
      </w:r>
    </w:p>
    <w:p/>
    <w:p>
      <w:pPr>
        <w:pStyle w:val="Heading1"/>
      </w:pPr>
      <w:r>
        <w:t>5. Funcionalidades do Sistema</w:t>
      </w:r>
    </w:p>
    <w:p>
      <w:pPr>
        <w:pStyle w:val="ListBullet"/>
      </w:pPr>
      <w:r>
        <w:rPr>
          <w:b/>
        </w:rPr>
        <w:t xml:space="preserve">Formulário Principal: </w:t>
      </w:r>
      <w:r>
        <w:t>Seleção de estado (com alíquota exibida), valor FIPE com máscara monetária, peso opcional</w:t>
      </w:r>
    </w:p>
    <w:p>
      <w:pPr>
        <w:pStyle w:val="ListBullet"/>
      </w:pPr>
      <w:r>
        <w:rPr>
          <w:b/>
        </w:rPr>
        <w:t xml:space="preserve">Resultado Visual: </w:t>
      </w:r>
      <w:r>
        <w:t>Cards comparativos (atual vs novo), economia anual, redução percentual, economia em 5 anos</w:t>
      </w:r>
    </w:p>
    <w:p>
      <w:pPr>
        <w:pStyle w:val="ListBullet"/>
      </w:pPr>
      <w:r>
        <w:rPr>
          <w:b/>
        </w:rPr>
        <w:t xml:space="preserve">Compartilhamento: </w:t>
      </w:r>
      <w:r>
        <w:t>Botão de compartilhar via Web Share API ou clipboard</w:t>
      </w:r>
    </w:p>
    <w:p>
      <w:pPr>
        <w:pStyle w:val="ListBullet"/>
      </w:pPr>
      <w:r>
        <w:rPr>
          <w:b/>
        </w:rPr>
        <w:t xml:space="preserve">FAQ: </w:t>
      </w:r>
      <w:r>
        <w:t>Perguntas frequentes sobre a PEC com detalhes expandíveis</w:t>
      </w:r>
    </w:p>
    <w:p>
      <w:pPr>
        <w:pStyle w:val="ListBullet"/>
      </w:pPr>
      <w:r>
        <w:rPr>
          <w:b/>
        </w:rPr>
        <w:t xml:space="preserve">Responsividade: </w:t>
      </w:r>
      <w:r>
        <w:t>Layout adaptável para desktop, tablet e mobile</w:t>
      </w:r>
    </w:p>
    <w:p>
      <w:pPr>
        <w:pStyle w:val="ListBullet"/>
      </w:pPr>
      <w:r>
        <w:rPr>
          <w:b/>
        </w:rPr>
        <w:t xml:space="preserve">SEO: </w:t>
      </w:r>
      <w:r>
        <w:t>Meta tags Open Graph, Twitter Cards, canonical URL, schema semântico</w:t>
      </w:r>
    </w:p>
    <w:p/>
    <w:p>
      <w:pPr>
        <w:pStyle w:val="Heading1"/>
      </w:pPr>
      <w:r>
        <w:t>6. Publicidade — Google AdSense</w:t>
      </w:r>
    </w:p>
    <w:p>
      <w:pPr>
        <w:pStyle w:val="Heading2"/>
      </w:pPr>
      <w:r>
        <w:t>6.1. Pré-requisitos para Aprovação do AdSense</w:t>
      </w:r>
    </w:p>
    <w:p>
      <w:pPr>
        <w:pStyle w:val="ListBullet"/>
      </w:pPr>
      <w:r>
        <w:t>Domínio próprio ativo (ex: ipva.fsncompany.com.br) — AdSense não aceita subdomínios do Render (.onrender.com)</w:t>
      </w:r>
    </w:p>
    <w:p>
      <w:pPr>
        <w:pStyle w:val="ListBullet"/>
      </w:pPr>
      <w:r>
        <w:t>Conteúdo original e útil publicado (a calculadora já atende esse requisito)</w:t>
      </w:r>
    </w:p>
    <w:p>
      <w:pPr>
        <w:pStyle w:val="ListBullet"/>
      </w:pPr>
      <w:r>
        <w:t>Política de Privacidade publicada no site (obrigatório pela LGPD e pelo AdSense)</w:t>
      </w:r>
    </w:p>
    <w:p>
      <w:pPr>
        <w:pStyle w:val="ListBullet"/>
      </w:pPr>
      <w:r>
        <w:t>Mínimo de 2-4 semanas de site no ar com tráfego antes de solicitar aprovação</w:t>
      </w:r>
    </w:p>
    <w:p>
      <w:pPr>
        <w:pStyle w:val="ListBullet"/>
      </w:pPr>
      <w:r>
        <w:t>O site não pode ter conteúdo adulto, violento ou ilegal</w:t>
      </w:r>
    </w:p>
    <w:p>
      <w:pPr>
        <w:pStyle w:val="Heading2"/>
      </w:pPr>
      <w:r>
        <w:t>6.2. Passo a Passo para Integração</w:t>
      </w:r>
    </w:p>
    <w:p>
      <w:r>
        <w:t>1. Acesse adsense.google.com e clique em "Começar"</w:t>
      </w:r>
    </w:p>
    <w:p>
      <w:r>
        <w:t>2. Cadastre o domínio "ipva.fsncompany.com.br" e aceite os termos</w:t>
      </w:r>
    </w:p>
    <w:p>
      <w:r>
        <w:t>3. O Google fornecerá um Publisher ID no formato "ca-pub-XXXXXXXXXXXXXXXX"</w:t>
      </w:r>
    </w:p>
    <w:p>
      <w:r>
        <w:t>4. No index.html, substitua TODAS as ocorrências de "ca-pub-XXXXXXXXXXXXXXXX" pelo seu Publisher ID real</w:t>
      </w:r>
    </w:p>
    <w:p>
      <w:r>
        <w:t>5. O Google fornecerá também Slot IDs para cada unidade de anúncio — substitua os valores _AD_SLOT_ID correspondentes</w:t>
      </w:r>
    </w:p>
    <w:p>
      <w:r>
        <w:t>6. No arquivo ads.txt (na raiz do site), substitua "pub-XXXXXXXXXXXXXXXX" pelo número do seu Publisher ID</w:t>
      </w:r>
    </w:p>
    <w:p>
      <w:r>
        <w:t>7. Faça deploy e aguarde a verificação do Google (pode levar de 24h a 2 semanas)</w:t>
      </w:r>
    </w:p>
    <w:p>
      <w:pPr>
        <w:pStyle w:val="Heading2"/>
      </w:pPr>
      <w:r>
        <w:t>6.3. Posições de Anúncios Configuradas</w:t>
      </w:r>
    </w:p>
    <w:p>
      <w:r>
        <w:t>O site possui 5 posições de anúncio otimizadas para máxima receita sem prejudicar a experiência: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Posição</w:t>
            </w:r>
          </w:p>
        </w:tc>
        <w:tc>
          <w:tcPr>
            <w:tcW w:type="dxa" w:w="4320"/>
          </w:tcPr>
          <w:p>
            <w:r>
              <w:t>Descrição e Formato</w:t>
            </w:r>
          </w:p>
        </w:tc>
      </w:tr>
      <w:tr>
        <w:tc>
          <w:tcPr>
            <w:tcW w:type="dxa" w:w="4320"/>
          </w:tcPr>
          <w:p>
            <w:r>
              <w:t>Ad Top (Leaderboard)</w:t>
            </w:r>
          </w:p>
        </w:tc>
        <w:tc>
          <w:tcPr>
            <w:tcW w:type="dxa" w:w="4320"/>
          </w:tcPr>
          <w:p>
            <w:r>
              <w:t>Banner horizontal no topo — formato 728×90 desktop / responsivo mobile. data-ad-format="horizontal"</w:t>
            </w:r>
          </w:p>
        </w:tc>
      </w:tr>
      <w:tr>
        <w:tc>
          <w:tcPr>
            <w:tcW w:type="dxa" w:w="4320"/>
          </w:tcPr>
          <w:p>
            <w:r>
              <w:t>Ad Left (Skyscraper)</w:t>
            </w:r>
          </w:p>
        </w:tc>
        <w:tc>
          <w:tcPr>
            <w:tcW w:type="dxa" w:w="4320"/>
          </w:tcPr>
          <w:p>
            <w:r>
              <w:t>Banner vertical lateral esquerda — formato 160×600. Visível apenas em desktop (&gt;1200px). data-ad-format="vertical"</w:t>
            </w:r>
          </w:p>
        </w:tc>
      </w:tr>
      <w:tr>
        <w:tc>
          <w:tcPr>
            <w:tcW w:type="dxa" w:w="4320"/>
          </w:tcPr>
          <w:p>
            <w:r>
              <w:t>Ad Right (Skyscraper)</w:t>
            </w:r>
          </w:p>
        </w:tc>
        <w:tc>
          <w:tcPr>
            <w:tcW w:type="dxa" w:w="4320"/>
          </w:tcPr>
          <w:p>
            <w:r>
              <w:t>Banner vertical lateral direita — formato 160×600. Visível apenas em desktop (&gt;1200px). data-ad-format="vertical"</w:t>
            </w:r>
          </w:p>
        </w:tc>
      </w:tr>
      <w:tr>
        <w:tc>
          <w:tcPr>
            <w:tcW w:type="dxa" w:w="4320"/>
          </w:tcPr>
          <w:p>
            <w:r>
              <w:t>Ad In-Article (Fluid)</w:t>
            </w:r>
          </w:p>
        </w:tc>
        <w:tc>
          <w:tcPr>
            <w:tcW w:type="dxa" w:w="4320"/>
          </w:tcPr>
          <w:p>
            <w:r>
              <w:t>Anúncio nativo entre o resultado do cálculo e o FAQ — zona de alta atenção. data-ad-format="fluid", data-ad-layout="in-article"</w:t>
            </w:r>
          </w:p>
        </w:tc>
      </w:tr>
      <w:tr>
        <w:tc>
          <w:tcPr>
            <w:tcW w:type="dxa" w:w="4320"/>
          </w:tcPr>
          <w:p>
            <w:r>
              <w:t>Ad Bottom (Leaderboard)</w:t>
            </w:r>
          </w:p>
        </w:tc>
        <w:tc>
          <w:tcPr>
            <w:tcW w:type="dxa" w:w="4320"/>
          </w:tcPr>
          <w:p>
            <w:r>
              <w:t>Banner horizontal no rodapé — formato 728×90 desktop / responsivo mobile. data-ad-format="horizontal"</w:t>
            </w:r>
          </w:p>
        </w:tc>
      </w:tr>
    </w:tbl>
    <w:p>
      <w:pPr>
        <w:pStyle w:val="Heading2"/>
      </w:pPr>
      <w:r>
        <w:t>6.4. Arquivo ads.txt</w:t>
      </w:r>
    </w:p>
    <w:p>
      <w:r>
        <w:t>O arquivo ads.txt na raiz do site é obrigatório para que o AdSense verifique a propriedade. Ele deve ser acessível em: https://ipva.fsncompany.com.br/ads.txt. Conteúdo: "google.com, pub-XXXXXXXXXXXXXXXX, DIRECT, f08c47fec0942fa0" (substituir pelo seu Publisher ID).</w:t>
      </w:r>
    </w:p>
    <w:p>
      <w:pPr>
        <w:pStyle w:val="Heading2"/>
      </w:pPr>
      <w:r>
        <w:t>6.5. Consentimento de Cookies (LGPD)</w:t>
      </w:r>
    </w:p>
    <w:p>
      <w:r>
        <w:t>O site inclui um banner de consentimento de cookies que aparece na primeira visita. É obrigatório pela LGPD (Lei Geral de Proteção de Dados) brasileira e pelas políticas do AdSense.</w:t>
      </w:r>
    </w:p>
    <w:p>
      <w:pPr>
        <w:pStyle w:val="ListBullet"/>
      </w:pPr>
      <w:r>
        <w:t>Se o usuário aceitar: anúncios personalizados são exibidos (maior receita)</w:t>
      </w:r>
    </w:p>
    <w:p>
      <w:pPr>
        <w:pStyle w:val="ListBullet"/>
      </w:pPr>
      <w:r>
        <w:t>Se o usuário recusar: anúncios genéricos são exibidos (adsbygoogle.requestNonPersonalizedAds = 1)</w:t>
      </w:r>
    </w:p>
    <w:p>
      <w:pPr>
        <w:pStyle w:val="ListBullet"/>
      </w:pPr>
      <w:r>
        <w:t>O consentimento é salvo em localStorage e não é solicitado novamente</w:t>
      </w:r>
    </w:p>
    <w:p>
      <w:pPr>
        <w:pStyle w:val="ListBullet"/>
      </w:pPr>
      <w:r>
        <w:t>Evento "cookie_consent" é enviado ao GA4 para métricas de taxa de aceite</w:t>
      </w:r>
    </w:p>
    <w:p>
      <w:pPr>
        <w:pStyle w:val="Heading2"/>
      </w:pPr>
      <w:r>
        <w:t>6.6. Placeholders de IDs para Substituir</w:t>
      </w:r>
    </w:p>
    <w:p>
      <w:r>
        <w:t>Ao receber sua aprovação do AdSense, substitua os seguintes placeholders nos arquivos: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Placeholder</w:t>
            </w:r>
          </w:p>
        </w:tc>
        <w:tc>
          <w:tcPr>
            <w:tcW w:type="dxa" w:w="2880"/>
          </w:tcPr>
          <w:p>
            <w:r>
              <w:t>Arquivo</w:t>
            </w:r>
          </w:p>
        </w:tc>
        <w:tc>
          <w:tcPr>
            <w:tcW w:type="dxa" w:w="2880"/>
          </w:tcPr>
          <w:p>
            <w:r>
              <w:t>O que colocar</w:t>
            </w:r>
          </w:p>
        </w:tc>
      </w:tr>
      <w:tr>
        <w:tc>
          <w:tcPr>
            <w:tcW w:type="dxa" w:w="2880"/>
          </w:tcPr>
          <w:p>
            <w:r>
              <w:t>ca-pub-XXXXXXXXXXXXXXXX</w:t>
            </w:r>
          </w:p>
        </w:tc>
        <w:tc>
          <w:tcPr>
            <w:tcW w:type="dxa" w:w="2880"/>
          </w:tcPr>
          <w:p>
            <w:r>
              <w:t>index.html (6 ocorrências)</w:t>
            </w:r>
          </w:p>
        </w:tc>
        <w:tc>
          <w:tcPr>
            <w:tcW w:type="dxa" w:w="2880"/>
          </w:tcPr>
          <w:p>
            <w:r>
              <w:t>Seu Publisher ID do AdSense</w:t>
            </w:r>
          </w:p>
        </w:tc>
      </w:tr>
      <w:tr>
        <w:tc>
          <w:tcPr>
            <w:tcW w:type="dxa" w:w="2880"/>
          </w:tcPr>
          <w:p>
            <w:r>
              <w:t>TOP_AD_SLOT_ID</w:t>
            </w:r>
          </w:p>
        </w:tc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Slot ID do anúncio do topo</w:t>
            </w:r>
          </w:p>
        </w:tc>
      </w:tr>
      <w:tr>
        <w:tc>
          <w:tcPr>
            <w:tcW w:type="dxa" w:w="2880"/>
          </w:tcPr>
          <w:p>
            <w:r>
              <w:t>LEFT_AD_SLOT_ID</w:t>
            </w:r>
          </w:p>
        </w:tc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Slot ID do anúncio esquerdo</w:t>
            </w:r>
          </w:p>
        </w:tc>
      </w:tr>
      <w:tr>
        <w:tc>
          <w:tcPr>
            <w:tcW w:type="dxa" w:w="2880"/>
          </w:tcPr>
          <w:p>
            <w:r>
              <w:t>RIGHT_AD_SLOT_ID</w:t>
            </w:r>
          </w:p>
        </w:tc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Slot ID do anúncio direito</w:t>
            </w:r>
          </w:p>
        </w:tc>
      </w:tr>
      <w:tr>
        <w:tc>
          <w:tcPr>
            <w:tcW w:type="dxa" w:w="2880"/>
          </w:tcPr>
          <w:p>
            <w:r>
              <w:t>IN_ARTICLE_AD_SLOT_ID</w:t>
            </w:r>
          </w:p>
        </w:tc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Slot ID do anúncio in-article</w:t>
            </w:r>
          </w:p>
        </w:tc>
      </w:tr>
      <w:tr>
        <w:tc>
          <w:tcPr>
            <w:tcW w:type="dxa" w:w="2880"/>
          </w:tcPr>
          <w:p>
            <w:r>
              <w:t>BOTTOM_AD_SLOT_ID</w:t>
            </w:r>
          </w:p>
        </w:tc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Slot ID do anúncio do rodapé</w:t>
            </w:r>
          </w:p>
        </w:tc>
      </w:tr>
      <w:tr>
        <w:tc>
          <w:tcPr>
            <w:tcW w:type="dxa" w:w="2880"/>
          </w:tcPr>
          <w:p>
            <w:r>
              <w:t>pub-XXXXXXXXXXXXXXXX</w:t>
            </w:r>
          </w:p>
        </w:tc>
        <w:tc>
          <w:tcPr>
            <w:tcW w:type="dxa" w:w="2880"/>
          </w:tcPr>
          <w:p>
            <w:r>
              <w:t>ads.txt</w:t>
            </w:r>
          </w:p>
        </w:tc>
        <w:tc>
          <w:tcPr>
            <w:tcW w:type="dxa" w:w="2880"/>
          </w:tcPr>
          <w:p>
            <w:r>
              <w:t>Seu Publisher ID (sem "ca-")</w:t>
            </w:r>
          </w:p>
        </w:tc>
      </w:tr>
    </w:tbl>
    <w:p>
      <w:pPr>
        <w:pStyle w:val="Heading2"/>
      </w:pPr>
      <w:r>
        <w:t>6.7. Estimativa de Receita</w:t>
      </w:r>
    </w:p>
    <w:p>
      <w:r>
        <w:t>A receita depende do tráfego e do nicho. Para um site de calculadora financeira no Brasil, a estimativa média é:</w:t>
      </w:r>
    </w:p>
    <w:p>
      <w:pPr>
        <w:pStyle w:val="ListBullet"/>
      </w:pPr>
      <w:r>
        <w:t>1.000 visitas/dia → R$ 30-80/mês</w:t>
      </w:r>
    </w:p>
    <w:p>
      <w:pPr>
        <w:pStyle w:val="ListBullet"/>
      </w:pPr>
      <w:r>
        <w:t>5.000 visitas/dia → R$ 150-400/mês</w:t>
      </w:r>
    </w:p>
    <w:p>
      <w:pPr>
        <w:pStyle w:val="ListBullet"/>
      </w:pPr>
      <w:r>
        <w:t>10.000 visitas/dia → R$ 300-900/mês</w:t>
      </w:r>
    </w:p>
    <w:p>
      <w:pPr>
        <w:pStyle w:val="ListBullet"/>
      </w:pPr>
      <w:r>
        <w:t>50.000 visitas/dia → R$ 1.500-5.000/mês</w:t>
      </w:r>
    </w:p>
    <w:p>
      <w:r>
        <w:t>O nicho de IPVA/finanças tem CPM (custo por mil impressões) acima da média, especialmente durante o período de pagamento do IPVA (janeiro-março).</w:t>
      </w:r>
    </w:p>
    <w:p/>
    <w:p>
      <w:pPr>
        <w:pStyle w:val="Heading1"/>
      </w:pPr>
      <w:r>
        <w:t>7. Observabilidade e Métricas</w:t>
      </w:r>
    </w:p>
    <w:p>
      <w:pPr>
        <w:pStyle w:val="Heading2"/>
      </w:pPr>
      <w:r>
        <w:t>7.1. Google Analytics 4</w:t>
      </w:r>
    </w:p>
    <w:p>
      <w:r>
        <w:t>O sistema está pré-configurado com GA4. Para ativar, substitua "G-XXXXXXXXXX" no index.html pelo seu Measurement ID obtido em analytics.google.com.</w:t>
      </w:r>
    </w:p>
    <w:p>
      <w:pPr>
        <w:pStyle w:val="Heading2"/>
      </w:pPr>
      <w:r>
        <w:t>7.2. Microsoft Clarity</w:t>
      </w:r>
    </w:p>
    <w:p>
      <w:r>
        <w:t>Ferramenta gratuita da Microsoft para heatmaps e gravação de sessões. Substitua "CLARITY_ID" no index.html pelo ID do projeto criado em clarity.microsoft.com.</w:t>
      </w:r>
    </w:p>
    <w:p>
      <w:pPr>
        <w:pStyle w:val="Heading2"/>
      </w:pPr>
      <w:r>
        <w:t>7.3. Eventos Rastreados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page_view</w:t>
            </w:r>
          </w:p>
        </w:tc>
        <w:tc>
          <w:tcPr>
            <w:tcW w:type="dxa" w:w="4320"/>
          </w:tcPr>
          <w:p>
            <w:r>
              <w:t>Acesso à página</w:t>
            </w:r>
          </w:p>
        </w:tc>
      </w:tr>
      <w:tr>
        <w:tc>
          <w:tcPr>
            <w:tcW w:type="dxa" w:w="4320"/>
          </w:tcPr>
          <w:p>
            <w:r>
              <w:t>state_selected</w:t>
            </w:r>
          </w:p>
        </w:tc>
        <w:tc>
          <w:tcPr>
            <w:tcW w:type="dxa" w:w="4320"/>
          </w:tcPr>
          <w:p>
            <w:r>
              <w:t>Usuário selecionou um estado</w:t>
            </w:r>
          </w:p>
        </w:tc>
      </w:tr>
      <w:tr>
        <w:tc>
          <w:tcPr>
            <w:tcW w:type="dxa" w:w="4320"/>
          </w:tcPr>
          <w:p>
            <w:r>
              <w:t>calculation_performed</w:t>
            </w:r>
          </w:p>
        </w:tc>
        <w:tc>
          <w:tcPr>
            <w:tcW w:type="dxa" w:w="4320"/>
          </w:tcPr>
          <w:p>
            <w:r>
              <w:t>Cálculo realizado (inclui estado, valor, peso, resultados)</w:t>
            </w:r>
          </w:p>
        </w:tc>
      </w:tr>
      <w:tr>
        <w:tc>
          <w:tcPr>
            <w:tcW w:type="dxa" w:w="4320"/>
          </w:tcPr>
          <w:p>
            <w:r>
              <w:t>recalculate_clicked</w:t>
            </w:r>
          </w:p>
        </w:tc>
        <w:tc>
          <w:tcPr>
            <w:tcW w:type="dxa" w:w="4320"/>
          </w:tcPr>
          <w:p>
            <w:r>
              <w:t>Botão "Refazer Cálculo" clicado</w:t>
            </w:r>
          </w:p>
        </w:tc>
      </w:tr>
      <w:tr>
        <w:tc>
          <w:tcPr>
            <w:tcW w:type="dxa" w:w="4320"/>
          </w:tcPr>
          <w:p>
            <w:r>
              <w:t>share_clicked</w:t>
            </w:r>
          </w:p>
        </w:tc>
        <w:tc>
          <w:tcPr>
            <w:tcW w:type="dxa" w:w="4320"/>
          </w:tcPr>
          <w:p>
            <w:r>
              <w:t>Botão "Compartilhar" clicado (método nativo ou clipboard)</w:t>
            </w:r>
          </w:p>
        </w:tc>
      </w:tr>
      <w:tr>
        <w:tc>
          <w:tcPr>
            <w:tcW w:type="dxa" w:w="4320"/>
          </w:tcPr>
          <w:p>
            <w:r>
              <w:t>faq_opened</w:t>
            </w:r>
          </w:p>
        </w:tc>
        <w:tc>
          <w:tcPr>
            <w:tcW w:type="dxa" w:w="4320"/>
          </w:tcPr>
          <w:p>
            <w:r>
              <w:t>Pergunta do FAQ aberta</w:t>
            </w:r>
          </w:p>
        </w:tc>
      </w:tr>
      <w:tr>
        <w:tc>
          <w:tcPr>
            <w:tcW w:type="dxa" w:w="4320"/>
          </w:tcPr>
          <w:p>
            <w:r>
              <w:t>cookie_consent</w:t>
            </w:r>
          </w:p>
        </w:tc>
        <w:tc>
          <w:tcPr>
            <w:tcW w:type="dxa" w:w="4320"/>
          </w:tcPr>
          <w:p>
            <w:r>
              <w:t>Consentimento de cookies aceito ou recusado</w:t>
            </w:r>
          </w:p>
        </w:tc>
      </w:tr>
    </w:tbl>
    <w:p/>
    <w:p>
      <w:pPr>
        <w:pStyle w:val="Heading1"/>
      </w:pPr>
      <w:r>
        <w:t>8. Hospedagem e Domínio</w:t>
      </w:r>
    </w:p>
    <w:p>
      <w:pPr>
        <w:pStyle w:val="Heading2"/>
      </w:pPr>
      <w:r>
        <w:t>8.1. Render (Static Site)</w:t>
      </w:r>
    </w:p>
    <w:p>
      <w:r>
        <w:t>O projeto é hospedado como Static Site no Render. O arquivo render.yaml contém toda a configuração necessária, incluindo headers de segurança e cache.</w:t>
      </w:r>
    </w:p>
    <w:p>
      <w:pPr>
        <w:pStyle w:val="Heading2"/>
      </w:pPr>
      <w:r>
        <w:t>8.2. Domínio: ipva.fsncompany.com.br</w:t>
      </w:r>
    </w:p>
    <w:p>
      <w:r>
        <w:t>"ipva" é um subdomínio de "fsncompany.com.br". O processo é:</w:t>
      </w:r>
    </w:p>
    <w:p>
      <w:pPr>
        <w:pStyle w:val="ListNumber"/>
      </w:pPr>
      <w:r>
        <w:t>Registrar o domínio "fsncompany.com.br" em um registrador (ex: Registro.br)</w:t>
      </w:r>
    </w:p>
    <w:p>
      <w:pPr>
        <w:pStyle w:val="ListNumber"/>
      </w:pPr>
      <w:r>
        <w:t>No Render Dashboard → Custom Domains → Adicionar "ipva.fsncompany.com.br"</w:t>
      </w:r>
    </w:p>
    <w:p>
      <w:pPr>
        <w:pStyle w:val="ListNumber"/>
      </w:pPr>
      <w:r>
        <w:t>No painel DNS do registrador, criar registro CNAME: "ipva" → "seu-app.onrender.com"</w:t>
      </w:r>
    </w:p>
    <w:p>
      <w:pPr>
        <w:pStyle w:val="ListNumber"/>
      </w:pPr>
      <w:r>
        <w:t>Verificar no Render — certificado SSL é emitido automaticamente</w:t>
      </w:r>
    </w:p>
    <w:p>
      <w:pPr>
        <w:pStyle w:val="Heading2"/>
      </w:pPr>
      <w:r>
        <w:t>8.3. Alternativas de Domínio</w:t>
      </w:r>
    </w:p>
    <w:p>
      <w:pPr>
        <w:pStyle w:val="ListBullet"/>
      </w:pPr>
      <w:r>
        <w:t>calculadoraipva.com.br</w:t>
      </w:r>
    </w:p>
    <w:p>
      <w:pPr>
        <w:pStyle w:val="ListBullet"/>
      </w:pPr>
      <w:r>
        <w:t>ipva.calculei.com.br</w:t>
      </w:r>
    </w:p>
    <w:p>
      <w:pPr>
        <w:pStyle w:val="ListBullet"/>
      </w:pPr>
      <w:r>
        <w:t>ipva.simulador.com.br</w:t>
      </w:r>
    </w:p>
    <w:p>
      <w:pPr>
        <w:pStyle w:val="ListBullet"/>
      </w:pPr>
      <w:r>
        <w:t>fsncompany.com.br (usando path /ipva ao invés de subdomínio)</w:t>
      </w:r>
    </w:p>
    <w:p/>
    <w:p>
      <w:pPr>
        <w:pStyle w:val="Heading1"/>
      </w:pPr>
      <w:r>
        <w:t>9. Como Fazer Deploy</w:t>
      </w:r>
    </w:p>
    <w:p>
      <w:pPr>
        <w:pStyle w:val="ListNumber"/>
      </w:pPr>
      <w:r>
        <w:t>Fazer push do código para o repositório GitHub: github.com/nascimentofe/ipva-calculator</w:t>
      </w:r>
    </w:p>
    <w:p>
      <w:pPr>
        <w:pStyle w:val="ListNumber"/>
      </w:pPr>
      <w:r>
        <w:t>No Render, criar novo Static Site conectado ao repositório GitHub</w:t>
      </w:r>
    </w:p>
    <w:p>
      <w:pPr>
        <w:pStyle w:val="ListNumber"/>
      </w:pPr>
      <w:r>
        <w:t>Branch: main | Build Command: chmod +x build.sh &amp;&amp; ./build.sh | Publish Directory: . (raiz)</w:t>
      </w:r>
    </w:p>
    <w:p>
      <w:pPr>
        <w:pStyle w:val="ListNumber"/>
      </w:pPr>
      <w:r>
        <w:t>O Render fará deploy automático a cada push no main (auto-deploy ativado)</w:t>
      </w:r>
    </w:p>
    <w:p>
      <w:pPr>
        <w:pStyle w:val="ListNumber"/>
      </w:pPr>
      <w:r>
        <w:t>Configurar domínio customizado conforme seção 8.2</w:t>
      </w:r>
    </w:p>
    <w:p/>
    <w:p>
      <w:pPr>
        <w:pStyle w:val="Heading2"/>
      </w:pPr>
      <w:r>
        <w:t>9.1. Environment Variables (Render)</w:t>
      </w:r>
    </w:p>
    <w:p>
      <w:r>
        <w:t>Os IDs de serviços externos são injetados via Environment Variables no Render, evitando que dados sensíveis fiquem commitados no código. O script build.sh substitui os placeholders durante o build.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Exemplo</w:t>
            </w:r>
          </w:p>
        </w:tc>
      </w:tr>
      <w:tr>
        <w:tc>
          <w:tcPr>
            <w:tcW w:type="dxa" w:w="2880"/>
          </w:tcPr>
          <w:p>
            <w:r>
              <w:t>GA_MEASUREMENT_ID</w:t>
            </w:r>
          </w:p>
        </w:tc>
        <w:tc>
          <w:tcPr>
            <w:tcW w:type="dxa" w:w="2880"/>
          </w:tcPr>
          <w:p>
            <w:r>
              <w:t>ID do Google Analytics 4</w:t>
            </w:r>
          </w:p>
        </w:tc>
        <w:tc>
          <w:tcPr>
            <w:tcW w:type="dxa" w:w="2880"/>
          </w:tcPr>
          <w:p>
            <w:r>
              <w:t>Ex: G-A1B2C3D4E5</w:t>
            </w:r>
          </w:p>
        </w:tc>
      </w:tr>
      <w:tr>
        <w:tc>
          <w:tcPr>
            <w:tcW w:type="dxa" w:w="2880"/>
          </w:tcPr>
          <w:p>
            <w:r>
              <w:t>CLARITY_ID</w:t>
            </w:r>
          </w:p>
        </w:tc>
        <w:tc>
          <w:tcPr>
            <w:tcW w:type="dxa" w:w="2880"/>
          </w:tcPr>
          <w:p>
            <w:r>
              <w:t>ID do Microsoft Clarity</w:t>
            </w:r>
          </w:p>
        </w:tc>
        <w:tc>
          <w:tcPr>
            <w:tcW w:type="dxa" w:w="2880"/>
          </w:tcPr>
          <w:p>
            <w:r>
              <w:t>Ex: abc123xyz</w:t>
            </w:r>
          </w:p>
        </w:tc>
      </w:tr>
      <w:tr>
        <w:tc>
          <w:tcPr>
            <w:tcW w:type="dxa" w:w="2880"/>
          </w:tcPr>
          <w:p>
            <w:r>
              <w:t>ADSENSE_PUB_ID</w:t>
            </w:r>
          </w:p>
        </w:tc>
        <w:tc>
          <w:tcPr>
            <w:tcW w:type="dxa" w:w="2880"/>
          </w:tcPr>
          <w:p>
            <w:r>
              <w:t>Publisher ID do Google AdSense</w:t>
            </w:r>
          </w:p>
        </w:tc>
        <w:tc>
          <w:tcPr>
            <w:tcW w:type="dxa" w:w="2880"/>
          </w:tcPr>
          <w:p>
            <w:r>
              <w:t>Ex: ca-pub-1234567890123456</w:t>
            </w:r>
          </w:p>
        </w:tc>
      </w:tr>
      <w:tr>
        <w:tc>
          <w:tcPr>
            <w:tcW w:type="dxa" w:w="2880"/>
          </w:tcPr>
          <w:p>
            <w:r>
              <w:t>AD_SLOT_TOP</w:t>
            </w:r>
          </w:p>
        </w:tc>
        <w:tc>
          <w:tcPr>
            <w:tcW w:type="dxa" w:w="2880"/>
          </w:tcPr>
          <w:p>
            <w:r>
              <w:t>Slot ID do anúncio do topo</w:t>
            </w:r>
          </w:p>
        </w:tc>
        <w:tc>
          <w:tcPr>
            <w:tcW w:type="dxa" w:w="2880"/>
          </w:tcPr>
          <w:p>
            <w:r>
              <w:t>Ex: 1234567890</w:t>
            </w:r>
          </w:p>
        </w:tc>
      </w:tr>
      <w:tr>
        <w:tc>
          <w:tcPr>
            <w:tcW w:type="dxa" w:w="2880"/>
          </w:tcPr>
          <w:p>
            <w:r>
              <w:t>AD_SLOT_LEFT</w:t>
            </w:r>
          </w:p>
        </w:tc>
        <w:tc>
          <w:tcPr>
            <w:tcW w:type="dxa" w:w="2880"/>
          </w:tcPr>
          <w:p>
            <w:r>
              <w:t>Slot ID do anúncio lateral esquerdo</w:t>
            </w:r>
          </w:p>
        </w:tc>
        <w:tc>
          <w:tcPr>
            <w:tcW w:type="dxa" w:w="2880"/>
          </w:tcPr>
          <w:p>
            <w:r>
              <w:t>Ex: 1234567891</w:t>
            </w:r>
          </w:p>
        </w:tc>
      </w:tr>
      <w:tr>
        <w:tc>
          <w:tcPr>
            <w:tcW w:type="dxa" w:w="2880"/>
          </w:tcPr>
          <w:p>
            <w:r>
              <w:t>AD_SLOT_RIGHT</w:t>
            </w:r>
          </w:p>
        </w:tc>
        <w:tc>
          <w:tcPr>
            <w:tcW w:type="dxa" w:w="2880"/>
          </w:tcPr>
          <w:p>
            <w:r>
              <w:t>Slot ID do anúncio lateral direito</w:t>
            </w:r>
          </w:p>
        </w:tc>
        <w:tc>
          <w:tcPr>
            <w:tcW w:type="dxa" w:w="2880"/>
          </w:tcPr>
          <w:p>
            <w:r>
              <w:t>Ex: 1234567892</w:t>
            </w:r>
          </w:p>
        </w:tc>
      </w:tr>
      <w:tr>
        <w:tc>
          <w:tcPr>
            <w:tcW w:type="dxa" w:w="2880"/>
          </w:tcPr>
          <w:p>
            <w:r>
              <w:t>AD_SLOT_IN_ARTICLE</w:t>
            </w:r>
          </w:p>
        </w:tc>
        <w:tc>
          <w:tcPr>
            <w:tcW w:type="dxa" w:w="2880"/>
          </w:tcPr>
          <w:p>
            <w:r>
              <w:t>Slot ID do anúncio in-article</w:t>
            </w:r>
          </w:p>
        </w:tc>
        <w:tc>
          <w:tcPr>
            <w:tcW w:type="dxa" w:w="2880"/>
          </w:tcPr>
          <w:p>
            <w:r>
              <w:t>Ex: 1234567893</w:t>
            </w:r>
          </w:p>
        </w:tc>
      </w:tr>
      <w:tr>
        <w:tc>
          <w:tcPr>
            <w:tcW w:type="dxa" w:w="2880"/>
          </w:tcPr>
          <w:p>
            <w:r>
              <w:t>AD_SLOT_BOTTOM</w:t>
            </w:r>
          </w:p>
        </w:tc>
        <w:tc>
          <w:tcPr>
            <w:tcW w:type="dxa" w:w="2880"/>
          </w:tcPr>
          <w:p>
            <w:r>
              <w:t>Slot ID do anúncio do rodapé</w:t>
            </w:r>
          </w:p>
        </w:tc>
        <w:tc>
          <w:tcPr>
            <w:tcW w:type="dxa" w:w="2880"/>
          </w:tcPr>
          <w:p>
            <w:r>
              <w:t>Ex: 1234567894</w:t>
            </w:r>
          </w:p>
        </w:tc>
      </w:tr>
    </w:tbl>
    <w:p>
      <w:r>
        <w:t>Para configurar: Render Dashboard → Service → Environment → Add Environment Variable. Após adicionar ou alterar uma variável, clique em "Manual Deploy" para aplicar.</w:t>
      </w:r>
    </w:p>
    <w:p/>
    <w:p>
      <w:pPr>
        <w:pStyle w:val="Heading1"/>
      </w:pPr>
      <w:r>
        <w:t>10. SEO (Otimização para Mecanismos de Busca)</w:t>
      </w:r>
    </w:p>
    <w:p>
      <w:r>
        <w:t>O site foi otimizado para posicionar nas primeiras posições do Google para buscas como "calculadora IPVA", "novo IPVA", "calcular IPVA 2026" e termos relacionados.</w:t>
      </w:r>
    </w:p>
    <w:p>
      <w:pPr>
        <w:pStyle w:val="Heading2"/>
      </w:pPr>
      <w:r>
        <w:t>10.1. Keywords Alvo</w:t>
      </w:r>
    </w:p>
    <w:p>
      <w:pPr>
        <w:pStyle w:val="ListBullet"/>
      </w:pPr>
      <w:r>
        <w:t>calculadora IPVA / calculadora IPVA 2026</w:t>
      </w:r>
    </w:p>
    <w:p>
      <w:pPr>
        <w:pStyle w:val="ListBullet"/>
      </w:pPr>
      <w:r>
        <w:t>calcular IPVA / calcular IPVA do meu carro</w:t>
      </w:r>
    </w:p>
    <w:p>
      <w:pPr>
        <w:pStyle w:val="ListBullet"/>
      </w:pPr>
      <w:r>
        <w:t>novo IPVA / PEC IPVA / teto 1% IPVA</w:t>
      </w:r>
    </w:p>
    <w:p>
      <w:pPr>
        <w:pStyle w:val="ListBullet"/>
      </w:pPr>
      <w:r>
        <w:t>simulador IPVA / simular IPVA</w:t>
      </w:r>
    </w:p>
    <w:p>
      <w:pPr>
        <w:pStyle w:val="ListBullet"/>
      </w:pPr>
      <w:r>
        <w:t>alíquota IPVA por estado</w:t>
      </w:r>
    </w:p>
    <w:p>
      <w:pPr>
        <w:pStyle w:val="ListBullet"/>
      </w:pPr>
      <w:r>
        <w:t>quanto vou pagar de IPVA / valor IPVA</w:t>
      </w:r>
    </w:p>
    <w:p>
      <w:pPr>
        <w:pStyle w:val="ListBullet"/>
      </w:pPr>
      <w:r>
        <w:t>IPVA mais barato / economia IPVA</w:t>
      </w:r>
    </w:p>
    <w:p>
      <w:pPr>
        <w:pStyle w:val="ListBullet"/>
      </w:pPr>
      <w:r>
        <w:t>tabela FIPE IPVA</w:t>
      </w:r>
    </w:p>
    <w:p>
      <w:pPr>
        <w:pStyle w:val="Heading2"/>
      </w:pPr>
      <w:r>
        <w:t>10.2. Técnicas Implementadas</w:t>
      </w:r>
    </w:p>
    <w:p>
      <w:pPr>
        <w:pStyle w:val="ListBullet"/>
      </w:pPr>
      <w:r>
        <w:rPr>
          <w:b/>
        </w:rPr>
        <w:t xml:space="preserve">Structured Data (JSON-LD): </w:t>
      </w:r>
      <w:r>
        <w:t>Schema WebApplication, FAQPage e BreadcrumbList para rich snippets no Google</w:t>
      </w:r>
    </w:p>
    <w:p>
      <w:pPr>
        <w:pStyle w:val="ListBullet"/>
      </w:pPr>
      <w:r>
        <w:rPr>
          <w:b/>
        </w:rPr>
        <w:t xml:space="preserve">Title Tag Otimizado: </w:t>
      </w:r>
      <w:r>
        <w:t>"Calculadora IPVA 2026 — Simule o Novo IPVA com Teto de 1% | Todos os Estados" (60 chars, keyword-first)</w:t>
      </w:r>
    </w:p>
    <w:p>
      <w:pPr>
        <w:pStyle w:val="ListBullet"/>
      </w:pPr>
      <w:r>
        <w:rPr>
          <w:b/>
        </w:rPr>
        <w:t xml:space="preserve">Meta Description: </w:t>
      </w:r>
      <w:r>
        <w:t>160 chars com CTA, keywords primárias e diferencial (grátis, todos estados)</w:t>
      </w:r>
    </w:p>
    <w:p>
      <w:pPr>
        <w:pStyle w:val="ListBullet"/>
      </w:pPr>
      <w:r>
        <w:rPr>
          <w:b/>
        </w:rPr>
        <w:t xml:space="preserve">Heading Hierarchy: </w:t>
      </w:r>
      <w:r>
        <w:t>H1 com keyword principal, H2s com variações, H3s com long-tail</w:t>
      </w:r>
    </w:p>
    <w:p>
      <w:pPr>
        <w:pStyle w:val="ListBullet"/>
      </w:pPr>
      <w:r>
        <w:rPr>
          <w:b/>
        </w:rPr>
        <w:t xml:space="preserve">Conteúdo Informativo: </w:t>
      </w:r>
      <w:r>
        <w:t>Seção com tabela de alíquotas por estado, explicação de cálculo e mudanças da PEC</w:t>
      </w:r>
    </w:p>
    <w:p>
      <w:pPr>
        <w:pStyle w:val="ListBullet"/>
      </w:pPr>
      <w:r>
        <w:rPr>
          <w:b/>
        </w:rPr>
        <w:t xml:space="preserve">FAQ Expandido: </w:t>
      </w:r>
      <w:r>
        <w:t>8 perguntas cobrindo as principais buscas relacionadas ao IPVA</w:t>
      </w:r>
    </w:p>
    <w:p>
      <w:pPr>
        <w:pStyle w:val="ListBullet"/>
      </w:pPr>
      <w:r>
        <w:rPr>
          <w:b/>
        </w:rPr>
        <w:t xml:space="preserve">Open Graph + Twitter Cards: </w:t>
      </w:r>
      <w:r>
        <w:t>Imagem OG 1200x630px para compartilhamento em redes sociais</w:t>
      </w:r>
    </w:p>
    <w:p>
      <w:pPr>
        <w:pStyle w:val="ListBullet"/>
      </w:pPr>
      <w:r>
        <w:rPr>
          <w:b/>
        </w:rPr>
        <w:t xml:space="preserve">Sitemap.xml: </w:t>
      </w:r>
      <w:r>
        <w:t>Mapa do site para indexação rápida pelo Google</w:t>
      </w:r>
    </w:p>
    <w:p>
      <w:pPr>
        <w:pStyle w:val="ListBullet"/>
      </w:pPr>
      <w:r>
        <w:rPr>
          <w:b/>
        </w:rPr>
        <w:t xml:space="preserve">Robots.txt: </w:t>
      </w:r>
      <w:r>
        <w:t>Permite indexação total com referência ao sitemap</w:t>
      </w:r>
    </w:p>
    <w:p>
      <w:pPr>
        <w:pStyle w:val="ListBullet"/>
      </w:pPr>
      <w:r>
        <w:rPr>
          <w:b/>
        </w:rPr>
        <w:t xml:space="preserve">Canonical URL: </w:t>
      </w:r>
      <w:r>
        <w:t>Evita conteúdo duplicado: https://ipva.fsncompany.com.br</w:t>
      </w:r>
    </w:p>
    <w:p>
      <w:pPr>
        <w:pStyle w:val="ListBullet"/>
      </w:pPr>
      <w:r>
        <w:rPr>
          <w:b/>
        </w:rPr>
        <w:t xml:space="preserve">Favicon SVG: </w:t>
      </w:r>
      <w:r>
        <w:t>Ícone vetorial para abas do navegador e bookmarks</w:t>
      </w:r>
    </w:p>
    <w:p>
      <w:pPr>
        <w:pStyle w:val="ListBullet"/>
      </w:pPr>
      <w:r>
        <w:rPr>
          <w:b/>
        </w:rPr>
        <w:t xml:space="preserve">Semantic HTML: </w:t>
      </w:r>
      <w:r>
        <w:t>Tags header, main, section, footer, details para acessibilidade e SEO</w:t>
      </w:r>
    </w:p>
    <w:p>
      <w:pPr>
        <w:pStyle w:val="Heading2"/>
      </w:pPr>
      <w:r>
        <w:t>10.3. Próximos Passos para SEO</w:t>
      </w:r>
    </w:p>
    <w:p>
      <w:pPr>
        <w:pStyle w:val="ListNumber"/>
      </w:pPr>
      <w:r>
        <w:t>Cadastrar o site no Google Search Console (search.google.com/search-console)</w:t>
      </w:r>
    </w:p>
    <w:p>
      <w:pPr>
        <w:pStyle w:val="ListNumber"/>
      </w:pPr>
      <w:r>
        <w:t>Submeter o sitemap.xml pelo Search Console</w:t>
      </w:r>
    </w:p>
    <w:p>
      <w:pPr>
        <w:pStyle w:val="ListNumber"/>
      </w:pPr>
      <w:r>
        <w:t>Cadastrar no Google Analytics 4 para acompanhar tráfego orgânico</w:t>
      </w:r>
    </w:p>
    <w:p>
      <w:pPr>
        <w:pStyle w:val="ListNumber"/>
      </w:pPr>
      <w:r>
        <w:t>Criar conteúdo complementar (blog posts sobre IPVA, dicas de economia)</w:t>
      </w:r>
    </w:p>
    <w:p>
      <w:pPr>
        <w:pStyle w:val="ListNumber"/>
      </w:pPr>
      <w:r>
        <w:t>Buscar backlinks em sites de notícias automotivas e financeiras</w:t>
      </w:r>
    </w:p>
    <w:p>
      <w:pPr>
        <w:pStyle w:val="ListNumber"/>
      </w:pPr>
      <w:r>
        <w:t>Monitorar posições com Google Search Console → Performance</w:t>
      </w:r>
    </w:p>
    <w:p/>
    <w:p>
      <w:pPr>
        <w:pStyle w:val="Heading1"/>
      </w:pPr>
      <w:r>
        <w:t>11. Estratégia de Marketing e Divulgação</w:t>
      </w:r>
    </w:p>
    <w:p>
      <w:pPr>
        <w:pStyle w:val="Heading2"/>
      </w:pPr>
      <w:r>
        <w:t>11.1. Materiais Criados</w:t>
      </w:r>
    </w:p>
    <w:p>
      <w:r>
        <w:t>Os materiais de divulgação estão na pasta /marketing/ do projeto: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Arquivo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story-1-economia.png</w:t>
            </w:r>
          </w:p>
        </w:tc>
        <w:tc>
          <w:tcPr>
            <w:tcW w:type="dxa" w:w="4320"/>
          </w:tcPr>
          <w:p>
            <w:r>
              <w:t>Story: "Você paga IPVA demais" com comparação de valores</w:t>
            </w:r>
          </w:p>
        </w:tc>
      </w:tr>
      <w:tr>
        <w:tc>
          <w:tcPr>
            <w:tcW w:type="dxa" w:w="4320"/>
          </w:tcPr>
          <w:p>
            <w:r>
              <w:t>story-2-porcentagem.png</w:t>
            </w:r>
          </w:p>
        </w:tc>
        <w:tc>
          <w:tcPr>
            <w:tcW w:type="dxa" w:w="4320"/>
          </w:tcPr>
          <w:p>
            <w:r>
              <w:t>Story: "75% de economia" com dados por estado</w:t>
            </w:r>
          </w:p>
        </w:tc>
      </w:tr>
      <w:tr>
        <w:tc>
          <w:tcPr>
            <w:tcW w:type="dxa" w:w="4320"/>
          </w:tcPr>
          <w:p>
            <w:r>
              <w:t>story-3-formulario.png</w:t>
            </w:r>
          </w:p>
        </w:tc>
        <w:tc>
          <w:tcPr>
            <w:tcW w:type="dxa" w:w="4320"/>
          </w:tcPr>
          <w:p>
            <w:r>
              <w:t>Story: Mockup da calculadora com resultado</w:t>
            </w:r>
          </w:p>
        </w:tc>
      </w:tr>
      <w:tr>
        <w:tc>
          <w:tcPr>
            <w:tcW w:type="dxa" w:w="4320"/>
          </w:tcPr>
          <w:p>
            <w:r>
              <w:t>story-4-urgencia.png</w:t>
            </w:r>
          </w:p>
        </w:tc>
        <w:tc>
          <w:tcPr>
            <w:tcW w:type="dxa" w:w="4320"/>
          </w:tcPr>
          <w:p>
            <w:r>
              <w:t>Story: "O IPVA vai mudar" com urgência e CTA</w:t>
            </w:r>
          </w:p>
        </w:tc>
      </w:tr>
      <w:tr>
        <w:tc>
          <w:tcPr>
            <w:tcW w:type="dxa" w:w="4320"/>
          </w:tcPr>
          <w:p>
            <w:r>
              <w:t>feed-1-comparacao.png</w:t>
            </w:r>
          </w:p>
        </w:tc>
        <w:tc>
          <w:tcPr>
            <w:tcW w:type="dxa" w:w="4320"/>
          </w:tcPr>
          <w:p>
            <w:r>
              <w:t>Feed: Barra comparativa 4% → 1% com economia</w:t>
            </w:r>
          </w:p>
        </w:tc>
      </w:tr>
      <w:tr>
        <w:tc>
          <w:tcPr>
            <w:tcW w:type="dxa" w:w="4320"/>
          </w:tcPr>
          <w:p>
            <w:r>
              <w:t>feed-2-estados.png</w:t>
            </w:r>
          </w:p>
        </w:tc>
        <w:tc>
          <w:tcPr>
            <w:tcW w:type="dxa" w:w="4320"/>
          </w:tcPr>
          <w:p>
            <w:r>
              <w:t>Feed: Infográfico de alíquotas por estado</w:t>
            </w:r>
          </w:p>
        </w:tc>
      </w:tr>
      <w:tr>
        <w:tc>
          <w:tcPr>
            <w:tcW w:type="dxa" w:w="4320"/>
          </w:tcPr>
          <w:p>
            <w:r>
              <w:t>COPIES_E_ESTRATEGIA.md</w:t>
            </w:r>
          </w:p>
        </w:tc>
        <w:tc>
          <w:tcPr>
            <w:tcW w:type="dxa" w:w="4320"/>
          </w:tcPr>
          <w:p>
            <w:r>
              <w:t>Textos prontos para legendas, stories e outros canais</w:t>
            </w:r>
          </w:p>
        </w:tc>
      </w:tr>
    </w:tbl>
    <w:p>
      <w:pPr>
        <w:pStyle w:val="Heading2"/>
      </w:pPr>
      <w:r>
        <w:t>11.2. Canais de Divulgação</w:t>
      </w:r>
    </w:p>
    <w:p>
      <w:pPr>
        <w:pStyle w:val="ListBullet"/>
      </w:pPr>
      <w:r>
        <w:rPr>
          <w:b/>
        </w:rPr>
        <w:t xml:space="preserve">Instagram (Stories + Feed + Reels): </w:t>
      </w:r>
      <w:r>
        <w:t>Canal principal. Stories com enquetes e quizzes, posts informativos, Reels mostrando a calculadora</w:t>
      </w:r>
    </w:p>
    <w:p>
      <w:pPr>
        <w:pStyle w:val="ListBullet"/>
      </w:pPr>
      <w:r>
        <w:rPr>
          <w:b/>
        </w:rPr>
        <w:t xml:space="preserve">TikTok: </w:t>
      </w:r>
      <w:r>
        <w:t>Repost dos Reels. Trends como "POV: você descobre que paga 4% de IPVA"</w:t>
      </w:r>
    </w:p>
    <w:p>
      <w:pPr>
        <w:pStyle w:val="ListBullet"/>
      </w:pPr>
      <w:r>
        <w:rPr>
          <w:b/>
        </w:rPr>
        <w:t xml:space="preserve">Twitter/X: </w:t>
      </w:r>
      <w:r>
        <w:t>Posts com dados e link. Responder threads sobre impostos</w:t>
      </w:r>
    </w:p>
    <w:p>
      <w:pPr>
        <w:pStyle w:val="ListBullet"/>
      </w:pPr>
      <w:r>
        <w:rPr>
          <w:b/>
        </w:rPr>
        <w:t xml:space="preserve">WhatsApp: </w:t>
      </w:r>
      <w:r>
        <w:t>Mensagens shareáveis para grupos de carros e financeiro</w:t>
      </w:r>
    </w:p>
    <w:p>
      <w:pPr>
        <w:pStyle w:val="ListBullet"/>
      </w:pPr>
      <w:r>
        <w:rPr>
          <w:b/>
        </w:rPr>
        <w:t xml:space="preserve">Reddit / Fóruns: </w:t>
      </w:r>
      <w:r>
        <w:t>Posts em r/brasil, r/investimentos, fóruns automotivos</w:t>
      </w:r>
    </w:p>
    <w:p>
      <w:pPr>
        <w:pStyle w:val="Heading2"/>
      </w:pPr>
      <w:r>
        <w:t>11.3. Monetização — Tipos de Ads por Receita</w:t>
      </w:r>
    </w:p>
    <w:p>
      <w:r>
        <w:t>Formatos de anúncio ordenados por CPM (receita por mil impressões):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Formato</w:t>
            </w:r>
          </w:p>
        </w:tc>
        <w:tc>
          <w:tcPr>
            <w:tcW w:type="dxa" w:w="2880"/>
          </w:tcPr>
          <w:p>
            <w:r>
              <w:t>CPM Médio</w:t>
            </w:r>
          </w:p>
        </w:tc>
        <w:tc>
          <w:tcPr>
            <w:tcW w:type="dxa" w:w="2880"/>
          </w:tcPr>
          <w:p>
            <w:r>
              <w:t>Posição</w:t>
            </w:r>
          </w:p>
        </w:tc>
      </w:tr>
      <w:tr>
        <w:tc>
          <w:tcPr>
            <w:tcW w:type="dxa" w:w="2880"/>
          </w:tcPr>
          <w:p>
            <w:r>
              <w:t>In-Article (Fluid)</w:t>
            </w:r>
          </w:p>
        </w:tc>
        <w:tc>
          <w:tcPr>
            <w:tcW w:type="dxa" w:w="2880"/>
          </w:tcPr>
          <w:p>
            <w:r>
              <w:t>R$ 8-25 CPM</w:t>
            </w:r>
          </w:p>
        </w:tc>
        <w:tc>
          <w:tcPr>
            <w:tcW w:type="dxa" w:w="2880"/>
          </w:tcPr>
          <w:p>
            <w:r>
              <w:t>Entre resultado e FAQ — maior receita</w:t>
            </w:r>
          </w:p>
        </w:tc>
      </w:tr>
      <w:tr>
        <w:tc>
          <w:tcPr>
            <w:tcW w:type="dxa" w:w="2880"/>
          </w:tcPr>
          <w:p>
            <w:r>
              <w:t>Leaderboard Top</w:t>
            </w:r>
          </w:p>
        </w:tc>
        <w:tc>
          <w:tcPr>
            <w:tcW w:type="dxa" w:w="2880"/>
          </w:tcPr>
          <w:p>
            <w:r>
              <w:t>R$ 5-15 CPM</w:t>
            </w:r>
          </w:p>
        </w:tc>
        <w:tc>
          <w:tcPr>
            <w:tcW w:type="dxa" w:w="2880"/>
          </w:tcPr>
          <w:p>
            <w:r>
              <w:t>Topo da página — alta visibilidade</w:t>
            </w:r>
          </w:p>
        </w:tc>
      </w:tr>
      <w:tr>
        <w:tc>
          <w:tcPr>
            <w:tcW w:type="dxa" w:w="2880"/>
          </w:tcPr>
          <w:p>
            <w:r>
              <w:t>Skyscraper Lateral</w:t>
            </w:r>
          </w:p>
        </w:tc>
        <w:tc>
          <w:tcPr>
            <w:tcW w:type="dxa" w:w="2880"/>
          </w:tcPr>
          <w:p>
            <w:r>
              <w:t>R$ 3-10 CPM</w:t>
            </w:r>
          </w:p>
        </w:tc>
        <w:tc>
          <w:tcPr>
            <w:tcW w:type="dxa" w:w="2880"/>
          </w:tcPr>
          <w:p>
            <w:r>
              <w:t>Laterais desktop — complementar</w:t>
            </w:r>
          </w:p>
        </w:tc>
      </w:tr>
      <w:tr>
        <w:tc>
          <w:tcPr>
            <w:tcW w:type="dxa" w:w="2880"/>
          </w:tcPr>
          <w:p>
            <w:r>
              <w:t>Leaderboard Bottom</w:t>
            </w:r>
          </w:p>
        </w:tc>
        <w:tc>
          <w:tcPr>
            <w:tcW w:type="dxa" w:w="2880"/>
          </w:tcPr>
          <w:p>
            <w:r>
              <w:t>R$ 2-8 CPM</w:t>
            </w:r>
          </w:p>
        </w:tc>
        <w:tc>
          <w:tcPr>
            <w:tcW w:type="dxa" w:w="2880"/>
          </w:tcPr>
          <w:p>
            <w:r>
              <w:t>Rodapé — menor engajamento</w:t>
            </w:r>
          </w:p>
        </w:tc>
      </w:tr>
    </w:tbl>
    <w:p>
      <w:pPr>
        <w:pStyle w:val="Heading2"/>
      </w:pPr>
      <w:r>
        <w:t>11.4. Estimativa de Receita Mensal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Tráfego</w:t>
            </w:r>
          </w:p>
        </w:tc>
        <w:tc>
          <w:tcPr>
            <w:tcW w:type="dxa" w:w="4320"/>
          </w:tcPr>
          <w:p>
            <w:r>
              <w:t>Receita Estimada</w:t>
            </w:r>
          </w:p>
        </w:tc>
      </w:tr>
      <w:tr>
        <w:tc>
          <w:tcPr>
            <w:tcW w:type="dxa" w:w="4320"/>
          </w:tcPr>
          <w:p>
            <w:r>
              <w:t>1.000 visitas/dia</w:t>
            </w:r>
          </w:p>
        </w:tc>
        <w:tc>
          <w:tcPr>
            <w:tcW w:type="dxa" w:w="4320"/>
          </w:tcPr>
          <w:p>
            <w:r>
              <w:t>R$ 30-80/mês (AdSense)</w:t>
            </w:r>
          </w:p>
        </w:tc>
      </w:tr>
      <w:tr>
        <w:tc>
          <w:tcPr>
            <w:tcW w:type="dxa" w:w="4320"/>
          </w:tcPr>
          <w:p>
            <w:r>
              <w:t>5.000 visitas/dia</w:t>
            </w:r>
          </w:p>
        </w:tc>
        <w:tc>
          <w:tcPr>
            <w:tcW w:type="dxa" w:w="4320"/>
          </w:tcPr>
          <w:p>
            <w:r>
              <w:t>R$ 150-400/mês (AdSense) | R$ 400-1.000 (Mediavine)</w:t>
            </w:r>
          </w:p>
        </w:tc>
      </w:tr>
      <w:tr>
        <w:tc>
          <w:tcPr>
            <w:tcW w:type="dxa" w:w="4320"/>
          </w:tcPr>
          <w:p>
            <w:r>
              <w:t>10.000 visitas/dia</w:t>
            </w:r>
          </w:p>
        </w:tc>
        <w:tc>
          <w:tcPr>
            <w:tcW w:type="dxa" w:w="4320"/>
          </w:tcPr>
          <w:p>
            <w:r>
              <w:t>R$ 300-900/mês (AdSense) | R$ 900-2.500 (Mediavine)</w:t>
            </w:r>
          </w:p>
        </w:tc>
      </w:tr>
      <w:tr>
        <w:tc>
          <w:tcPr>
            <w:tcW w:type="dxa" w:w="4320"/>
          </w:tcPr>
          <w:p>
            <w:r>
              <w:t>50.000 visitas/dia</w:t>
            </w:r>
          </w:p>
        </w:tc>
        <w:tc>
          <w:tcPr>
            <w:tcW w:type="dxa" w:w="4320"/>
          </w:tcPr>
          <w:p>
            <w:r>
              <w:t>R$ 1.500-5.000/mês (AdSense) | R$ 5.000-15.000 (Mediavine)</w:t>
            </w:r>
          </w:p>
        </w:tc>
      </w:tr>
    </w:tbl>
    <w:p/>
    <w:p>
      <w:pPr>
        <w:pStyle w:val="Heading1"/>
      </w:pPr>
      <w:r>
        <w:t>12. Sobre a PEC do IPVA</w:t>
      </w:r>
    </w:p>
    <w:p>
      <w:r>
        <w:t>A PEC (Proposta de Emenda à Constituição) propõe as seguintes mudanças no IPVA:</w:t>
      </w:r>
    </w:p>
    <w:p>
      <w:pPr>
        <w:pStyle w:val="ListBullet"/>
      </w:pPr>
      <w:r>
        <w:t>Teto de 1%: Garante que o IPVA nunca ultrapassará 1% do valor do veículo</w:t>
      </w:r>
    </w:p>
    <w:p>
      <w:pPr>
        <w:pStyle w:val="ListBullet"/>
      </w:pPr>
      <w:r>
        <w:t>Cálculo por Peso: Veículos mais leves pagam proporcionalmente menos, promovendo justiça tributária</w:t>
      </w:r>
    </w:p>
    <w:p>
      <w:pPr>
        <w:pStyle w:val="ListBullet"/>
      </w:pPr>
      <w:r>
        <w:t>Responsabilidade Fiscal: Compensação através do corte de privilégios</w:t>
      </w:r>
    </w:p>
    <w:p>
      <w:pPr>
        <w:pStyle w:val="ListBullet"/>
      </w:pPr>
      <w:r>
        <w:t>A PEC ainda está em tramitação e os valores apresentados são projeções</w:t>
      </w:r>
    </w:p>
    <w:p/>
    <w:p>
      <w:pPr>
        <w:jc w:val="center"/>
      </w:pPr>
      <w:r>
        <w:rPr>
          <w:color w:val="94A3B8"/>
          <w:sz w:val="18"/>
        </w:rPr>
        <w:t>© 2026 FSN Company — Documento gerado automaticamente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