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7D09" w14:textId="77777777" w:rsidR="00FF317F" w:rsidRPr="00CE12D8" w:rsidRDefault="00000000">
      <w:pPr>
        <w:spacing w:after="40"/>
        <w:rPr>
          <w:b/>
          <w:bCs/>
          <w:color w:val="1F3864"/>
          <w:sz w:val="30"/>
          <w:szCs w:val="30"/>
        </w:rPr>
      </w:pPr>
      <w:r w:rsidRPr="00296BA7">
        <w:rPr>
          <w:b/>
          <w:bCs/>
          <w:color w:val="1F3864"/>
          <w:sz w:val="32"/>
          <w:szCs w:val="32"/>
        </w:rPr>
        <w:t>The Finance Group — Financial Dashboard</w:t>
      </w:r>
    </w:p>
    <w:p w14:paraId="54E971FF" w14:textId="77777777" w:rsidR="00FF317F" w:rsidRPr="00CE12D8" w:rsidRDefault="00000000">
      <w:pPr>
        <w:spacing w:after="40"/>
        <w:rPr>
          <w:i/>
          <w:iCs/>
          <w:color w:val="595959"/>
          <w:sz w:val="17"/>
          <w:szCs w:val="17"/>
        </w:rPr>
      </w:pPr>
      <w:r w:rsidRPr="00CE12D8">
        <w:rPr>
          <w:i/>
          <w:iCs/>
          <w:color w:val="595959"/>
          <w:sz w:val="17"/>
          <w:szCs w:val="17"/>
        </w:rPr>
        <w:t>Power BI Dashboard — Logic, Insights &amp; Assumptions | Data: Jan 2023 – Dec 2024, monthly, 4 regions x 5 products/services</w:t>
      </w:r>
    </w:p>
    <w:p w14:paraId="1AC73887" w14:textId="77777777" w:rsidR="00FF317F" w:rsidRPr="00296BA7" w:rsidRDefault="00000000">
      <w:pPr>
        <w:spacing w:after="40"/>
        <w:rPr>
          <w:b/>
          <w:bCs/>
          <w:color w:val="1F3864"/>
          <w:sz w:val="28"/>
          <w:szCs w:val="28"/>
        </w:rPr>
      </w:pPr>
      <w:r w:rsidRPr="00296BA7">
        <w:rPr>
          <w:b/>
          <w:bCs/>
          <w:color w:val="1F3864"/>
          <w:sz w:val="28"/>
          <w:szCs w:val="28"/>
        </w:rPr>
        <w:t>1. Dashboard Logic</w:t>
      </w:r>
    </w:p>
    <w:p w14:paraId="4B1B88A8" w14:textId="77777777" w:rsid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• Data source: a single table ("Financial Data") loaded directly from the source file — one row per Month x Region x</w:t>
      </w:r>
    </w:p>
    <w:p w14:paraId="67D0544E" w14:textId="02C1425D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Product/Service (480 rows).</w:t>
      </w:r>
    </w:p>
    <w:p w14:paraId="1B44F686" w14:textId="77777777" w:rsid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 xml:space="preserve">• Calculated columns: Date, Year, Quarter, </w:t>
      </w:r>
      <w:proofErr w:type="spellStart"/>
      <w:r w:rsidRPr="00CE12D8">
        <w:t>MonthName</w:t>
      </w:r>
      <w:proofErr w:type="spellEnd"/>
      <w:r w:rsidRPr="00CE12D8">
        <w:t xml:space="preserve">, </w:t>
      </w:r>
      <w:proofErr w:type="spellStart"/>
      <w:r w:rsidRPr="00CE12D8">
        <w:t>MonthNumber</w:t>
      </w:r>
      <w:proofErr w:type="spellEnd"/>
      <w:r w:rsidRPr="00CE12D8">
        <w:t xml:space="preserve"> (sorted by </w:t>
      </w:r>
      <w:proofErr w:type="spellStart"/>
      <w:r w:rsidRPr="00CE12D8">
        <w:t>MonthNumber</w:t>
      </w:r>
      <w:proofErr w:type="spellEnd"/>
      <w:r w:rsidRPr="00CE12D8">
        <w:t>) and Category (Product vs</w:t>
      </w:r>
    </w:p>
    <w:p w14:paraId="4828943A" w14:textId="5FF6D48C" w:rsidR="00CE12D8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Service, derived</w:t>
      </w:r>
    </w:p>
    <w:p w14:paraId="3E3F1631" w14:textId="72D3F345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from the Product/Service name).</w:t>
      </w:r>
    </w:p>
    <w:p w14:paraId="47FEFFCC" w14:textId="77777777" w:rsid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• KPI cards (4): Total Revenue, Gross Margin %, EBITDA % and Net Cash. All are DAX measures and recalculate under the</w:t>
      </w:r>
    </w:p>
    <w:p w14:paraId="1543382F" w14:textId="30E478E7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selected filters.</w:t>
      </w:r>
    </w:p>
    <w:p w14:paraId="4ECF2982" w14:textId="4A17AE0D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• Net Cash = SUM</w:t>
      </w:r>
      <w:r w:rsidR="00453FA3">
        <w:t xml:space="preserve"> </w:t>
      </w:r>
      <w:r w:rsidRPr="00CE12D8">
        <w:t xml:space="preserve">(Cash Inflows) </w:t>
      </w:r>
      <w:r w:rsidR="00453FA3">
        <w:t>–</w:t>
      </w:r>
      <w:r w:rsidRPr="00CE12D8">
        <w:t xml:space="preserve"> SUM</w:t>
      </w:r>
      <w:r w:rsidR="00453FA3">
        <w:t xml:space="preserve"> </w:t>
      </w:r>
      <w:r w:rsidRPr="00CE12D8">
        <w:t>(Cash Outflows) for the selected period.</w:t>
      </w:r>
    </w:p>
    <w:p w14:paraId="58DF5F33" w14:textId="77777777" w:rsid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• Cash Flow Waterfall shows Cash Inflow, Cash Outflow and Total. Cash Outflow is displayed as a negative value, and Total</w:t>
      </w:r>
    </w:p>
    <w:p w14:paraId="7C78302C" w14:textId="73EDD850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represents the</w:t>
      </w:r>
      <w:r w:rsidR="00CE12D8">
        <w:t xml:space="preserve"> </w:t>
      </w:r>
      <w:r w:rsidRPr="00CE12D8">
        <w:t>resulting net cash.</w:t>
      </w:r>
    </w:p>
    <w:p w14:paraId="29DD00EC" w14:textId="77777777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• Actual vs Budget &amp; Variance % compares Total Revenue with Revenue Budget and displays Budget Variance % as the line.</w:t>
      </w:r>
    </w:p>
    <w:p w14:paraId="1E7917CE" w14:textId="77777777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 xml:space="preserve">• Interactivity: </w:t>
      </w:r>
      <w:proofErr w:type="spellStart"/>
      <w:r w:rsidRPr="00CE12D8">
        <w:t>MonthName</w:t>
      </w:r>
      <w:proofErr w:type="spellEnd"/>
      <w:r w:rsidRPr="00CE12D8">
        <w:t>, Quarter, Product/Service, Year and Region slicers filter the dashboard visuals.</w:t>
      </w:r>
    </w:p>
    <w:p w14:paraId="4363FA45" w14:textId="77777777" w:rsid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• The Overview page contains KPI cards, Monthly Revenue &amp; Gross Profit, Revenue by Product/Service, Cash Flow Waterfall,</w:t>
      </w:r>
    </w:p>
    <w:p w14:paraId="26930AE9" w14:textId="571DC82F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Receivables</w:t>
      </w:r>
      <w:r w:rsidR="00CE12D8">
        <w:t xml:space="preserve"> </w:t>
      </w:r>
      <w:r w:rsidRPr="00CE12D8">
        <w:t>Aging Distribution, Payables Aging Distribution, and Actual vs Budget &amp; Variance %.</w:t>
      </w:r>
    </w:p>
    <w:p w14:paraId="721654A6" w14:textId="77777777" w:rsidR="00FF317F" w:rsidRPr="00296BA7" w:rsidRDefault="00000000">
      <w:pPr>
        <w:spacing w:after="40"/>
        <w:rPr>
          <w:b/>
          <w:bCs/>
          <w:color w:val="1F3864"/>
          <w:sz w:val="28"/>
          <w:szCs w:val="28"/>
        </w:rPr>
      </w:pPr>
      <w:r w:rsidRPr="00296BA7">
        <w:rPr>
          <w:b/>
          <w:bCs/>
          <w:color w:val="1F3864"/>
          <w:sz w:val="28"/>
          <w:szCs w:val="28"/>
        </w:rPr>
        <w:t>2. Key Insights (full 24-month period)</w:t>
      </w:r>
    </w:p>
    <w:p w14:paraId="69CCCF88" w14:textId="77777777" w:rsid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• Total Revenue: approximately $23.6M (shown as 24M on the KPI card), essentially flat year over year (2023: $11.80M vs 2024:</w:t>
      </w:r>
    </w:p>
    <w:p w14:paraId="5DBA537F" w14:textId="5C0A681B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$11.81M,</w:t>
      </w:r>
      <w:r w:rsidR="00CE12D8">
        <w:t xml:space="preserve"> </w:t>
      </w:r>
      <w:r w:rsidRPr="00CE12D8">
        <w:t>+0.1%).</w:t>
      </w:r>
    </w:p>
    <w:p w14:paraId="50221E41" w14:textId="77777777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• Gross Margin is 45.5% and EBITDA margin is 24.8% overall.</w:t>
      </w:r>
    </w:p>
    <w:p w14:paraId="1D83F1E5" w14:textId="77777777" w:rsid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• Net Cash is positive overall at approximately +$688K. The waterfall shows about $2.9M cash inflow, $2.2M cash outflow an</w:t>
      </w:r>
      <w:r w:rsidR="00CE12D8">
        <w:t>d</w:t>
      </w:r>
    </w:p>
    <w:p w14:paraId="47EF8BC3" w14:textId="1257EBF7" w:rsidR="00FF317F" w:rsidRPr="00CE12D8" w:rsidRDefault="00CE12D8" w:rsidP="00CE12D8">
      <w:pPr>
        <w:pStyle w:val="ListParagraph"/>
        <w:spacing w:after="35" w:line="276" w:lineRule="auto"/>
        <w:ind w:left="720" w:hanging="360"/>
      </w:pPr>
      <w:r>
        <w:t>a</w:t>
      </w:r>
      <w:r w:rsidR="00000000" w:rsidRPr="00CE12D8">
        <w:t>pproximately</w:t>
      </w:r>
      <w:r>
        <w:t xml:space="preserve"> </w:t>
      </w:r>
      <w:r w:rsidR="00000000" w:rsidRPr="00CE12D8">
        <w:t>$0.7M net cash.</w:t>
      </w:r>
    </w:p>
    <w:p w14:paraId="4BD1A41C" w14:textId="77777777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• Product C and Service X are the top revenue lines, while Product A is the lowest among the five Product/Service lines.</w:t>
      </w:r>
    </w:p>
    <w:p w14:paraId="4491B212" w14:textId="77777777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• North ($6.05M) and East ($5.99M) lead regional revenue; South is lowest at $5.76M.</w:t>
      </w:r>
    </w:p>
    <w:p w14:paraId="5139CE8A" w14:textId="77777777" w:rsid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• Budget performance is a key area to review: Budget Variance % is approximately -24% overall, and many rows miss the Revenue</w:t>
      </w:r>
    </w:p>
    <w:p w14:paraId="24692599" w14:textId="277867FB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Budget.</w:t>
      </w:r>
    </w:p>
    <w:p w14:paraId="70D415E0" w14:textId="77777777" w:rsidR="00FF317F" w:rsidRPr="00CE12D8" w:rsidRDefault="00000000" w:rsidP="00CE12D8">
      <w:pPr>
        <w:pStyle w:val="ListParagraph"/>
        <w:spacing w:after="35" w:line="276" w:lineRule="auto"/>
        <w:ind w:left="720" w:hanging="360"/>
        <w:rPr>
          <w:sz w:val="18"/>
          <w:szCs w:val="18"/>
        </w:rPr>
      </w:pPr>
      <w:r w:rsidRPr="00CE12D8">
        <w:t>• Receivables and Payables Aging are displayed as distributions using the available aging-day records across the aging ranges</w:t>
      </w:r>
      <w:r w:rsidRPr="00CE12D8">
        <w:rPr>
          <w:sz w:val="18"/>
          <w:szCs w:val="18"/>
        </w:rPr>
        <w:t>.</w:t>
      </w:r>
    </w:p>
    <w:p w14:paraId="13583487" w14:textId="77777777" w:rsidR="00FF317F" w:rsidRPr="00296BA7" w:rsidRDefault="00000000">
      <w:pPr>
        <w:spacing w:after="40"/>
        <w:rPr>
          <w:b/>
          <w:bCs/>
          <w:color w:val="1F3864"/>
          <w:sz w:val="28"/>
          <w:szCs w:val="28"/>
        </w:rPr>
      </w:pPr>
      <w:r w:rsidRPr="00296BA7">
        <w:rPr>
          <w:b/>
          <w:bCs/>
          <w:color w:val="1F3864"/>
          <w:sz w:val="28"/>
          <w:szCs w:val="28"/>
        </w:rPr>
        <w:t>3. Assumptions &amp; Data Quality</w:t>
      </w:r>
    </w:p>
    <w:p w14:paraId="39E3E627" w14:textId="77777777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• Source data had no missing values, no duplicate rows, and the monetary calculations reconcile to their inputs.</w:t>
      </w:r>
    </w:p>
    <w:p w14:paraId="7701281A" w14:textId="77777777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• Revenue Budget is treated as the supplied target because no separate source-of-truth budget was provided for reconciliation.</w:t>
      </w:r>
    </w:p>
    <w:p w14:paraId="026C67A8" w14:textId="77777777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 xml:space="preserve">• Currency/units are not </w:t>
      </w:r>
      <w:proofErr w:type="spellStart"/>
      <w:r w:rsidRPr="00CE12D8">
        <w:t>labeled</w:t>
      </w:r>
      <w:proofErr w:type="spellEnd"/>
      <w:r w:rsidRPr="00CE12D8">
        <w:t xml:space="preserve"> in the source file; all figures are assumed to use one consistent currency.</w:t>
      </w:r>
    </w:p>
    <w:p w14:paraId="01D7215B" w14:textId="77777777" w:rsid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• Receivables and Payables Aging use the available aging-day records and are grouped into 0–15, 16–30, 31–45 and 46–60 day</w:t>
      </w:r>
    </w:p>
    <w:p w14:paraId="13D15567" w14:textId="61586E44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ranges for</w:t>
      </w:r>
      <w:r w:rsidR="00CE12D8">
        <w:t xml:space="preserve"> </w:t>
      </w:r>
      <w:r w:rsidRPr="00CE12D8">
        <w:t>distribution analysis.</w:t>
      </w:r>
    </w:p>
    <w:p w14:paraId="60C5FAD4" w14:textId="77777777" w:rsidR="00FF317F" w:rsidRPr="00CE12D8" w:rsidRDefault="00000000" w:rsidP="00CE12D8">
      <w:pPr>
        <w:pStyle w:val="ListParagraph"/>
        <w:spacing w:after="35" w:line="276" w:lineRule="auto"/>
        <w:ind w:left="720" w:hanging="360"/>
      </w:pPr>
      <w:r w:rsidRPr="00CE12D8">
        <w:t>• Product/Service Category is derived from the Product/Service name because the source data has no explicit category field.</w:t>
      </w:r>
    </w:p>
    <w:sectPr w:rsidR="00FF317F" w:rsidRPr="00CE12D8">
      <w:pgSz w:w="12240" w:h="15840"/>
      <w:pgMar w:top="560" w:right="640" w:bottom="560" w:left="6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82D0B"/>
    <w:multiLevelType w:val="hybridMultilevel"/>
    <w:tmpl w:val="2F94C922"/>
    <w:lvl w:ilvl="0" w:tplc="B7B29776">
      <w:start w:val="1"/>
      <w:numFmt w:val="bullet"/>
      <w:lvlText w:val="●"/>
      <w:lvlJc w:val="left"/>
      <w:pPr>
        <w:ind w:left="720" w:hanging="360"/>
      </w:pPr>
    </w:lvl>
    <w:lvl w:ilvl="1" w:tplc="2528DE1A">
      <w:start w:val="1"/>
      <w:numFmt w:val="bullet"/>
      <w:lvlText w:val="○"/>
      <w:lvlJc w:val="left"/>
      <w:pPr>
        <w:ind w:left="1440" w:hanging="360"/>
      </w:pPr>
    </w:lvl>
    <w:lvl w:ilvl="2" w:tplc="2188C158">
      <w:start w:val="1"/>
      <w:numFmt w:val="bullet"/>
      <w:lvlText w:val="■"/>
      <w:lvlJc w:val="left"/>
      <w:pPr>
        <w:ind w:left="2160" w:hanging="360"/>
      </w:pPr>
    </w:lvl>
    <w:lvl w:ilvl="3" w:tplc="BE9A9F8E">
      <w:start w:val="1"/>
      <w:numFmt w:val="bullet"/>
      <w:lvlText w:val="●"/>
      <w:lvlJc w:val="left"/>
      <w:pPr>
        <w:ind w:left="2880" w:hanging="360"/>
      </w:pPr>
    </w:lvl>
    <w:lvl w:ilvl="4" w:tplc="BC92CC5C">
      <w:start w:val="1"/>
      <w:numFmt w:val="bullet"/>
      <w:lvlText w:val="○"/>
      <w:lvlJc w:val="left"/>
      <w:pPr>
        <w:ind w:left="3600" w:hanging="360"/>
      </w:pPr>
    </w:lvl>
    <w:lvl w:ilvl="5" w:tplc="A2C637F4">
      <w:start w:val="1"/>
      <w:numFmt w:val="bullet"/>
      <w:lvlText w:val="■"/>
      <w:lvlJc w:val="left"/>
      <w:pPr>
        <w:ind w:left="4320" w:hanging="360"/>
      </w:pPr>
    </w:lvl>
    <w:lvl w:ilvl="6" w:tplc="FCC0D838">
      <w:start w:val="1"/>
      <w:numFmt w:val="bullet"/>
      <w:lvlText w:val="●"/>
      <w:lvlJc w:val="left"/>
      <w:pPr>
        <w:ind w:left="5040" w:hanging="360"/>
      </w:pPr>
    </w:lvl>
    <w:lvl w:ilvl="7" w:tplc="848A23A0">
      <w:start w:val="1"/>
      <w:numFmt w:val="bullet"/>
      <w:lvlText w:val="●"/>
      <w:lvlJc w:val="left"/>
      <w:pPr>
        <w:ind w:left="5760" w:hanging="360"/>
      </w:pPr>
    </w:lvl>
    <w:lvl w:ilvl="8" w:tplc="F8FC8D0A">
      <w:start w:val="1"/>
      <w:numFmt w:val="bullet"/>
      <w:lvlText w:val="●"/>
      <w:lvlJc w:val="left"/>
      <w:pPr>
        <w:ind w:left="6480" w:hanging="360"/>
      </w:pPr>
    </w:lvl>
  </w:abstractNum>
  <w:num w:numId="1" w16cid:durableId="1526480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17F"/>
    <w:rsid w:val="00296BA7"/>
    <w:rsid w:val="00453FA3"/>
    <w:rsid w:val="00550AA5"/>
    <w:rsid w:val="00C444E5"/>
    <w:rsid w:val="00CE12D8"/>
    <w:rsid w:val="00FF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FE333"/>
  <w15:docId w15:val="{1D54B1A1-BD75-441B-A60F-CB0429FAB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AYISHA A</cp:lastModifiedBy>
  <cp:revision>8</cp:revision>
  <dcterms:created xsi:type="dcterms:W3CDTF">2026-08-05T06:46:00Z</dcterms:created>
  <dcterms:modified xsi:type="dcterms:W3CDTF">2026-09-09T15:46:00Z</dcterms:modified>
</cp:coreProperties>
</file>