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b/>
          <w:bCs/>
          <w:color w:val="1F3864"/>
          <w:sz w:val="30"/>
          <w:szCs w:val="30"/>
        </w:rPr>
        <w:t xml:space="preserve">The Finance Group — Financial Dashboard</w:t>
      </w:r>
    </w:p>
    <w:p>
      <w:pPr>
        <w:spacing w:after="140"/>
      </w:pPr>
      <w:r>
        <w:rPr>
          <w:i/>
          <w:iCs/>
          <w:color w:val="595959"/>
          <w:sz w:val="17"/>
          <w:szCs w:val="17"/>
        </w:rPr>
        <w:t xml:space="preserve">Power BI Dashboard — Logic, Insights &amp; Assumptions  |  Data: Jan 2023 – Dec 2024, monthly, 4 regions x 5 products/services</w:t>
      </w:r>
    </w:p>
    <w:p>
      <w:pPr>
        <w:spacing w:after="50" w:before="140"/>
      </w:pPr>
      <w:r>
        <w:rPr>
          <w:b/>
          <w:bCs/>
          <w:color w:val="1F3864"/>
          <w:sz w:val="20"/>
          <w:szCs w:val="20"/>
        </w:rPr>
        <w:t xml:space="preserve">1. Dashboard Logic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Data source: a single table ("Financial Data") loaded directly from the source file — one row per Month x Region x Product/Service (480 rows). Calculated columns were added for Date, Year, Quarter, MonthName, MonthNumber (sorted by MonthNumber via Sort by Column) and Category (Product vs Service, derived from the Product/Service name).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KPI cards (5): Total Revenue, Gross Margin %, EBITDA %, Net Cash and Budget Variance % are all DAX measures — not raw columns — so they recalculate correctly under any filter combination. Gross Margin % and EBITDA % are computed as Gross Profit/EBITDA over Revenue at the filtered grain (not an average of row-level percentages).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Net Cash = SUM(Cash Inflows) − SUM(Cash Outflows) for the selected period. The Cash Flow Waterfall visual uses this same monthly Net Cash measure as its breakdown value; Power BI's Waterfall visual accumulates the running total automatically month over month.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Budget Variance % = (Total Revenue − Revenue Budget) / Revenue Budget, shown both as a line on the Budget vs Actual chart and as its own KPI card, since it is the strongest signal in the data (see Insights).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Interactivity: Year, Quarter, MonthName, Region and Category (Product/Service) slicers filter every visual on the page. Right-click drillthrough on any month (Overview) opens a dedicated detail page pre-filtered to that month, showing revenue by Product/Service and Region for category-level drill-down.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Report structure: Page 1 "Overview" holds the 5 KPI cards, Revenue &amp; Profit Trend, and Budget vs Actual + Variance %. Page 2 "Sales &amp; Receivables" holds the Cash Flow Waterfall, Product/Service performance, and Receivables Aging (binned).</w:t>
      </w:r>
    </w:p>
    <w:p>
      <w:pPr>
        <w:spacing w:after="50" w:before="140"/>
      </w:pPr>
      <w:r>
        <w:rPr>
          <w:b/>
          <w:bCs/>
          <w:color w:val="1F3864"/>
          <w:sz w:val="20"/>
          <w:szCs w:val="20"/>
        </w:rPr>
        <w:t xml:space="preserve">2. Key Insights (full 24-month period)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Total Revenue: $23.6M, essentially flat year over year (2023: $11.80M vs 2024: $11.81M, +0.1%) — the business is stable, not growing.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Gross Margin is 45.5% and EBITDA margin is 24.8% overall — both healthy — but EBITDA is negative in 8.3% of month/region/product combinations, worth a closer look at which combinations recur.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North ($6.05M) and East ($5.99M) lead regional revenue; South is lowest ($5.76M) and also has the weakest average budget variance (‑26.0%).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Product C and Service X are the top revenue lines; Product A is lowest — a roughly 8% spread across all five lines, so no single line dominates.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Budget performance is the biggest flag: the Budget Variance % KPI reads ‑24%, and 76% of all rows miss their Revenue Budget with no consistent link to actual results — the single most important thing to validate with the client before external use.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Net Cash is positive overall (+$688K across 24 months); the Waterfall shows cash building steadily month over month with no single month wiping out prior gains.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Receivables Aging averages 29 days (Payables: 30 days), but roughly a fifth of rows exceed 45 days — a meaningful collections tail, which is why Aging is shown as a distribution rather than a single average.</w:t>
      </w:r>
    </w:p>
    <w:p>
      <w:pPr>
        <w:spacing w:after="50" w:before="140"/>
      </w:pPr>
      <w:r>
        <w:rPr>
          <w:b/>
          <w:bCs/>
          <w:color w:val="1F3864"/>
          <w:sz w:val="20"/>
          <w:szCs w:val="20"/>
        </w:rPr>
        <w:t xml:space="preserve">3. Assumptions &amp; Data Quality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Source data had no missing values, no duplicate rows, and all monetary formulas (Gross Profit, EBITDA, Budget Variance %) reconcile exactly to their inputs — no corrections were required.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Revenue Budget behaves as an independent target with no visible tie to actual Revenue (76% miss rate, no correlating trend) — treated as given rather than adjusted, since no source-of-truth budget was provided to reconcile against; flagged for client confirmation.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Currency/units are not labeled in the source file; all figures are assumed to be a single, consistent currency. Recommend confirming before external distribution.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Receivables Aging has no client-specified bucket cutoffs, so Power BI's automatic binning was used for the Aging visual rather than assuming specific day cutoffs.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 xml:space="preserve">Category (Product vs Service) was derived from the Product/Service name (values starting "Product" vs "Service") since the source file had no explicit category column.</w:t>
      </w:r>
    </w:p>
    <w:sectPr>
      <w:pgSz w:w="12240" w:h="15840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2026-08-05T06:46:04.026Z</dcterms:created>
  <dcterms:modified xsi:type="dcterms:W3CDTF">2026-08-05T06:46:04.040Z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