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83B35"/>
          <w:sz w:val="40"/>
        </w:rPr>
        <w:t>The Build Company — Website Pre-Launch QA &amp; Packages Verification</w:t>
      </w:r>
    </w:p>
    <w:p>
      <w:r>
        <w:rPr>
          <w:rFonts w:ascii="Arial" w:hAnsi="Arial"/>
          <w:color w:val="B86F50"/>
          <w:sz w:val="22"/>
        </w:rPr>
        <w:t>Executive Verification Dossier | thebuildcompany.in | Chennai, Tamil Nadu</w:t>
      </w:r>
    </w:p>
    <w:p>
      <w:pPr>
        <w:pStyle w:val="Heading1"/>
      </w:pPr>
      <w:r>
        <w:rPr>
          <w:rFonts w:ascii="Arial" w:hAnsi="Arial"/>
          <w:b/>
          <w:color w:val="183B35"/>
          <w:sz w:val="28"/>
        </w:rPr>
        <w:t>1. 3-Tier Construction Packages Technical &amp; Commercial Verification</w:t>
      </w:r>
    </w:p>
    <w:p>
      <w:r>
        <w:rPr>
          <w:rFonts w:ascii="Arial" w:hAnsi="Arial"/>
          <w:i/>
          <w:sz w:val="19"/>
        </w:rPr>
        <w:t>Detailed technical specification comparison, material allowance validation, feasibility in Chennai, and legal risk audit across all 12 construction categories: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/>
        </w:trPr>
        <w:tc>
          <w:tcPr>
            <w:tcW w:type="dxa" w:w="864"/>
            <w:shd w:fill="183B3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 #</w:t>
            </w:r>
          </w:p>
        </w:tc>
        <w:tc>
          <w:tcPr>
            <w:tcW w:type="dxa" w:w="1584"/>
            <w:shd w:fill="183B3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016"/>
            <w:shd w:fill="183B3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Basic Plan (₹1,899/sqft)</w:t>
            </w:r>
          </w:p>
        </w:tc>
        <w:tc>
          <w:tcPr>
            <w:tcW w:type="dxa" w:w="2016"/>
            <w:shd w:fill="183B3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Standard Plan (₹2,199/sqft)</w:t>
            </w:r>
          </w:p>
        </w:tc>
        <w:tc>
          <w:tcPr>
            <w:tcW w:type="dxa" w:w="2016"/>
            <w:shd w:fill="183B3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Premium Plan (₹2,599/sqft)</w:t>
            </w:r>
          </w:p>
        </w:tc>
        <w:tc>
          <w:tcPr>
            <w:tcW w:type="dxa" w:w="2016"/>
            <w:shd w:fill="183B3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Chennai Feasibility &amp; Cost Audit</w:t>
            </w:r>
          </w:p>
        </w:tc>
        <w:tc>
          <w:tcPr>
            <w:tcW w:type="dxa" w:w="1872"/>
            <w:shd w:fill="183B3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Legal &amp; Compliance Risk</w:t>
            </w:r>
          </w:p>
        </w:tc>
        <w:tc>
          <w:tcPr>
            <w:tcW w:type="dxa" w:w="2016"/>
            <w:shd w:fill="183B35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Client Confirmation Question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Structure &amp; RCC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 550 Steel, Coromandel/Dalmia 53G, M20 Concrete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 550D Seismic Resilient Steel, Grade 53 Ultratech/Coromandel, M25 Mix with Integral Waterproofing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 550D Corrosion Resistant Steel, Ultratech Super Grade 53, M25/M30 Mix with Crystalline Admixtures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Fe 550D in coastal Chennai is vital for corrosion resistance. M25 mix conforms to IS 456.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High. Substituting Fe 550D with secondary steel on site represents severe structural liability.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Do you provide independent NABL lab 7-day and 28-day concrete cube compressive strength test certificates to clients?</w:t>
            </w:r>
          </w:p>
        </w:tc>
      </w:tr>
      <w:tr>
        <w:tc>
          <w:tcPr>
            <w:tcW w:type="dxa" w:w="86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02</w:t>
            </w:r>
          </w:p>
        </w:tc>
        <w:tc>
          <w:tcPr>
            <w:tcW w:type="dxa" w:w="158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Flooring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2x2 ft Double Charged Vitrified Tiles (₹55/sqft)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4x2 ft Glazed Vitrified Tiles (₹90/sqft) / Wooden Laminate in Master Bedroom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Italian Marble / Large Porcelain Slabs (₹220/sqft) + Solid Hardwood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Material allowances (₹55, ₹90, ₹220/sqft) are realistic in Chennai tile markets.</w:t>
            </w:r>
          </w:p>
        </w:tc>
        <w:tc>
          <w:tcPr>
            <w:tcW w:type="dxa" w:w="1872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Medium. Clients often select costlier tiles. Rate must clarify if laying &amp; 10% wastage are included.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Are laying, adhesive, and skirting charges included when homeowners upgrade tiles above supply allowance?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Main &amp; Internal Doors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Standard Teak Wood Main Frame &amp; Shutter; Flush Internal Doors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First-Quality Teak Main Door with Brass Hardware; Molded Veneer Internal Doors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Handcrafted 8-Foot Teak Main Door with Biometric Smart Lock; Full Flush Teak Veneer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Teak prices vary widely. Must specify teak species (Burma, African, or Country Teak).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High. Stating 'First Quality Teak' without species creates disputes over knot defects.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What specific teakwood grade (Ghana/African Teak or Country Teak) is standard in the ₹2,199 package?</w:t>
            </w:r>
          </w:p>
        </w:tc>
      </w:tr>
      <w:tr>
        <w:tc>
          <w:tcPr>
            <w:tcW w:type="dxa" w:w="86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04</w:t>
            </w:r>
          </w:p>
        </w:tc>
        <w:tc>
          <w:tcPr>
            <w:tcW w:type="dxa" w:w="158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Windows &amp; Glazing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Standard 2-Track UPVC Sliding Windows with Bug Mesh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Heavy 3-Track UPVC / Thermal Break Aluminum with Toughened Glass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Acoustic Double-Glazed Argon-Filled Slimline European Aluminum Systems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In dusty Chennai corridors, 3-track with SS bug mesh is essential.</w:t>
            </w:r>
          </w:p>
        </w:tc>
        <w:tc>
          <w:tcPr>
            <w:tcW w:type="dxa" w:w="1872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Low. UPVC profiles should specify 10-year UV degradation warranty.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What brand of UPVC profiles (Fenesta, Prominance, Kommerling) is officially supplied?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Electrical &amp; Smart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Finolex / Anchor Concealed Wiring; Anchor Roma Switches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Havells / Polycab FRLS Wiring; Legrand Arteor / Schneider Switches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Complete Smart Automation Conduit Prep, Legrand / Lutron Switches, EV Charging Provision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FRLS wiring in Standard tier is standard urban practice.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Medium. Excludes TNEB 3-phase utility meter deposits (₹40,000–₹80,000).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Does turnkey electrical scope cover internal conduit/wiring only, excluding TNEB utility meter charges?</w:t>
            </w:r>
          </w:p>
        </w:tc>
      </w:tr>
      <w:tr>
        <w:tc>
          <w:tcPr>
            <w:tcW w:type="dxa" w:w="86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06</w:t>
            </w:r>
          </w:p>
        </w:tc>
        <w:tc>
          <w:tcPr>
            <w:tcW w:type="dxa" w:w="158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Plumbing &amp; Drainage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Ashirvad / Supreme CPVC Pipes, 1,000L Overhead Tank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Ashirvad FlowGuard CPVC Pipes, Dual Water Supply, 2,000L Tank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Pressurized Water System, Soundproof Waste Pipes, Automated Level Sensors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Dual line (groundwater/potable water) is critical due to Chennai water TDS.</w:t>
            </w:r>
          </w:p>
        </w:tc>
        <w:tc>
          <w:tcPr>
            <w:tcW w:type="dxa" w:w="1872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High. Underground sump volume is not stated (10,000L RCC vs 4,000L brick creates large cost gap).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What standard capacity and construction type (RCC vs Brick) is included for the underground water sump?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07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Kitchen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Polished Black Granite Counter (20mm), Nirali SS Sink, 2ft Dado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Premium Quartz / Granite Counter, Double Bowl SS Sink, 4ft Dado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Designer Quartz Counter, Island Provision, Franke/Grohe Granite Sink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Modular kitchen woodwork (cabinets, chimney) is excluded.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Medium. Homeowners frequently confuse 'turnkey kitchen' with modular cabinets.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Confirm that modular kitchen cabinets, chimney, and hob are explicitly excluded from base rate.</w:t>
            </w:r>
          </w:p>
        </w:tc>
      </w:tr>
      <w:tr>
        <w:tc>
          <w:tcPr>
            <w:tcW w:type="dxa" w:w="86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08</w:t>
            </w:r>
          </w:p>
        </w:tc>
        <w:tc>
          <w:tcPr>
            <w:tcW w:type="dxa" w:w="158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Bathrooms &amp; Sanitary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Parryware / Hindware EWC, Standard Wall Mixer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Jaquar / Kohler Wall-Hung EWC with Concealed Cistern, Single Lever Diverter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Grohe / Kohler Thermostatic Diverters, Toughened Glass Partitions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Kohler/Jaquar wall-hung concealed cisterns offer high conversion appeal.</w:t>
            </w:r>
          </w:p>
        </w:tc>
        <w:tc>
          <w:tcPr>
            <w:tcW w:type="dxa" w:w="1872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Medium. Toughened glass shower enclosures must specify thickness (8mm vs 10mm).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Are vanity counters, mirrors, and exhaust fans included, or sanitaryware supply only?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09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Painting &amp; Finishes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2 Coats Asian Paints Tractor Emulsion, Ace Exterior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2 Coats Asian Paints Royale Luxury Emulsion, Apex WeatherProof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Asian Paints Royale Aspira with Textures, Apex Ultima Protek (10-Yr Guarantee)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Royale Emulsion (Standard) and Tractor (Basic) are standard contractor benchmarks.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Low. Wall putty (2 coats Birla White) and primer must be confirmed before paint coats.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Does painting scope include 2 coats of wall putty plus 1 coat primer before emulsion coats?</w:t>
            </w:r>
          </w:p>
        </w:tc>
      </w:tr>
      <w:tr>
        <w:tc>
          <w:tcPr>
            <w:tcW w:type="dxa" w:w="86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10</w:t>
            </w:r>
          </w:p>
        </w:tc>
        <w:tc>
          <w:tcPr>
            <w:tcW w:type="dxa" w:w="158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Architecture &amp; Elevation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2D Floor Plans, Standard 3D Elevation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Bespoke 3D Elevation with Louver / CNC Detailing, Structural Drawings, Vastu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Full Package: 3D Walkthrough Video, Landscape Layout, Lighting &amp; Ceiling Plans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Feasible. Premium tier includes 3D video walkthrough and false ceiling drawings.</w:t>
            </w:r>
          </w:p>
        </w:tc>
        <w:tc>
          <w:tcPr>
            <w:tcW w:type="dxa" w:w="1872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High. CMDA plan sanction fees are excluded; municipal liaison assistance included.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Does architectural package include structural stability certificates signed by licensed engineer for bank loans?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11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Project Supervision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Weekly Site Civil Engineer Audits, Milestone Verification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Full-Time Dedicated Site Supervisor, Weekly WhatsApp Video Reports, Cube Tests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Dedicated Senior Project Architect, Daily Digital Logbook, 3rd-Party Audit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Crucial differentiation. Standard tier has full-time supervisor; Basic has weekly audits.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Critical. Clients choosing Basic (₹1,899) must know there is no full-time daily site supervisor.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In Basic package (₹1,899), how many weekly visits are contractually guaranteed by the civil engineer?</w:t>
            </w:r>
          </w:p>
        </w:tc>
      </w:tr>
      <w:tr>
        <w:tc>
          <w:tcPr>
            <w:tcW w:type="dxa" w:w="86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82828"/>
                <w:sz w:val="15"/>
              </w:rPr>
              <w:t>12</w:t>
            </w:r>
          </w:p>
        </w:tc>
        <w:tc>
          <w:tcPr>
            <w:tcW w:type="dxa" w:w="1584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282828"/>
                <w:sz w:val="15"/>
              </w:rPr>
              <w:t>Warranty &amp; Support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5-Year Structural Warranty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5-Year Comprehensive Structural &amp; Waterproofing Warranty + 1-Year Free Maintenance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5-Year Full Turnkey Warranty + 10-Year Structural Assurance + Lifetime Civil Advisory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Severe legal exposure. 'Lifetime Civil Advisory' and '10-Year Assurance' are hard to enforce.</w:t>
            </w:r>
          </w:p>
        </w:tc>
        <w:tc>
          <w:tcPr>
            <w:tcW w:type="dxa" w:w="1872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Critical. Harmonize to single clear standard: 5-Year Written Structural Warranty + 1-Year Maintenance.</w:t>
            </w:r>
          </w:p>
        </w:tc>
        <w:tc>
          <w:tcPr>
            <w:tcW w:type="dxa" w:w="2016"/>
            <w:shd w:fill="F9FBFB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282828"/>
                <w:sz w:val="15"/>
              </w:rPr>
              <w:t>Does your firm execute an official written Structural Warranty Certificate at handover?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color w:val="C62828"/>
          <w:sz w:val="28"/>
        </w:rPr>
        <w:t>2. Top 10 Critical Items to Fix Before Deployment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1. Replace Dummy Phone &amp; WhatsApp Links: </w:t>
      </w:r>
      <w:r>
        <w:rPr>
          <w:rFonts w:ascii="Arial" w:hAnsi="Arial"/>
          <w:color w:val="323232"/>
          <w:sz w:val="19"/>
        </w:rPr>
        <w:t>Update '+91 98400 12345' and 'wa.me/919840012345' across config/site.ts with client's real phone lines.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2. Connect Active Lead Webhook Destination: </w:t>
      </w:r>
      <w:r>
        <w:rPr>
          <w:rFonts w:ascii="Arial" w:hAnsi="Arial"/>
          <w:color w:val="323232"/>
          <w:sz w:val="19"/>
        </w:rPr>
        <w:t>Set LEAD_WEBHOOK_URL in server .env to route incoming leads directly to CRM, Zapier, or Google Sheets.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3. Clarify GST (18%) Across All Pricing Displays: </w:t>
      </w:r>
      <w:r>
        <w:rPr>
          <w:rFonts w:ascii="Arial" w:hAnsi="Arial"/>
          <w:color w:val="323232"/>
          <w:sz w:val="19"/>
        </w:rPr>
        <w:t>Explicitly append '+ 18% GST extra as applicable' beside all sq.ft rates (₹1,899, ₹2,199, ₹2,599).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4. Replace or Watermark Stock Project Images: </w:t>
      </w:r>
      <w:r>
        <w:rPr>
          <w:rFonts w:ascii="Arial" w:hAnsi="Arial"/>
          <w:color w:val="323232"/>
          <w:sz w:val="19"/>
        </w:rPr>
        <w:t>Replace Unsplash stock photos with actual site photos, or watermark as '3D Architectural Elevation Concept'.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5. Verify Real Founder &amp; Architect Credentials: </w:t>
      </w:r>
      <w:r>
        <w:rPr>
          <w:rFonts w:ascii="Arial" w:hAnsi="Arial"/>
          <w:color w:val="323232"/>
          <w:sz w:val="19"/>
        </w:rPr>
        <w:t>Obtain real founder engineering degrees and Council of Architecture (CoA) license numbers.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6. Deploy Dedicated Privacy Policy &amp; Terms Pages: </w:t>
      </w:r>
      <w:r>
        <w:rPr>
          <w:rFonts w:ascii="Arial" w:hAnsi="Arial"/>
          <w:color w:val="323232"/>
          <w:sz w:val="19"/>
        </w:rPr>
        <w:t>Replace footer '#privacy' and '#terms' anchors with dedicated, legally sound /privacy-policy and /terms routes.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7. Add Statutory Registration Identifiers to Footer: </w:t>
      </w:r>
      <w:r>
        <w:rPr>
          <w:rFonts w:ascii="Arial" w:hAnsi="Arial"/>
          <w:color w:val="323232"/>
          <w:sz w:val="19"/>
        </w:rPr>
        <w:t>Display GSTIN, TNRERA registration, MSME/CIN, and physical office address with pincode in footer.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8. Qualify '100% Price Lock / Spikes Absorbed' Guarantee: </w:t>
      </w:r>
      <w:r>
        <w:rPr>
          <w:rFonts w:ascii="Arial" w:hAnsi="Arial"/>
          <w:color w:val="323232"/>
          <w:sz w:val="19"/>
        </w:rPr>
        <w:t>Add standard contract clause: 'Raw material price protection locked for the agreed contractual schedule duration.'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9. Harmonize Warranty Terminology: </w:t>
      </w:r>
      <w:r>
        <w:rPr>
          <w:rFonts w:ascii="Arial" w:hAnsi="Arial"/>
          <w:color w:val="323232"/>
          <w:sz w:val="19"/>
        </w:rPr>
        <w:t>Standardize across all sections to '5-Year Written Structural Warranty + 1-Year Comprehensive Maintenance Support'.</w:t>
      </w:r>
    </w:p>
    <w:p>
      <w:pPr>
        <w:spacing w:before="40" w:after="40"/>
      </w:pPr>
      <w:r>
        <w:rPr>
          <w:rFonts w:ascii="Arial" w:hAnsi="Arial"/>
          <w:b/>
          <w:color w:val="183B35"/>
          <w:sz w:val="19"/>
        </w:rPr>
        <w:t xml:space="preserve">10. Add DPDP Act Privacy Consent Microcopy to All Forms: </w:t>
      </w:r>
      <w:r>
        <w:rPr>
          <w:rFonts w:ascii="Arial" w:hAnsi="Arial"/>
          <w:color w:val="323232"/>
          <w:sz w:val="19"/>
        </w:rPr>
        <w:t>Add consent text under submit buttons: 'By submitting, you agree to receive project consultations via Call/WhatsApp in accordance with our Privacy Policy.'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