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B11F4B"/>
          <w:sz w:val="44"/>
          <w:szCs w:val="44"/>
        </w:rPr>
        <w:t xml:space="preserve">AI Landing Zone</w:t>
      </w:r>
    </w:p>
    <w:p>
      <w:pPr>
        <w:spacing w:after="300"/>
        <w:jc w:val="center"/>
      </w:pPr>
      <w:r>
        <w:rPr>
          <w:color w:val="5C5C5C"/>
          <w:sz w:val="26"/>
          <w:szCs w:val="26"/>
        </w:rPr>
        <w:t xml:space="preserve">Facilitator Talk Track for the Interactive Dashboard</w:t>
      </w:r>
    </w:p>
    <w:p>
      <w:pPr>
        <w:spacing w:after="400"/>
        <w:jc w:val="center"/>
      </w:pPr>
      <w:r>
        <w:rPr>
          <w:i/>
          <w:iCs/>
          <w:color w:val="5C5C5C"/>
        </w:rPr>
        <w:t xml:space="preserve">Presenter notes only — pairs with AI-Landing-Zone-Interactive-Dashboard.html. Do not share this file with the customer; only the dashboard is customer-facing.</w:t>
      </w:r>
    </w:p>
    <w:p>
      <w:pPr>
        <w:pStyle w:val="Heading2"/>
      </w:pPr>
      <w:r>
        <w:t xml:space="preserve">How to use this document</w:t>
      </w:r>
    </w:p>
    <w:p>
      <w:pPr>
        <w:pStyle w:val="ListParagraph"/>
        <w:numPr>
          <w:ilvl w:val="0"/>
          <w:numId w:val="2"/>
        </w:numPr>
        <w:spacing w:after="80"/>
      </w:pPr>
      <w:r>
        <w:t xml:space="preserve">The dashboard has no instructions or scripting on screen by design — it is click-ops only. This talk track is what you say while you click.</w:t>
      </w:r>
    </w:p>
    <w:p>
      <w:pPr>
        <w:pStyle w:val="ListParagraph"/>
        <w:numPr>
          <w:ilvl w:val="0"/>
          <w:numId w:val="2"/>
        </w:numPr>
        <w:spacing w:after="80"/>
      </w:pPr>
      <w:r>
        <w:t xml:space="preserve">Each section below matches a sidebar tab in the dashboard, in the same order (1–6).</w:t>
      </w:r>
    </w:p>
    <w:p>
      <w:pPr>
        <w:pStyle w:val="ListParagraph"/>
        <w:numPr>
          <w:ilvl w:val="0"/>
          <w:numId w:val="2"/>
        </w:numPr>
        <w:spacing w:after="80"/>
      </w:pPr>
      <w:r>
        <w:t xml:space="preserve">All scenario flows are local illustrations, not live Azure telemetry. Validate service-specific networking, dependencies, and policy support before using this conceptual design for a real deployment.</w:t>
      </w:r>
    </w:p>
    <w:p>
      <w:pPr>
        <w:pStyle w:val="ListParagraph"/>
        <w:numPr>
          <w:ilvl w:val="0"/>
          <w:numId w:val="2"/>
        </w:numPr>
        <w:spacing w:after="80"/>
      </w:pPr>
      <w:r>
        <w:t xml:space="preserve">“SAY” lines are talking points, not a script to read verbatim — use your own words.</w:t>
      </w:r>
    </w:p>
    <w:p>
      <w:pPr>
        <w:pStyle w:val="ListParagraph"/>
        <w:numPr>
          <w:ilvl w:val="0"/>
          <w:numId w:val="2"/>
        </w:numPr>
        <w:spacing w:after="80"/>
      </w:pPr>
      <w:r>
        <w:t xml:space="preserve">“CLICK” lines tell you exactly what to click and when, so the visuals land at the right moment in your narrative.</w:t>
      </w:r>
    </w:p>
    <w:p>
      <w:pPr>
        <w:pStyle w:val="ListParagraph"/>
        <w:numPr>
          <w:ilvl w:val="0"/>
          <w:numId w:val="2"/>
        </w:numPr>
        <w:spacing w:after="80"/>
      </w:pPr>
      <w:r>
        <w:t xml:space="preserve">Total runtime ~60 minutes including discussion. Padding is built in — if a segment runs long, trim the open-ended questions, not the click sequence.</w:t>
      </w:r>
    </w:p>
    <w:p>
      <w:pPr>
        <w:spacing w:after="40" w:before="160"/>
      </w:pPr>
      <w:r>
        <w:rPr>
          <w:b/>
          <w:bCs/>
          <w:color w:val="B11F4B"/>
          <w:sz w:val="18"/>
          <w:szCs w:val="18"/>
        </w:rPr>
        <w:t xml:space="preserve">Session timing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DEDEDE" w:sz="2"/>
              <w:left w:val="single" w:color="DEDEDE" w:sz="2"/>
              <w:bottom w:val="single" w:color="DEDEDE" w:sz="2"/>
              <w:right w:val="single" w:color="DEDEDE" w:sz="2"/>
            </w:tcBorders>
            <w:shd w:fill="F5F5F5" w:val="clear"/>
            <w:tcMar>
              <w:top w:type="dxa" w:w="80"/>
              <w:left w:type="dxa" w:w="120"/>
              <w:bottom w:type="dxa" w:w="80"/>
              <w:right w:type="dxa" w:w="120"/>
            </w:tcMar>
          </w:tcPr>
          <w:p>
            <w:r>
              <w:rPr>
                <w:b/>
                <w:bCs/>
              </w:rPr>
              <w:t xml:space="preserve">Time</w:t>
            </w:r>
          </w:p>
        </w:tc>
        <w:tc>
          <w:tcPr>
            <w:tcW w:type="dxa" w:w="3200"/>
            <w:tcBorders>
              <w:top w:val="single" w:color="DEDEDE" w:sz="2"/>
              <w:left w:val="single" w:color="DEDEDE" w:sz="2"/>
              <w:bottom w:val="single" w:color="DEDEDE" w:sz="2"/>
              <w:right w:val="single" w:color="DEDEDE" w:sz="2"/>
            </w:tcBorders>
            <w:shd w:fill="F5F5F5" w:val="clear"/>
            <w:tcMar>
              <w:top w:type="dxa" w:w="80"/>
              <w:left w:type="dxa" w:w="120"/>
              <w:bottom w:type="dxa" w:w="80"/>
              <w:right w:type="dxa" w:w="120"/>
            </w:tcMar>
          </w:tcPr>
          <w:p>
            <w:r>
              <w:rPr>
                <w:b/>
                <w:bCs/>
              </w:rPr>
              <w:t xml:space="preserve">Segment</w:t>
            </w:r>
          </w:p>
        </w:tc>
        <w:tc>
          <w:tcPr>
            <w:tcW w:type="dxa" w:w="4560"/>
            <w:tcBorders>
              <w:top w:val="single" w:color="DEDEDE" w:sz="2"/>
              <w:left w:val="single" w:color="DEDEDE" w:sz="2"/>
              <w:bottom w:val="single" w:color="DEDEDE" w:sz="2"/>
              <w:right w:val="single" w:color="DEDEDE" w:sz="2"/>
            </w:tcBorders>
            <w:shd w:fill="F5F5F5" w:val="clear"/>
            <w:tcMar>
              <w:top w:type="dxa" w:w="80"/>
              <w:left w:type="dxa" w:w="120"/>
              <w:bottom w:type="dxa" w:w="80"/>
              <w:right w:type="dxa" w:w="120"/>
            </w:tcMar>
          </w:tcPr>
          <w:p>
            <w:r>
              <w:rPr>
                <w:b/>
                <w:bCs/>
              </w:rPr>
              <w:t xml:space="preserve">Dashboard tab</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0:00 – 0:05</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Open &amp; frame the session</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(none — opening remarks)</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0:05 – 0:13</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Landing Zone Map</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1</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0:13 – 0:25</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Hub &amp; Spoke Landing Zones</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2 (both sub-tabs)</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0:25 – 0:35</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Day-1 Services Sort</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3</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0:35 – 0:45</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VNet Showdown</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4</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0:45 – 0:53</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Policy Baseline</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5</w:t>
            </w:r>
          </w:p>
        </w:tc>
      </w:tr>
      <w:tr>
        <w:tc>
          <w:tcPr>
            <w:tcW w:type="dxa" w:w="16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0:53 – 1:00</w:t>
            </w:r>
          </w:p>
        </w:tc>
        <w:tc>
          <w:tcPr>
            <w:tcW w:type="dxa" w:w="320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Decisions &amp; Parking Lot / close</w:t>
            </w:r>
          </w:p>
        </w:tc>
        <w:tc>
          <w:tcPr>
            <w:tcW w:type="dxa" w:w="4560"/>
            <w:tcBorders>
              <w:top w:val="single" w:color="DEDEDE" w:sz="2"/>
              <w:left w:val="single" w:color="DEDEDE" w:sz="2"/>
              <w:bottom w:val="single" w:color="DEDEDE" w:sz="2"/>
              <w:right w:val="single" w:color="DEDEDE" w:sz="2"/>
            </w:tcBorders>
            <w:tcMar>
              <w:top w:type="dxa" w:w="80"/>
              <w:left w:type="dxa" w:w="120"/>
              <w:bottom w:type="dxa" w:w="80"/>
              <w:right w:type="dxa" w:w="120"/>
            </w:tcMar>
          </w:tcPr>
          <w:p>
            <w:r>
              <w:t xml:space="preserve">Tab 6</w:t>
            </w:r>
          </w:p>
        </w:tc>
      </w:tr>
    </w:tbl>
    <w:p>
      <w:r>
        <w:br w:type="page"/>
      </w:r>
    </w:p>
    <w:p>
      <w:pPr>
        <w:pStyle w:val="Heading1"/>
      </w:pPr>
      <w:r>
        <w:t xml:space="preserve">Opening (5 min) — before touching the dashboard</w:t>
      </w:r>
    </w:p>
    <w:p>
      <w:pPr>
        <w:spacing w:after="40" w:before="160"/>
      </w:pPr>
      <w:r>
        <w:rPr>
          <w:b/>
          <w:bCs/>
          <w:color w:val="B11F4B"/>
          <w:sz w:val="18"/>
          <w:szCs w:val="18"/>
        </w:rPr>
        <w:t xml:space="preserve">Goal</w:t>
      </w:r>
    </w:p>
    <w:p>
      <w:pPr>
        <w:spacing w:after="120"/>
      </w:pPr>
      <w:r>
        <w:t xml:space="preserve">Frame why landing zones matter for AI specifically, and set the tone: interactive, not a lecture.</w:t>
      </w:r>
    </w:p>
    <w:p>
      <w:pPr>
        <w:spacing w:after="40" w:before="160"/>
      </w:pPr>
      <w:r>
        <w:rPr>
          <w:b/>
          <w:bCs/>
          <w:color w:val="B11F4B"/>
          <w:sz w:val="18"/>
          <w:szCs w:val="18"/>
        </w:rPr>
        <w:t xml:space="preserve">Say</w:t>
      </w:r>
    </w:p>
    <w:p>
      <w:pPr>
        <w:spacing w:after="100"/>
        <w:ind w:left="360"/>
      </w:pPr>
      <w:r>
        <w:rPr>
          <w:i/>
          <w:iCs/>
        </w:rPr>
        <w:t xml:space="preserve">“</w:t>
      </w:r>
      <w:r>
        <w:rPr>
          <w:i/>
          <w:iCs/>
        </w:rPr>
        <w:t xml:space="preserve">Today isn’t a slide deck. We’re going to work through the AI Landing Zone architecture together on screen, and I want you stopping me with questions as we go — this is meant to be a working session, not a presentation.</w:t>
      </w:r>
      <w:r>
        <w:rPr>
          <w:i/>
          <w:iCs/>
        </w:rPr>
        <w:t xml:space="preserve">”</w:t>
      </w:r>
    </w:p>
    <w:p>
      <w:pPr>
        <w:spacing w:after="100"/>
        <w:ind w:left="360"/>
      </w:pPr>
      <w:r>
        <w:rPr>
          <w:i/>
          <w:iCs/>
        </w:rPr>
        <w:t xml:space="preserve">“</w:t>
      </w:r>
      <w:r>
        <w:rPr>
          <w:i/>
          <w:iCs/>
        </w:rPr>
        <w:t xml:space="preserve">By the end of the hour you’ll be able to answer three things for your own environment: what goes in the hub versus the spoke, which services are actually required on day one versus optional, and what governance has to be in place before you scale past one team.</w:t>
      </w:r>
      <w:r>
        <w:rPr>
          <w:i/>
          <w:iCs/>
        </w:rPr>
        <w:t xml:space="preserve">”</w:t>
      </w:r>
    </w:p>
    <w:p>
      <w:pPr>
        <w:spacing w:after="40" w:before="160"/>
      </w:pPr>
      <w:r>
        <w:rPr>
          <w:b/>
          <w:bCs/>
          <w:color w:val="B11F4B"/>
          <w:sz w:val="18"/>
          <w:szCs w:val="18"/>
        </w:rPr>
        <w:t xml:space="preserve">Ask the room</w:t>
      </w:r>
    </w:p>
    <w:p>
      <w:pPr>
        <w:pStyle w:val="ListParagraph"/>
        <w:numPr>
          <w:ilvl w:val="0"/>
          <w:numId w:val="2"/>
        </w:numPr>
        <w:spacing w:after="80"/>
      </w:pPr>
      <w:r>
        <w:t xml:space="preserve">Has anyone here already stood up Azure OpenAI or Foundry in a dev/sandbox subscription? (Gauges whether you're talking to a green-field or a retrofit audience.)</w:t>
      </w:r>
    </w:p>
    <w:p>
      <w:pPr>
        <w:pStyle w:val="ListParagraph"/>
        <w:numPr>
          <w:ilvl w:val="0"/>
          <w:numId w:val="2"/>
        </w:numPr>
        <w:spacing w:after="80"/>
      </w:pPr>
      <w:r>
        <w:t xml:space="preserve">Is there already a hub-and-spoke network topology in place today for non-AI workloads? (Tells you how much of this maps to existing patterns vs. is net-new.)</w:t>
      </w:r>
    </w:p>
    <w:p>
      <w:pPr>
        <w:spacing w:after="120"/>
      </w:pPr>
      <w:r>
        <w:t xml:space="preserve">Open the dashboard now and move to the first tab, Landing Zone Map.</w:t>
      </w:r>
    </w:p>
    <w:p>
      <w:pPr>
        <w:pStyle w:val="Heading1"/>
      </w:pPr>
      <w:r>
        <w:t xml:space="preserve">1. Landing Zone Map (8 min)</w:t>
      </w:r>
    </w:p>
    <w:p>
      <w:pPr>
        <w:spacing w:after="40" w:before="160"/>
      </w:pPr>
      <w:r>
        <w:rPr>
          <w:b/>
          <w:bCs/>
          <w:color w:val="B11F4B"/>
          <w:sz w:val="18"/>
          <w:szCs w:val="18"/>
        </w:rPr>
        <w:t xml:space="preserve">Goal</w:t>
      </w:r>
    </w:p>
    <w:p>
      <w:pPr>
        <w:spacing w:after="120"/>
      </w:pPr>
      <w:r>
        <w:t xml:space="preserve">Establish the four-box mental model everything else in the session hangs off of: on-prem/users → hub (APIM) → spoke (Foundry) → dependencies.</w:t>
      </w:r>
    </w:p>
    <w:p>
      <w:pPr>
        <w:spacing w:after="40" w:before="160"/>
      </w:pPr>
      <w:r>
        <w:rPr>
          <w:b/>
          <w:bCs/>
          <w:color w:val="B11F4B"/>
          <w:sz w:val="18"/>
          <w:szCs w:val="18"/>
        </w:rPr>
        <w:t xml:space="preserve">Say</w:t>
      </w:r>
    </w:p>
    <w:p>
      <w:pPr>
        <w:spacing w:after="100"/>
        <w:ind w:left="360"/>
      </w:pPr>
      <w:r>
        <w:rPr>
          <w:i/>
          <w:iCs/>
        </w:rPr>
        <w:t xml:space="preserve">“</w:t>
      </w:r>
      <w:r>
        <w:rPr>
          <w:i/>
          <w:iCs/>
        </w:rPr>
        <w:t xml:space="preserve">This is the whole architecture in one picture. Everything we talk about for the rest of the hour is a zoom-in on one of these four boxes.</w:t>
      </w:r>
      <w:r>
        <w:rPr>
          <w:i/>
          <w:iCs/>
        </w:rPr>
        <w:t xml:space="preserve">”</w:t>
      </w:r>
    </w:p>
    <w:p>
      <w:pPr>
        <w:spacing w:after="100"/>
        <w:ind w:left="360"/>
      </w:pPr>
      <w:r>
        <w:rPr>
          <w:b/>
          <w:bCs/>
          <w:color w:val="B11F4B"/>
          <w:sz w:val="18"/>
          <w:szCs w:val="18"/>
        </w:rPr>
        <w:t xml:space="preserve">CLICK: </w:t>
      </w:r>
      <w:r>
        <w:rPr>
          <w:color w:val="5C5C5C"/>
          <w:sz w:val="18"/>
          <w:szCs w:val="18"/>
        </w:rPr>
        <w:t xml:space="preserve">the “Users / On-Premises” box.</w:t>
      </w:r>
    </w:p>
    <w:p>
      <w:pPr>
        <w:spacing w:after="100"/>
        <w:ind w:left="360"/>
      </w:pPr>
      <w:r>
        <w:rPr>
          <w:i/>
          <w:iCs/>
        </w:rPr>
        <w:t xml:space="preserve">“</w:t>
      </w:r>
      <w:r>
        <w:rPr>
          <w:i/>
          <w:iCs/>
        </w:rPr>
        <w:t xml:space="preserve">Your users and existing apps reach Azure the same way they reach anything else today — ExpressRoute or VPN. Nothing new here, and no traffic has to leave your network to reach AI services.</w:t>
      </w:r>
      <w:r>
        <w:rPr>
          <w:i/>
          <w:iCs/>
        </w:rPr>
        <w:t xml:space="preserve">”</w:t>
      </w:r>
    </w:p>
    <w:p>
      <w:pPr>
        <w:spacing w:after="100"/>
        <w:ind w:left="360"/>
      </w:pPr>
      <w:r>
        <w:rPr>
          <w:b/>
          <w:bCs/>
          <w:color w:val="B11F4B"/>
          <w:sz w:val="18"/>
          <w:szCs w:val="18"/>
        </w:rPr>
        <w:t xml:space="preserve">CLICK: </w:t>
      </w:r>
      <w:r>
        <w:rPr>
          <w:color w:val="5C5C5C"/>
          <w:sz w:val="18"/>
          <w:szCs w:val="18"/>
        </w:rPr>
        <w:t xml:space="preserve">the “AI Landing Zone for APIM — Hub” box.</w:t>
      </w:r>
    </w:p>
    <w:p>
      <w:pPr>
        <w:spacing w:after="100"/>
        <w:ind w:left="360"/>
      </w:pPr>
      <w:r>
        <w:rPr>
          <w:i/>
          <w:iCs/>
        </w:rPr>
        <w:t xml:space="preserve">“</w:t>
      </w:r>
      <w:r>
        <w:rPr>
          <w:i/>
          <w:iCs/>
        </w:rPr>
        <w:t xml:space="preserve">This is the gateway layer — one governed front door that every application and agent talks to. Auth, routing, and quotas live here, once, instead of being re-implemented per team.</w:t>
      </w:r>
      <w:r>
        <w:rPr>
          <w:i/>
          <w:iCs/>
        </w:rPr>
        <w:t xml:space="preserve">”</w:t>
      </w:r>
    </w:p>
    <w:p>
      <w:pPr>
        <w:spacing w:after="100"/>
        <w:ind w:left="360"/>
      </w:pPr>
      <w:r>
        <w:rPr>
          <w:b/>
          <w:bCs/>
          <w:color w:val="B11F4B"/>
          <w:sz w:val="18"/>
          <w:szCs w:val="18"/>
        </w:rPr>
        <w:t xml:space="preserve">CLICK: </w:t>
      </w:r>
      <w:r>
        <w:rPr>
          <w:color w:val="5C5C5C"/>
          <w:sz w:val="18"/>
          <w:szCs w:val="18"/>
        </w:rPr>
        <w:t xml:space="preserve">the “AI Landing Zone for Foundry — Spoke” box.</w:t>
      </w:r>
    </w:p>
    <w:p>
      <w:pPr>
        <w:spacing w:after="100"/>
        <w:ind w:left="360"/>
      </w:pPr>
      <w:r>
        <w:rPr>
          <w:i/>
          <w:iCs/>
        </w:rPr>
        <w:t xml:space="preserve">“</w:t>
      </w:r>
      <w:r>
        <w:rPr>
          <w:i/>
          <w:iCs/>
        </w:rPr>
        <w:t xml:space="preserve">This is where the actual AI workload lives — projects, agents, model deployments. Each business unit or use case gets its own spoke, but they all sit behind the same hub.</w:t>
      </w:r>
      <w:r>
        <w:rPr>
          <w:i/>
          <w:iCs/>
        </w:rPr>
        <w:t xml:space="preserve">”</w:t>
      </w:r>
    </w:p>
    <w:p>
      <w:pPr>
        <w:spacing w:after="100"/>
        <w:ind w:left="360"/>
      </w:pPr>
      <w:r>
        <w:rPr>
          <w:b/>
          <w:bCs/>
          <w:color w:val="B11F4B"/>
          <w:sz w:val="18"/>
          <w:szCs w:val="18"/>
        </w:rPr>
        <w:t xml:space="preserve">CLICK: </w:t>
      </w:r>
      <w:r>
        <w:rPr>
          <w:color w:val="5C5C5C"/>
          <w:sz w:val="18"/>
          <w:szCs w:val="18"/>
        </w:rPr>
        <w:t xml:space="preserve">the “Data + Dependencies” box.</w:t>
      </w:r>
    </w:p>
    <w:p>
      <w:pPr>
        <w:spacing w:after="100"/>
        <w:ind w:left="360"/>
      </w:pPr>
      <w:r>
        <w:rPr>
          <w:i/>
          <w:iCs/>
        </w:rPr>
        <w:t xml:space="preserve">“</w:t>
      </w:r>
      <w:r>
        <w:rPr>
          <w:i/>
          <w:iCs/>
        </w:rPr>
        <w:t xml:space="preserve">Search, Cosmos DB, Storage, and Key Vault represent possible workload dependencies. The exact requirements depend on hosting mode, model, and enterprise controls. We will compare a workshop reference baseline in the services sort.</w:t>
      </w:r>
      <w:r>
        <w:rPr>
          <w:i/>
          <w:iCs/>
        </w:rPr>
        <w:t xml:space="preserve">”</w:t>
      </w:r>
    </w:p>
    <w:p>
      <w:pPr>
        <w:spacing w:after="40" w:before="160"/>
      </w:pPr>
      <w:r>
        <w:rPr>
          <w:b/>
          <w:bCs/>
          <w:color w:val="B11F4B"/>
          <w:sz w:val="18"/>
          <w:szCs w:val="18"/>
        </w:rPr>
        <w:t xml:space="preserve">Transition</w:t>
      </w:r>
    </w:p>
    <w:p>
      <w:pPr>
        <w:spacing w:after="120"/>
      </w:pPr>
      <w:r>
        <w:t xml:space="preserve">This map had a hub box and a spoke box — let’s zoom into each of those two, starting with the hub. Click Tab 2, Hub &amp; Spoke Landing Zones.</w:t>
      </w:r>
    </w:p>
    <w:p>
      <w:pPr>
        <w:pStyle w:val="Heading1"/>
      </w:pPr>
      <w:r>
        <w:t xml:space="preserve">2. Hub &amp; Spoke Landing Zones (12 min)</w:t>
      </w:r>
    </w:p>
    <w:p>
      <w:pPr>
        <w:pStyle w:val="Heading3"/>
      </w:pPr>
      <w:r>
        <w:t xml:space="preserve">Sub-tab: APIM Landing Zone — Hub</w:t>
      </w:r>
    </w:p>
    <w:p>
      <w:pPr>
        <w:spacing w:after="40" w:before="160"/>
      </w:pPr>
      <w:r>
        <w:rPr>
          <w:b/>
          <w:bCs/>
          <w:color w:val="B11F4B"/>
          <w:sz w:val="18"/>
          <w:szCs w:val="18"/>
        </w:rPr>
        <w:t xml:space="preserve">Goal</w:t>
      </w:r>
    </w:p>
    <w:p>
      <w:pPr>
        <w:spacing w:after="120"/>
      </w:pPr>
      <w:r>
        <w:t xml:space="preserve">Make the case for a single governed gateway instead of per-team API management.</w:t>
      </w:r>
    </w:p>
    <w:p>
      <w:pPr>
        <w:spacing w:after="40" w:before="160"/>
      </w:pPr>
      <w:r>
        <w:rPr>
          <w:b/>
          <w:bCs/>
          <w:color w:val="B11F4B"/>
          <w:sz w:val="18"/>
          <w:szCs w:val="18"/>
        </w:rPr>
        <w:t xml:space="preserve">Say</w:t>
      </w:r>
    </w:p>
    <w:p>
      <w:pPr>
        <w:spacing w:after="100"/>
        <w:ind w:left="360"/>
      </w:pPr>
      <w:r>
        <w:rPr>
          <w:i/>
          <w:iCs/>
        </w:rPr>
        <w:t xml:space="preserve">“</w:t>
      </w:r>
      <w:r>
        <w:rPr>
          <w:i/>
          <w:iCs/>
        </w:rPr>
        <w:t xml:space="preserve">Every app and every agent is a consumer of AI. Instead of each team standing up their own auth, quota, and logging, they all go through one gateway.</w:t>
      </w:r>
      <w:r>
        <w:rPr>
          <w:i/>
          <w:iCs/>
        </w:rPr>
        <w:t xml:space="preserve">”</w:t>
      </w:r>
    </w:p>
    <w:p>
      <w:pPr>
        <w:spacing w:after="100"/>
        <w:ind w:left="360"/>
      </w:pPr>
      <w:r>
        <w:rPr>
          <w:b/>
          <w:bCs/>
          <w:color w:val="B11F4B"/>
          <w:sz w:val="18"/>
          <w:szCs w:val="18"/>
        </w:rPr>
        <w:t xml:space="preserve">CLICK: </w:t>
      </w:r>
      <w:r>
        <w:rPr>
          <w:color w:val="5C5C5C"/>
          <w:sz w:val="18"/>
          <w:szCs w:val="18"/>
        </w:rPr>
        <w:t xml:space="preserve">the APIM Gateway box once. The internal badges belong to that same box; they are not separate controls.</w:t>
      </w:r>
    </w:p>
    <w:p>
      <w:pPr>
        <w:spacing w:after="100"/>
        <w:ind w:left="360"/>
      </w:pPr>
      <w:r>
        <w:rPr>
          <w:i/>
          <w:iCs/>
        </w:rPr>
        <w:t xml:space="preserve">“</w:t>
      </w:r>
      <w:r>
        <w:rPr>
          <w:i/>
          <w:iCs/>
        </w:rPr>
        <w:t xml:space="preserve">Semantic caching can avoid some model inference calls when an eligible similar response exists. It requires configuration, safe isolation, and freshness controls; embedding and cache operations can still incur cost.</w:t>
      </w:r>
      <w:r>
        <w:rPr>
          <w:i/>
          <w:iCs/>
        </w:rPr>
        <w:t xml:space="preserve">”</w:t>
      </w:r>
    </w:p>
    <w:p>
      <w:pPr>
        <w:spacing w:after="100"/>
        <w:ind w:left="360"/>
      </w:pPr>
      <w:r>
        <w:rPr>
          <w:b/>
          <w:bCs/>
          <w:color w:val="B11F4B"/>
          <w:sz w:val="18"/>
          <w:szCs w:val="18"/>
        </w:rPr>
        <w:t xml:space="preserve">CLICK: </w:t>
      </w:r>
      <w:r>
        <w:rPr>
          <w:color w:val="5C5C5C"/>
          <w:sz w:val="18"/>
          <w:szCs w:val="18"/>
        </w:rPr>
        <w:t xml:space="preserve">one of the “Foundry Spoke” boxes.</w:t>
      </w:r>
    </w:p>
    <w:p>
      <w:pPr>
        <w:spacing w:after="100"/>
        <w:ind w:left="360"/>
      </w:pPr>
      <w:r>
        <w:rPr>
          <w:i/>
          <w:iCs/>
        </w:rPr>
        <w:t xml:space="preserve">“</w:t>
      </w:r>
      <w:r>
        <w:rPr>
          <w:i/>
          <w:iCs/>
        </w:rPr>
        <w:t xml:space="preserve">New business units don’t get a bespoke integration — they attach to the same hub contract. That’s what makes this repeatable instead of a one-off project every time.</w:t>
      </w:r>
      <w:r>
        <w:rPr>
          <w:i/>
          <w:iCs/>
        </w:rPr>
        <w:t xml:space="preserve">”</w:t>
      </w:r>
    </w:p>
    <w:p>
      <w:pPr>
        <w:spacing w:after="100"/>
        <w:ind w:left="360"/>
      </w:pPr>
      <w:r>
        <w:rPr>
          <w:b/>
          <w:bCs/>
          <w:color w:val="B11F4B"/>
          <w:sz w:val="18"/>
          <w:szCs w:val="18"/>
        </w:rPr>
        <w:t xml:space="preserve">CLICK: </w:t>
      </w:r>
      <w:r>
        <w:rPr>
          <w:color w:val="5C5C5C"/>
          <w:sz w:val="18"/>
          <w:szCs w:val="18"/>
        </w:rPr>
        <w:t xml:space="preserve">the “Shared Services” box.</w:t>
      </w:r>
    </w:p>
    <w:p>
      <w:pPr>
        <w:spacing w:after="100"/>
        <w:ind w:left="360"/>
      </w:pPr>
      <w:r>
        <w:rPr>
          <w:i/>
          <w:iCs/>
        </w:rPr>
        <w:t xml:space="preserve">“</w:t>
      </w:r>
      <w:r>
        <w:rPr>
          <w:i/>
          <w:iCs/>
        </w:rPr>
        <w:t xml:space="preserve">Log Analytics, Key Vault, and Entra are shared once at the hub — this is the foundation for the unified telemetry we’ll talk about in the policy section.</w:t>
      </w:r>
      <w:r>
        <w:rPr>
          <w:i/>
          <w:iCs/>
        </w:rPr>
        <w:t xml:space="preserve">”</w:t>
      </w:r>
    </w:p>
    <w:p>
      <w:pPr>
        <w:spacing w:after="120"/>
      </w:pPr>
      <w:r>
        <w:t xml:space="preserve">Use the request scenarios instead of reading every feature card. Spend about two minutes here within the existing twelve-minute segment.</w:t>
      </w:r>
    </w:p>
    <w:p>
      <w:pPr>
        <w:spacing w:after="100"/>
        <w:ind w:left="360"/>
      </w:pPr>
      <w:r>
        <w:rPr>
          <w:b/>
          <w:bCs/>
          <w:color w:val="B11F4B"/>
          <w:sz w:val="18"/>
          <w:szCs w:val="18"/>
        </w:rPr>
        <w:t xml:space="preserve">CLICK: </w:t>
      </w:r>
      <w:r>
        <w:rPr>
          <w:color w:val="5C5C5C"/>
          <w:sz w:val="18"/>
          <w:szCs w:val="18"/>
        </w:rPr>
        <w:t xml:space="preserve">Allowed request, Missing identity, Token rate exceeded, then Eligible cache hit under One request, different outcomes.</w:t>
      </w:r>
    </w:p>
    <w:p>
      <w:pPr>
        <w:spacing w:after="100"/>
        <w:ind w:left="360"/>
      </w:pPr>
      <w:r>
        <w:rPr>
          <w:i/>
          <w:iCs/>
        </w:rPr>
        <w:t xml:space="preserve">“</w:t>
      </w:r>
      <w:r>
        <w:rPr>
          <w:i/>
          <w:iCs/>
        </w:rPr>
        <w:t xml:space="preserve">These are local illustrations, not live Azure requests. Notice where the flow stops: identity failures and rate limits do not reach the model; an eligible cache hit skips model inference. The example token-rate limit returns 429, whereas a longer-period token quota returns 403.</w:t>
      </w:r>
      <w:r>
        <w:rPr>
          <w:i/>
          <w:iCs/>
        </w:rPr>
        <w:t xml:space="preserve">”</w:t>
      </w:r>
    </w:p>
    <w:p>
      <w:pPr>
        <w:pStyle w:val="ListParagraph"/>
        <w:numPr>
          <w:ilvl w:val="0"/>
          <w:numId w:val="2"/>
        </w:numPr>
        <w:spacing w:after="80"/>
      </w:pPr>
      <w:r>
        <w:t xml:space="preserve">Before changing the case, ask: will this request reach the model, and why?</w:t>
      </w:r>
    </w:p>
    <w:p>
      <w:pPr>
        <w:pStyle w:val="Heading3"/>
      </w:pPr>
      <w:r>
        <w:t xml:space="preserve">Sub-tab: AI Landing Zone for Foundry — Spoke</w:t>
      </w:r>
    </w:p>
    <w:p>
      <w:pPr>
        <w:spacing w:after="40" w:before="160"/>
      </w:pPr>
      <w:r>
        <w:rPr>
          <w:b/>
          <w:bCs/>
          <w:color w:val="B11F4B"/>
          <w:sz w:val="18"/>
          <w:szCs w:val="18"/>
        </w:rPr>
        <w:t xml:space="preserve">Say</w:t>
      </w:r>
    </w:p>
    <w:p>
      <w:pPr>
        <w:spacing w:after="100"/>
        <w:ind w:left="360"/>
      </w:pPr>
      <w:r>
        <w:rPr>
          <w:i/>
          <w:iCs/>
        </w:rPr>
        <w:t xml:space="preserve">“</w:t>
      </w:r>
      <w:r>
        <w:rPr>
          <w:i/>
          <w:iCs/>
        </w:rPr>
        <w:t xml:space="preserve">Now the other side — what's actually inside a spoke. This is one Foundry Account per business unit, always reached privately through the hub.</w:t>
      </w:r>
      <w:r>
        <w:rPr>
          <w:i/>
          <w:iCs/>
        </w:rPr>
        <w:t xml:space="preserve">”</w:t>
      </w:r>
    </w:p>
    <w:p>
      <w:pPr>
        <w:spacing w:after="100"/>
        <w:ind w:left="360"/>
      </w:pPr>
      <w:r>
        <w:rPr>
          <w:b/>
          <w:bCs/>
          <w:color w:val="B11F4B"/>
          <w:sz w:val="18"/>
          <w:szCs w:val="18"/>
        </w:rPr>
        <w:t xml:space="preserve">CLICK: </w:t>
      </w:r>
      <w:r>
        <w:rPr>
          <w:color w:val="5C5C5C"/>
          <w:sz w:val="18"/>
          <w:szCs w:val="18"/>
        </w:rPr>
        <w:t xml:space="preserve">the “Private Endpoint” box.</w:t>
      </w:r>
    </w:p>
    <w:p>
      <w:pPr>
        <w:spacing w:after="100"/>
        <w:ind w:left="360"/>
      </w:pPr>
      <w:r>
        <w:rPr>
          <w:i/>
          <w:iCs/>
        </w:rPr>
        <w:t xml:space="preserve">“</w:t>
      </w:r>
      <w:r>
        <w:rPr>
          <w:i/>
          <w:iCs/>
        </w:rPr>
        <w:t xml:space="preserve">No public network path — that's non-negotiable by default, and it's the same pattern we'll dig into in the VNet Showdown.</w:t>
      </w:r>
      <w:r>
        <w:rPr>
          <w:i/>
          <w:iCs/>
        </w:rPr>
        <w:t xml:space="preserve">”</w:t>
      </w:r>
    </w:p>
    <w:p>
      <w:pPr>
        <w:spacing w:after="100"/>
        <w:ind w:left="360"/>
      </w:pPr>
      <w:r>
        <w:rPr>
          <w:b/>
          <w:bCs/>
          <w:color w:val="B11F4B"/>
          <w:sz w:val="18"/>
          <w:szCs w:val="18"/>
        </w:rPr>
        <w:t xml:space="preserve">CLICK: </w:t>
      </w:r>
      <w:r>
        <w:rPr>
          <w:color w:val="5C5C5C"/>
          <w:sz w:val="18"/>
          <w:szCs w:val="18"/>
        </w:rPr>
        <w:t xml:space="preserve">the Foundry Account box once. Its internal badges are labels, not separate controls.</w:t>
      </w:r>
    </w:p>
    <w:p>
      <w:pPr>
        <w:spacing w:after="100"/>
        <w:ind w:left="360"/>
      </w:pPr>
      <w:r>
        <w:rPr>
          <w:i/>
          <w:iCs/>
        </w:rPr>
        <w:t xml:space="preserve">“</w:t>
      </w:r>
      <w:r>
        <w:rPr>
          <w:i/>
          <w:iCs/>
        </w:rPr>
        <w:t xml:space="preserve">Each spoke owns its own projects, agents, and model deployments independently — and its own cost and quota tracking, so one team's usage spike doesn't silently eat another team's budget.</w:t>
      </w:r>
      <w:r>
        <w:rPr>
          <w:i/>
          <w:iCs/>
        </w:rPr>
        <w:t xml:space="preserve">”</w:t>
      </w:r>
    </w:p>
    <w:p>
      <w:pPr>
        <w:spacing w:after="100"/>
        <w:ind w:left="360"/>
      </w:pPr>
      <w:r>
        <w:rPr>
          <w:b/>
          <w:bCs/>
          <w:color w:val="B11F4B"/>
          <w:sz w:val="18"/>
          <w:szCs w:val="18"/>
        </w:rPr>
        <w:t xml:space="preserve">CLICK: </w:t>
      </w:r>
      <w:r>
        <w:rPr>
          <w:color w:val="5C5C5C"/>
          <w:sz w:val="18"/>
          <w:szCs w:val="18"/>
        </w:rPr>
        <w:t xml:space="preserve">the three dependency boxes: AI Search, Cosmos DB, Storage + Key Vault.</w:t>
      </w:r>
    </w:p>
    <w:p>
      <w:pPr>
        <w:spacing w:after="100"/>
        <w:ind w:left="360"/>
      </w:pPr>
      <w:r>
        <w:rPr>
          <w:i/>
          <w:iCs/>
        </w:rPr>
        <w:t xml:space="preserve">“</w:t>
      </w:r>
      <w:r>
        <w:rPr>
          <w:i/>
          <w:iCs/>
        </w:rPr>
        <w:t xml:space="preserve">These boxes represent retrieval, state, and secrets or storage responsibilities. Exact service dependencies vary by hosting mode. Private connectivity needs endpoints, DNS, permissions, and public-network restrictions configured together.</w:t>
      </w:r>
      <w:r>
        <w:rPr>
          <w:i/>
          <w:iCs/>
        </w:rPr>
        <w:t xml:space="preserve">”</w:t>
      </w:r>
    </w:p>
    <w:p>
      <w:pPr>
        <w:spacing w:after="100"/>
        <w:ind w:left="360"/>
      </w:pPr>
      <w:r>
        <w:rPr>
          <w:b/>
          <w:bCs/>
          <w:color w:val="B11F4B"/>
          <w:sz w:val="18"/>
          <w:szCs w:val="18"/>
        </w:rPr>
        <w:t xml:space="preserve">CLICK: </w:t>
      </w:r>
      <w:r>
        <w:rPr>
          <w:color w:val="5C5C5C"/>
          <w:sz w:val="18"/>
          <w:szCs w:val="18"/>
        </w:rPr>
        <w:t xml:space="preserve">Model-only, Grounded answer (RAG), then Agent with tools under The workload shapes the dependencies.</w:t>
      </w:r>
    </w:p>
    <w:p>
      <w:pPr>
        <w:spacing w:after="100"/>
        <w:ind w:left="360"/>
      </w:pPr>
      <w:r>
        <w:rPr>
          <w:i/>
          <w:iCs/>
        </w:rPr>
        <w:t xml:space="preserve">“</w:t>
      </w:r>
      <w:r>
        <w:rPr>
          <w:i/>
          <w:iCs/>
        </w:rPr>
        <w:t xml:space="preserve">Adding retrieval adds data authorization responsibilities. Adding tools adds action permissions and potentially state. A private endpoint does not determine which documents a person may read, and citations do not guarantee correctness.</w:t>
      </w:r>
      <w:r>
        <w:rPr>
          <w:i/>
          <w:iCs/>
        </w:rPr>
        <w:t xml:space="preserve">”</w:t>
      </w:r>
    </w:p>
    <w:p>
      <w:pPr>
        <w:spacing w:after="40" w:before="160"/>
      </w:pPr>
      <w:r>
        <w:rPr>
          <w:b/>
          <w:bCs/>
          <w:color w:val="B11F4B"/>
          <w:sz w:val="18"/>
          <w:szCs w:val="18"/>
        </w:rPr>
        <w:t xml:space="preserve">Ask the room</w:t>
      </w:r>
    </w:p>
    <w:p>
      <w:pPr>
        <w:pStyle w:val="ListParagraph"/>
        <w:numPr>
          <w:ilvl w:val="0"/>
          <w:numId w:val="2"/>
        </w:numPr>
        <w:spacing w:after="80"/>
      </w:pPr>
      <w:r>
        <w:t xml:space="preserve">Would your organization run one spoke per business unit, or per application? Where's the line for you?</w:t>
      </w:r>
    </w:p>
    <w:p>
      <w:pPr>
        <w:spacing w:after="40" w:before="160"/>
      </w:pPr>
      <w:r>
        <w:rPr>
          <w:b/>
          <w:bCs/>
          <w:color w:val="B11F4B"/>
          <w:sz w:val="18"/>
          <w:szCs w:val="18"/>
        </w:rPr>
        <w:t xml:space="preserve">Transition</w:t>
      </w:r>
    </w:p>
    <w:p>
      <w:pPr>
        <w:spacing w:after="120"/>
      </w:pPr>
      <w:r>
        <w:t xml:space="preserve">We've talked about what's required structurally. Next let's get concrete about which specific Azure services are actually required vs. optional — this is the card sort. Click Tab 3.</w:t>
      </w:r>
    </w:p>
    <w:p>
      <w:pPr>
        <w:pStyle w:val="Heading1"/>
      </w:pPr>
      <w:r>
        <w:t xml:space="preserve">3. Day-1 Services Sort (10 min)</w:t>
      </w:r>
    </w:p>
    <w:p>
      <w:pPr>
        <w:spacing w:after="40" w:before="160"/>
      </w:pPr>
      <w:r>
        <w:rPr>
          <w:b/>
          <w:bCs/>
          <w:color w:val="B11F4B"/>
          <w:sz w:val="18"/>
          <w:szCs w:val="18"/>
        </w:rPr>
        <w:t xml:space="preserve">Goal</w:t>
      </w:r>
    </w:p>
    <w:p>
      <w:pPr>
        <w:spacing w:after="120"/>
      </w:pPr>
      <w:r>
        <w:t xml:space="preserve">Turn the abstract dependency conversation into a concrete, opinionated checklist the audience can challenge.</w:t>
      </w:r>
    </w:p>
    <w:p>
      <w:pPr>
        <w:spacing w:after="40" w:before="160"/>
      </w:pPr>
      <w:r>
        <w:rPr>
          <w:b/>
          <w:bCs/>
          <w:color w:val="B11F4B"/>
          <w:sz w:val="18"/>
          <w:szCs w:val="18"/>
        </w:rPr>
        <w:t xml:space="preserve">Say</w:t>
      </w:r>
    </w:p>
    <w:p>
      <w:pPr>
        <w:spacing w:after="100"/>
        <w:ind w:left="360"/>
      </w:pPr>
      <w:r>
        <w:rPr>
          <w:i/>
          <w:iCs/>
        </w:rPr>
        <w:t xml:space="preserve">“</w:t>
      </w:r>
      <w:r>
        <w:rPr>
          <w:i/>
          <w:iCs/>
        </w:rPr>
        <w:t xml:space="preserve">Twelve services, three buckets — Required, Depends, and Optional. Before I tell you the answer, let's get the room to guess. I'll drag a few, and I want you shouting out where the rest go.</w:t>
      </w:r>
      <w:r>
        <w:rPr>
          <w:i/>
          <w:iCs/>
        </w:rPr>
        <w:t xml:space="preserve">”</w:t>
      </w:r>
    </w:p>
    <w:p>
      <w:pPr>
        <w:spacing w:after="100"/>
        <w:ind w:left="360"/>
      </w:pPr>
      <w:r>
        <w:rPr>
          <w:b/>
          <w:bCs/>
          <w:color w:val="B11F4B"/>
          <w:sz w:val="18"/>
          <w:szCs w:val="18"/>
        </w:rPr>
        <w:t xml:space="preserve">CLICK: </w:t>
      </w:r>
      <w:r>
        <w:rPr>
          <w:color w:val="5C5C5C"/>
          <w:sz w:val="18"/>
          <w:szCs w:val="18"/>
        </w:rPr>
        <w:t xml:space="preserve">and drag 2–3 chips yourself first (e.g. Microsoft Foundry, Key Vault) to demonstrate the mechanic — they'll turn green on the correct bucket.</w:t>
      </w:r>
    </w:p>
    <w:p>
      <w:pPr>
        <w:spacing w:after="40" w:before="160"/>
      </w:pPr>
      <w:r>
        <w:rPr>
          <w:b/>
          <w:bCs/>
          <w:color w:val="B11F4B"/>
          <w:sz w:val="18"/>
          <w:szCs w:val="18"/>
        </w:rPr>
        <w:t xml:space="preserve">Ask the room</w:t>
      </w:r>
    </w:p>
    <w:p>
      <w:pPr>
        <w:pStyle w:val="ListParagraph"/>
        <w:numPr>
          <w:ilvl w:val="0"/>
          <w:numId w:val="2"/>
        </w:numPr>
        <w:spacing w:after="80"/>
      </w:pPr>
      <w:r>
        <w:t xml:space="preserve">Where does Content Safety go — required or optional? (Good debate starter: it's optional today, but many enterprises treat it as a day-one requirement for compliance reasons — call that out explicitly.)</w:t>
      </w:r>
    </w:p>
    <w:p>
      <w:pPr>
        <w:pStyle w:val="ListParagraph"/>
        <w:numPr>
          <w:ilvl w:val="0"/>
          <w:numId w:val="2"/>
        </w:numPr>
        <w:spacing w:after="80"/>
      </w:pPr>
      <w:r>
        <w:t xml:space="preserve">What about Azure Container Apps and Container Registry — required or only if you're doing what? (Answer: only if you're hosting a BYO agent runtime, not for the managed Foundry Agent Service path.)</w:t>
      </w:r>
    </w:p>
    <w:p>
      <w:pPr>
        <w:spacing w:after="120"/>
      </w:pPr>
      <w:r>
        <w:t xml:space="preserve">Let the audience (or a volunteer) drag the remaining chips. A chip turns green immediately if correct, red if not — no need to narrate that, it's self-evident.</w:t>
      </w:r>
    </w:p>
    <w:p>
      <w:pPr>
        <w:spacing w:after="100"/>
        <w:ind w:left="360"/>
      </w:pPr>
      <w:r>
        <w:rPr>
          <w:i/>
          <w:iCs/>
        </w:rPr>
        <w:t xml:space="preserve">“</w:t>
      </w:r>
      <w:r>
        <w:rPr>
          <w:i/>
          <w:iCs/>
        </w:rPr>
        <w:t xml:space="preserve">The Baseline match meter shows agreement among the cards we have placed. The separate placed count tells us how many of the twelve we have covered. Green means agreement with this workshop baseline, not a universal Azure requirement.</w:t>
      </w:r>
      <w:r>
        <w:rPr>
          <w:i/>
          <w:iCs/>
        </w:rPr>
        <w:t xml:space="preserve">”</w:t>
      </w:r>
    </w:p>
    <w:p>
      <w:pPr>
        <w:spacing w:after="120"/>
      </w:pPr>
      <w:r>
        <w:t xml:space="preserve">For keyboard or touch use, open a service card and choose its Placement dropdown instead of dragging.</w:t>
      </w:r>
    </w:p>
    <w:p>
      <w:pPr>
        <w:spacing w:after="40" w:before="160"/>
      </w:pPr>
      <w:r>
        <w:rPr>
          <w:b/>
          <w:bCs/>
          <w:color w:val="B11F4B"/>
          <w:sz w:val="18"/>
          <w:szCs w:val="18"/>
        </w:rPr>
        <w:t xml:space="preserve">Say (after all chips are placed)</w:t>
      </w:r>
    </w:p>
    <w:p>
      <w:pPr>
        <w:spacing w:after="100"/>
        <w:ind w:left="360"/>
      </w:pPr>
      <w:r>
        <w:rPr>
          <w:i/>
          <w:iCs/>
        </w:rPr>
        <w:t xml:space="preserve">“</w:t>
      </w:r>
      <w:r>
        <w:rPr>
          <w:i/>
          <w:iCs/>
        </w:rPr>
        <w:t xml:space="preserve">The takeaway is not memorizing this list. Five services are marked Required in this particular baseline. Different models, hosting patterns, and enterprise policies change that answer; Optional does not mean that safety controls are unnecessary.</w:t>
      </w:r>
      <w:r>
        <w:rPr>
          <w:i/>
          <w:iCs/>
        </w:rPr>
        <w:t xml:space="preserve">”</w:t>
      </w:r>
    </w:p>
    <w:p>
      <w:pPr>
        <w:spacing w:after="40" w:before="160"/>
      </w:pPr>
      <w:r>
        <w:rPr>
          <w:b/>
          <w:bCs/>
          <w:color w:val="B11F4B"/>
          <w:sz w:val="18"/>
          <w:szCs w:val="18"/>
        </w:rPr>
        <w:t xml:space="preserve">Transition</w:t>
      </w:r>
    </w:p>
    <w:p>
      <w:pPr>
        <w:spacing w:after="120"/>
      </w:pPr>
      <w:r>
        <w:t xml:space="preserve">One of the required services was Storage, reached via a private endpoint we mentioned in the spoke diagram. Let's dig into exactly how that private connectivity choice gets made — Tab 4, VNet Showdown.</w:t>
      </w:r>
    </w:p>
    <w:p>
      <w:pPr>
        <w:pStyle w:val="Heading1"/>
      </w:pPr>
      <w:r>
        <w:t xml:space="preserve">4. VNet Showdown (10 min)</w:t>
      </w:r>
    </w:p>
    <w:p>
      <w:pPr>
        <w:spacing w:after="40" w:before="160"/>
      </w:pPr>
      <w:r>
        <w:rPr>
          <w:b/>
          <w:bCs/>
          <w:color w:val="B11F4B"/>
          <w:sz w:val="18"/>
          <w:szCs w:val="18"/>
        </w:rPr>
        <w:t xml:space="preserve">Goal</w:t>
      </w:r>
    </w:p>
    <w:p>
      <w:pPr>
        <w:spacing w:after="120"/>
      </w:pPr>
      <w:r>
        <w:t xml:space="preserve">Explain the single biggest networking decision customers actually have to make: who manages the VNet.</w:t>
      </w:r>
    </w:p>
    <w:p>
      <w:pPr>
        <w:spacing w:after="40" w:before="160"/>
      </w:pPr>
      <w:r>
        <w:rPr>
          <w:b/>
          <w:bCs/>
          <w:color w:val="B11F4B"/>
          <w:sz w:val="18"/>
          <w:szCs w:val="18"/>
        </w:rPr>
        <w:t xml:space="preserve">Say</w:t>
      </w:r>
    </w:p>
    <w:p>
      <w:pPr>
        <w:spacing w:after="100"/>
        <w:ind w:left="360"/>
      </w:pPr>
      <w:r>
        <w:rPr>
          <w:i/>
          <w:iCs/>
        </w:rPr>
        <w:t xml:space="preserve">“</w:t>
      </w:r>
      <w:r>
        <w:rPr>
          <w:i/>
          <w:iCs/>
        </w:rPr>
        <w:t xml:space="preserve">There are two ways to get Foundry onto a private network path, and the toggle at the top switches between them.</w:t>
      </w:r>
      <w:r>
        <w:rPr>
          <w:i/>
          <w:iCs/>
        </w:rPr>
        <w:t xml:space="preserve">”</w:t>
      </w:r>
    </w:p>
    <w:p>
      <w:pPr>
        <w:spacing w:after="100"/>
        <w:ind w:left="360"/>
      </w:pPr>
      <w:r>
        <w:rPr>
          <w:b/>
          <w:bCs/>
          <w:color w:val="B11F4B"/>
          <w:sz w:val="18"/>
          <w:szCs w:val="18"/>
        </w:rPr>
        <w:t xml:space="preserve">CLICK: </w:t>
      </w:r>
      <w:r>
        <w:rPr>
          <w:color w:val="5C5C5C"/>
          <w:sz w:val="18"/>
          <w:szCs w:val="18"/>
        </w:rPr>
        <w:t xml:space="preserve">the “Microsoft-Managed” toggle (default state).</w:t>
      </w:r>
    </w:p>
    <w:p>
      <w:pPr>
        <w:spacing w:after="100"/>
        <w:ind w:left="360"/>
      </w:pPr>
      <w:r>
        <w:rPr>
          <w:i/>
          <w:iCs/>
        </w:rPr>
        <w:t xml:space="preserve">“</w:t>
      </w:r>
      <w:r>
        <w:rPr>
          <w:i/>
          <w:iCs/>
        </w:rPr>
        <w:t xml:space="preserve">Microsoft handles the subnet range, IP allocation, and delegation for you. Fastest path to private connectivity, lowest operational burden — but you give up the ability to bring your own firewall for outbound traffic inspection.</w:t>
      </w:r>
      <w:r>
        <w:rPr>
          <w:i/>
          <w:iCs/>
        </w:rPr>
        <w:t xml:space="preserve">”</w:t>
      </w:r>
    </w:p>
    <w:p>
      <w:pPr>
        <w:spacing w:after="100"/>
        <w:ind w:left="360"/>
      </w:pPr>
      <w:r>
        <w:rPr>
          <w:b/>
          <w:bCs/>
          <w:color w:val="B11F4B"/>
          <w:sz w:val="18"/>
          <w:szCs w:val="18"/>
        </w:rPr>
        <w:t xml:space="preserve">CLICK: </w:t>
      </w:r>
      <w:r>
        <w:rPr>
          <w:color w:val="5C5C5C"/>
          <w:sz w:val="18"/>
          <w:szCs w:val="18"/>
        </w:rPr>
        <w:t xml:space="preserve">the “Customer-Managed (BYO)” toggle.</w:t>
      </w:r>
    </w:p>
    <w:p>
      <w:pPr>
        <w:spacing w:after="100"/>
        <w:ind w:left="360"/>
      </w:pPr>
      <w:r>
        <w:rPr>
          <w:i/>
          <w:iCs/>
        </w:rPr>
        <w:t xml:space="preserve">“</w:t>
      </w:r>
      <w:r>
        <w:rPr>
          <w:i/>
          <w:iCs/>
        </w:rPr>
        <w:t xml:space="preserve">Now you own the VNet — your own firewall or NVA, your own user-defined routes, your own peering back to the hub or on-prem. More control, more setup: subnet delegation, CapHost creation, and a /27 minimum subnet for agent delegation.</w:t>
      </w:r>
      <w:r>
        <w:rPr>
          <w:i/>
          <w:iCs/>
        </w:rPr>
        <w:t xml:space="preserve">”</w:t>
      </w:r>
    </w:p>
    <w:p>
      <w:pPr>
        <w:spacing w:after="120"/>
      </w:pPr>
      <w:r>
        <w:t xml:space="preserve">Walk the two bullet lists side by side — Microsoft-Managed vs. Customer-Managed — letting the audience read a beat before you narrate the trade-offs.</w:t>
      </w:r>
    </w:p>
    <w:p>
      <w:pPr>
        <w:spacing w:after="40" w:before="160"/>
      </w:pPr>
      <w:r>
        <w:rPr>
          <w:b/>
          <w:bCs/>
          <w:color w:val="B11F4B"/>
          <w:sz w:val="18"/>
          <w:szCs w:val="18"/>
        </w:rPr>
        <w:t xml:space="preserve">Say (pointing at the decision rule box)</w:t>
      </w:r>
    </w:p>
    <w:p>
      <w:pPr>
        <w:spacing w:after="100"/>
        <w:ind w:left="360"/>
      </w:pPr>
      <w:r>
        <w:rPr>
          <w:i/>
          <w:iCs/>
        </w:rPr>
        <w:t xml:space="preserve">“</w:t>
      </w:r>
      <w:r>
        <w:rPr>
          <w:i/>
          <w:iCs/>
        </w:rPr>
        <w:t xml:space="preserve">Private connectivity alone does not force a customer-managed runtime VNet. Evaluate BYO for customer-controlled routing, inspection, or existing-network integration, and verify supported inbound and outbound paths for the selected service and deployment mode. Encryption key ownership is a separate decision.</w:t>
      </w:r>
      <w:r>
        <w:rPr>
          <w:i/>
          <w:iCs/>
        </w:rPr>
        <w:t xml:space="preserve">”</w:t>
      </w:r>
    </w:p>
    <w:p>
      <w:pPr>
        <w:spacing w:after="100"/>
        <w:ind w:left="360"/>
      </w:pPr>
      <w:r>
        <w:rPr>
          <w:i/>
          <w:iCs/>
        </w:rPr>
        <w:t xml:space="preserve">“</w:t>
      </w:r>
      <w:r>
        <w:rPr>
          <w:i/>
          <w:iCs/>
        </w:rPr>
        <w:t xml:space="preserve">One thing that doesn't change either way — the enterprise perimeter, ER/VPN, DNS, and firewall at the hub stay customer-owned regardless of which model you pick for the Foundry runtime layer.</w:t>
      </w:r>
      <w:r>
        <w:rPr>
          <w:i/>
          <w:iCs/>
        </w:rPr>
        <w:t xml:space="preserve">”</w:t>
      </w:r>
    </w:p>
    <w:p>
      <w:pPr>
        <w:spacing w:after="40" w:before="160"/>
      </w:pPr>
      <w:r>
        <w:rPr>
          <w:b/>
          <w:bCs/>
          <w:color w:val="B11F4B"/>
          <w:sz w:val="18"/>
          <w:szCs w:val="18"/>
        </w:rPr>
        <w:t xml:space="preserve">Ask the room</w:t>
      </w:r>
    </w:p>
    <w:p>
      <w:pPr>
        <w:pStyle w:val="ListParagraph"/>
        <w:numPr>
          <w:ilvl w:val="0"/>
          <w:numId w:val="2"/>
        </w:numPr>
        <w:spacing w:after="80"/>
      </w:pPr>
      <w:r>
        <w:t xml:space="preserve">Which requirement drives your network choice: private reachability, controlled egress, existing-network integration, or environment isolation? What needs validation before selecting a mode?</w:t>
      </w:r>
    </w:p>
    <w:p>
      <w:pPr>
        <w:spacing w:after="40" w:before="160"/>
      </w:pPr>
      <w:r>
        <w:rPr>
          <w:b/>
          <w:bCs/>
          <w:color w:val="B11F4B"/>
          <w:sz w:val="18"/>
          <w:szCs w:val="18"/>
        </w:rPr>
        <w:t xml:space="preserve">Transition</w:t>
      </w:r>
    </w:p>
    <w:p>
      <w:pPr>
        <w:spacing w:after="120"/>
      </w:pPr>
      <w:r>
        <w:t xml:space="preserve">Whichever networking model you choose, it still has to sit inside a governed subscription structure. Let's close out the architecture conversation with policy — Tab 5.</w:t>
      </w:r>
    </w:p>
    <w:p>
      <w:pPr>
        <w:pStyle w:val="Heading1"/>
      </w:pPr>
      <w:r>
        <w:t xml:space="preserve">5. Policy Baseline (8 min)</w:t>
      </w:r>
    </w:p>
    <w:p>
      <w:pPr>
        <w:spacing w:after="40" w:before="160"/>
      </w:pPr>
      <w:r>
        <w:rPr>
          <w:b/>
          <w:bCs/>
          <w:color w:val="B11F4B"/>
          <w:sz w:val="18"/>
          <w:szCs w:val="18"/>
        </w:rPr>
        <w:t xml:space="preserve">Goal</w:t>
      </w:r>
    </w:p>
    <w:p>
      <w:pPr>
        <w:spacing w:after="120"/>
      </w:pPr>
      <w:r>
        <w:t xml:space="preserve">Show that governance is inherited from one place, not configured service-by-service.</w:t>
      </w:r>
    </w:p>
    <w:p>
      <w:pPr>
        <w:spacing w:after="40" w:before="160"/>
      </w:pPr>
      <w:r>
        <w:rPr>
          <w:b/>
          <w:bCs/>
          <w:color w:val="B11F4B"/>
          <w:sz w:val="18"/>
          <w:szCs w:val="18"/>
        </w:rPr>
        <w:t xml:space="preserve">Say</w:t>
      </w:r>
    </w:p>
    <w:p>
      <w:pPr>
        <w:spacing w:after="100"/>
        <w:ind w:left="360"/>
      </w:pPr>
      <w:r>
        <w:rPr>
          <w:i/>
          <w:iCs/>
        </w:rPr>
        <w:t xml:space="preserve">“</w:t>
      </w:r>
      <w:r>
        <w:rPr>
          <w:i/>
          <w:iCs/>
        </w:rPr>
        <w:t xml:space="preserve">This is the inheritance chain — policy assigned at the top of this pyramid flows down to everything nested inside it, automatically.</w:t>
      </w:r>
      <w:r>
        <w:rPr>
          <w:i/>
          <w:iCs/>
        </w:rPr>
        <w:t xml:space="preserve">”</w:t>
      </w:r>
    </w:p>
    <w:p>
      <w:pPr>
        <w:spacing w:after="100"/>
        <w:ind w:left="360"/>
      </w:pPr>
      <w:r>
        <w:rPr>
          <w:b/>
          <w:bCs/>
          <w:color w:val="B11F4B"/>
          <w:sz w:val="18"/>
          <w:szCs w:val="18"/>
        </w:rPr>
        <w:t xml:space="preserve">CLICK: </w:t>
      </w:r>
      <w:r>
        <w:rPr>
          <w:color w:val="5C5C5C"/>
          <w:sz w:val="18"/>
          <w:szCs w:val="18"/>
        </w:rPr>
        <w:t xml:space="preserve">the “Management Group (AI subscriptions)” box.</w:t>
      </w:r>
    </w:p>
    <w:p>
      <w:pPr>
        <w:spacing w:after="100"/>
        <w:ind w:left="360"/>
      </w:pPr>
      <w:r>
        <w:rPr>
          <w:i/>
          <w:iCs/>
        </w:rPr>
        <w:t xml:space="preserve">“</w:t>
      </w:r>
      <w:r>
        <w:rPr>
          <w:i/>
          <w:iCs/>
        </w:rPr>
        <w:t xml:space="preserve">This is the one-time investment that makes everything else consistent. Assign policy here once, and it applies to every AI subscription without per-subscription configuration.</w:t>
      </w:r>
      <w:r>
        <w:rPr>
          <w:i/>
          <w:iCs/>
        </w:rPr>
        <w:t xml:space="preserve">”</w:t>
      </w:r>
    </w:p>
    <w:p>
      <w:pPr>
        <w:spacing w:after="100"/>
        <w:ind w:left="360"/>
      </w:pPr>
      <w:r>
        <w:rPr>
          <w:b/>
          <w:bCs/>
          <w:color w:val="B11F4B"/>
          <w:sz w:val="18"/>
          <w:szCs w:val="18"/>
        </w:rPr>
        <w:t xml:space="preserve">CLICK: </w:t>
      </w:r>
      <w:r>
        <w:rPr>
          <w:color w:val="5C5C5C"/>
          <w:sz w:val="18"/>
          <w:szCs w:val="18"/>
        </w:rPr>
        <w:t xml:space="preserve">through “Subscriptions,” “AI Landing Zone,” and “Foundry Deployment” in order.</w:t>
      </w:r>
    </w:p>
    <w:p>
      <w:pPr>
        <w:spacing w:after="100"/>
        <w:ind w:left="360"/>
      </w:pPr>
      <w:r>
        <w:rPr>
          <w:i/>
          <w:iCs/>
        </w:rPr>
        <w:t xml:space="preserve">“</w:t>
      </w:r>
      <w:r>
        <w:rPr>
          <w:i/>
          <w:iCs/>
        </w:rPr>
        <w:t xml:space="preserve">As you go down, the policy gets more specific — subscription boundaries, then workload-specific compliance for APIM and Foundry together, then per-model and per-project telemetry at the bottom.</w:t>
      </w:r>
      <w:r>
        <w:rPr>
          <w:i/>
          <w:iCs/>
        </w:rPr>
        <w:t xml:space="preserve">”</w:t>
      </w:r>
    </w:p>
    <w:p>
      <w:pPr>
        <w:spacing w:after="120"/>
      </w:pPr>
      <w:r>
        <w:t xml:space="preserve">Clarify that a landing zone is not itself an Azure Policy assignment scope. The actual scopes are management group, subscription, resource group, and resource. Inheritance is limited to the assignment subtree, with applicable exclusions and exemptions.</w:t>
      </w:r>
    </w:p>
    <w:p>
      <w:pPr>
        <w:spacing w:after="120"/>
      </w:pPr>
      <w:r>
        <w:t xml:space="preserve">Walk the five governance controls as a checklist — check a few off live to show the interaction, and connect each one back to the inheritance level it belongs to:</w:t>
      </w:r>
    </w:p>
    <w:p>
      <w:pPr>
        <w:pStyle w:val="ListParagraph"/>
        <w:numPr>
          <w:ilvl w:val="0"/>
          <w:numId w:val="2"/>
        </w:numPr>
        <w:spacing w:after="80"/>
      </w:pPr>
      <w:r>
        <w:t xml:space="preserve">Dedicated management group — belongs at the top of the pyramid.</w:t>
      </w:r>
    </w:p>
    <w:p>
      <w:pPr>
        <w:pStyle w:val="ListParagraph"/>
        <w:numPr>
          <w:ilvl w:val="0"/>
          <w:numId w:val="2"/>
        </w:numPr>
        <w:spacing w:after="80"/>
      </w:pPr>
      <w:r>
        <w:t xml:space="preserve">Azure Policy at MG scope — same level; this is what “allow only approved models” actually means in practice.</w:t>
      </w:r>
    </w:p>
    <w:p>
      <w:pPr>
        <w:pStyle w:val="ListParagraph"/>
        <w:numPr>
          <w:ilvl w:val="0"/>
          <w:numId w:val="2"/>
        </w:numPr>
        <w:spacing w:after="80"/>
      </w:pPr>
      <w:r>
        <w:t xml:space="preserve">Disable local (key) authentication — enforced at the subscription level, closes the biggest identity gap (keys aren't attributable, bypass Conditional Access).</w:t>
      </w:r>
    </w:p>
    <w:p>
      <w:pPr>
        <w:pStyle w:val="ListParagraph"/>
        <w:numPr>
          <w:ilvl w:val="0"/>
          <w:numId w:val="2"/>
        </w:numPr>
        <w:spacing w:after="80"/>
      </w:pPr>
      <w:r>
        <w:t xml:space="preserve">Use built-in policy initiatives first — at the landing zone level, before anyone writes custom policy.</w:t>
      </w:r>
    </w:p>
    <w:p>
      <w:pPr>
        <w:pStyle w:val="ListParagraph"/>
        <w:numPr>
          <w:ilvl w:val="0"/>
          <w:numId w:val="2"/>
        </w:numPr>
        <w:spacing w:after="80"/>
      </w:pPr>
      <w:r>
        <w:t xml:space="preserve">One shared Log Analytics workspace per environment tier — at the deployment level, and it's what makes cross-service audit joins possible later.</w:t>
      </w:r>
    </w:p>
    <w:p>
      <w:pPr>
        <w:spacing w:after="100"/>
        <w:ind w:left="360"/>
      </w:pPr>
      <w:r>
        <w:rPr>
          <w:b/>
          <w:bCs/>
          <w:color w:val="B11F4B"/>
          <w:sz w:val="18"/>
          <w:szCs w:val="18"/>
        </w:rPr>
        <w:t xml:space="preserve">CLICK: </w:t>
      </w:r>
      <w:r>
        <w:rPr>
          <w:color w:val="5C5C5C"/>
          <w:sz w:val="18"/>
          <w:szCs w:val="18"/>
        </w:rPr>
        <w:t xml:space="preserve">Audit / public access, then Deny / public access, then Deny / private configuration under Audit is not enforcement.</w:t>
      </w:r>
    </w:p>
    <w:p>
      <w:pPr>
        <w:spacing w:after="100"/>
        <w:ind w:left="360"/>
      </w:pPr>
      <w:r>
        <w:rPr>
          <w:i/>
          <w:iCs/>
        </w:rPr>
        <w:t xml:space="preserve">“</w:t>
      </w:r>
      <w:r>
        <w:rPr>
          <w:i/>
          <w:iCs/>
        </w:rPr>
        <w:t xml:space="preserve">Audit makes non-compliance visible; deny blocks a matching create or update request. Neither automatically fixes every existing resource. Passing this policy is not proof that DNS, endpoints, identities, and every other control are correct.</w:t>
      </w:r>
      <w:r>
        <w:rPr>
          <w:i/>
          <w:iCs/>
        </w:rPr>
        <w:t xml:space="preserve">”</w:t>
      </w:r>
    </w:p>
    <w:p>
      <w:pPr>
        <w:spacing w:after="120"/>
      </w:pPr>
      <w:r>
        <w:t xml:space="preserve">Use these cases for two minutes within the eight-minute segment, replacing a detailed readout of the checklist. The checklist records discussion selections, not live compliance evidence.</w:t>
      </w:r>
    </w:p>
    <w:p>
      <w:pPr>
        <w:spacing w:after="40" w:before="160"/>
      </w:pPr>
      <w:r>
        <w:rPr>
          <w:b/>
          <w:bCs/>
          <w:color w:val="B11F4B"/>
          <w:sz w:val="18"/>
          <w:szCs w:val="18"/>
        </w:rPr>
        <w:t xml:space="preserve">Ask the room</w:t>
      </w:r>
    </w:p>
    <w:p>
      <w:pPr>
        <w:pStyle w:val="ListParagraph"/>
        <w:numPr>
          <w:ilvl w:val="0"/>
          <w:numId w:val="2"/>
        </w:numPr>
        <w:spacing w:after="80"/>
      </w:pPr>
      <w:r>
        <w:t xml:space="preserve">Do you already have a dedicated management group for AI, or would this be net-new in your tenant?</w:t>
      </w:r>
    </w:p>
    <w:p>
      <w:pPr>
        <w:spacing w:after="40" w:before="160"/>
      </w:pPr>
      <w:r>
        <w:rPr>
          <w:b/>
          <w:bCs/>
          <w:color w:val="B11F4B"/>
          <w:sz w:val="18"/>
          <w:szCs w:val="18"/>
        </w:rPr>
        <w:t xml:space="preserve">Transition</w:t>
      </w:r>
    </w:p>
    <w:p>
      <w:pPr>
        <w:spacing w:after="120"/>
      </w:pPr>
      <w:r>
        <w:t xml:space="preserve">That's the full architecture — map, hub, spoke, services, networking, governance. Let's turn this into decisions before we close. Tab 6.</w:t>
      </w:r>
    </w:p>
    <w:p>
      <w:pPr>
        <w:pStyle w:val="Heading1"/>
      </w:pPr>
      <w:r>
        <w:t xml:space="preserve">6. Decisions &amp; Parking Lot (7 min)</w:t>
      </w:r>
    </w:p>
    <w:p>
      <w:pPr>
        <w:spacing w:after="40" w:before="160"/>
      </w:pPr>
      <w:r>
        <w:rPr>
          <w:b/>
          <w:bCs/>
          <w:color w:val="B11F4B"/>
          <w:sz w:val="18"/>
          <w:szCs w:val="18"/>
        </w:rPr>
        <w:t xml:space="preserve">Goal</w:t>
      </w:r>
    </w:p>
    <w:p>
      <w:pPr>
        <w:spacing w:after="120"/>
      </w:pPr>
      <w:r>
        <w:t xml:space="preserve">End with concrete outputs, not just shared understanding — this is what makes the hour feel like work product instead of a briefing.</w:t>
      </w:r>
    </w:p>
    <w:p>
      <w:pPr>
        <w:spacing w:after="40" w:before="160"/>
      </w:pPr>
      <w:r>
        <w:rPr>
          <w:b/>
          <w:bCs/>
          <w:color w:val="B11F4B"/>
          <w:sz w:val="18"/>
          <w:szCs w:val="18"/>
        </w:rPr>
        <w:t xml:space="preserve">Say</w:t>
      </w:r>
    </w:p>
    <w:p>
      <w:pPr>
        <w:spacing w:after="100"/>
        <w:ind w:left="360"/>
      </w:pPr>
      <w:r>
        <w:rPr>
          <w:i/>
          <w:iCs/>
        </w:rPr>
        <w:t xml:space="preserve">“</w:t>
      </w:r>
      <w:r>
        <w:rPr>
          <w:i/>
          <w:iCs/>
        </w:rPr>
        <w:t xml:space="preserve">Let's fill this in together right now, live. Left column is a decision you're ready to make today. Right column is an open question we're parking for follow-up — not blocking, just tracked.</w:t>
      </w:r>
      <w:r>
        <w:rPr>
          <w:i/>
          <w:iCs/>
        </w:rPr>
        <w:t xml:space="preserve">”</w:t>
      </w:r>
    </w:p>
    <w:p>
      <w:pPr>
        <w:spacing w:after="120"/>
      </w:pPr>
      <w:r>
        <w:t xml:space="preserve">Drive this as open floor discussion. Type directly into the dashboard as the room calls things out — it autosaves locally in the browser as you type, so nothing is lost if you move between tabs.</w:t>
      </w:r>
    </w:p>
    <w:p>
      <w:pPr>
        <w:spacing w:after="40" w:before="160"/>
      </w:pPr>
      <w:r>
        <w:rPr>
          <w:b/>
          <w:bCs/>
          <w:color w:val="B11F4B"/>
          <w:sz w:val="18"/>
          <w:szCs w:val="18"/>
        </w:rPr>
        <w:t xml:space="preserve">Prompt if the room is quiet</w:t>
      </w:r>
    </w:p>
    <w:p>
      <w:pPr>
        <w:pStyle w:val="ListParagraph"/>
        <w:numPr>
          <w:ilvl w:val="0"/>
          <w:numId w:val="2"/>
        </w:numPr>
        <w:spacing w:after="80"/>
      </w:pPr>
      <w:r>
        <w:t xml:space="preserve">A decision: “We'll adopt APIM as our AI gateway hub” or “We'll start Microsoft-managed VNet and revisit BYO later.”</w:t>
      </w:r>
    </w:p>
    <w:p>
      <w:pPr>
        <w:pStyle w:val="ListParagraph"/>
        <w:numPr>
          <w:ilvl w:val="0"/>
          <w:numId w:val="2"/>
        </w:numPr>
        <w:spacing w:after="80"/>
      </w:pPr>
      <w:r>
        <w:t xml:space="preserve">A parking-lot question: “Who owns the MG-scope policy assignment in our org?” or “Does our existing hub VNet already meet the /27 minimum for BYO?”</w:t>
      </w:r>
    </w:p>
    <w:p>
      <w:pPr>
        <w:spacing w:after="40" w:before="160"/>
      </w:pPr>
      <w:r>
        <w:rPr>
          <w:b/>
          <w:bCs/>
          <w:color w:val="B11F4B"/>
          <w:sz w:val="18"/>
          <w:szCs w:val="18"/>
        </w:rPr>
        <w:t xml:space="preserve">Close</w:t>
      </w:r>
    </w:p>
    <w:p>
      <w:pPr>
        <w:spacing w:after="100"/>
        <w:ind w:left="360"/>
      </w:pPr>
      <w:r>
        <w:rPr>
          <w:b/>
          <w:bCs/>
          <w:color w:val="B11F4B"/>
          <w:sz w:val="18"/>
          <w:szCs w:val="18"/>
        </w:rPr>
        <w:t xml:space="preserve">CLICK: </w:t>
      </w:r>
      <w:r>
        <w:rPr>
          <w:color w:val="5C5C5C"/>
          <w:sz w:val="18"/>
          <w:szCs w:val="18"/>
        </w:rPr>
        <w:t xml:space="preserve">Export decisions to download the recorded decisions and questions as a plain-text file.</w:t>
      </w:r>
    </w:p>
    <w:p>
      <w:pPr>
        <w:spacing w:after="100"/>
        <w:ind w:left="360"/>
      </w:pPr>
      <w:r>
        <w:rPr>
          <w:i/>
          <w:iCs/>
        </w:rPr>
        <w:t xml:space="preserve">“</w:t>
      </w:r>
      <w:r>
        <w:rPr>
          <w:i/>
          <w:iCs/>
        </w:rPr>
        <w:t xml:space="preserve">This is the output specific to your environment. Notes stay in this browser unless exported; they are not a shared online record. If a storage warning appears, keep the page open and export before closing.</w:t>
      </w:r>
      <w:r>
        <w:rPr>
          <w:i/>
          <w:iCs/>
        </w:rPr>
        <w:t xml:space="preserve">”</w:t>
      </w:r>
    </w:p>
    <w:p>
      <w:pPr>
        <w:spacing w:after="120"/>
      </w:pPr>
      <w:r>
        <w:t xml:space="preserve">Thank the room, restate the three takeaways from the opening (hub vs. spoke, required vs. optional services, governance inherited from one place), and open the floor for any remaining questions.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2424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11F4B" w:sz="6" w:space="4"/>
      </w:pBdr>
      <w:spacing w:after="160" w:before="320"/>
      <w:outlineLvl w:val="0"/>
    </w:pPr>
    <w:rPr>
      <w:rFonts w:ascii="Segoe UI" w:cs="Segoe UI" w:eastAsia="Segoe UI" w:hAnsi="Segoe UI"/>
      <w:b/>
      <w:bCs/>
      <w:color w:val="B11F4B"/>
      <w:sz w:val="32"/>
      <w:szCs w:val="32"/>
    </w:rPr>
  </w:style>
  <w:style w:type="paragraph" w:styleId="Heading2">
    <w:name w:val="Heading 2"/>
    <w:basedOn w:val="Normal"/>
    <w:next w:val="Normal"/>
    <w:qFormat/>
    <w:pPr>
      <w:spacing w:after="120" w:before="240"/>
      <w:outlineLvl w:val="1"/>
    </w:pPr>
    <w:rPr>
      <w:rFonts w:ascii="Segoe UI" w:cs="Segoe UI" w:eastAsia="Segoe UI" w:hAnsi="Segoe UI"/>
      <w:b/>
      <w:bCs/>
      <w:color w:val="242424"/>
      <w:sz w:val="26"/>
      <w:szCs w:val="26"/>
    </w:rPr>
  </w:style>
  <w:style w:type="paragraph" w:styleId="Heading3">
    <w:name w:val="Heading 3"/>
    <w:basedOn w:val="Normal"/>
    <w:next w:val="Normal"/>
    <w:qFormat/>
    <w:pPr>
      <w:spacing w:after="80" w:before="160"/>
      <w:outlineLvl w:val="2"/>
    </w:pPr>
    <w:rPr>
      <w:rFonts w:ascii="Segoe UI" w:cs="Segoe UI" w:eastAsia="Segoe UI" w:hAnsi="Segoe UI"/>
      <w:b/>
      <w:bCs/>
      <w:color w:val="24242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2026-09-30T17:02:45.972Z</dcterms:created>
  <dcterms:modified xsi:type="dcterms:W3CDTF">2026-09-30T17:02:45.973Z</dcterms:modified>
</cp:coreProperties>
</file>

<file path=docProps/custom.xml><?xml version="1.0" encoding="utf-8"?>
<Properties xmlns="http://schemas.openxmlformats.org/officeDocument/2006/custom-properties" xmlns:vt="http://schemas.openxmlformats.org/officeDocument/2006/docPropsVTypes"/>
</file>