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B11F4B"/>
          <w:sz w:val="44"/>
          <w:szCs w:val="44"/>
        </w:rPr>
        <w:t xml:space="preserve">AI Landing Zone</w:t>
      </w:r>
    </w:p>
    <w:p>
      <w:pPr>
        <w:spacing w:after="300"/>
        <w:jc w:val="center"/>
      </w:pPr>
      <w:r>
        <w:rPr>
          <w:color w:val="5C5C5C"/>
          <w:sz w:val="26"/>
          <w:szCs w:val="26"/>
        </w:rPr>
        <w:t xml:space="preserve">Facilitator Talk Track for the Interactive Dashboard</w:t>
      </w:r>
    </w:p>
    <w:p>
      <w:pPr>
        <w:spacing w:after="400"/>
        <w:jc w:val="center"/>
      </w:pPr>
      <w:r>
        <w:rPr>
          <w:i/>
          <w:iCs/>
          <w:color w:val="5C5C5C"/>
        </w:rPr>
        <w:t xml:space="preserve">Presenter notes only — updated September 30, 2026 to match the live dashboard and repository index.html. Keep this guide separate from the customer-facing dashboard; it is not published on the Azure site.</w:t>
      </w:r>
    </w:p>
    <w:p>
      <w:pPr>
        <w:pStyle w:val="Heading2"/>
      </w:pPr>
      <w:r>
        <w:t xml:space="preserve">Presenter setup</w:t>
      </w:r>
    </w:p>
    <w:p>
      <w:pPr>
        <w:spacing w:after="120"/>
      </w:pPr>
      <w:hyperlink r:id="rIdDashboardLive">
        <w:r>
          <w:rPr>
            <w:rStyle w:val="Hyperlink"/>
          </w:rPr>
          <w:t>Open the live AI Landing Zone dashboard</w:t>
        </w:r>
      </w:hyperlink>
    </w:p>
    <w:p>
      <w:pPr>
        <w:spacing w:after="120"/>
      </w:pPr>
      <w:r>
        <w:t>Live address: https://thankful-ground-035389910.3.azurestaticapps.net. No sign-in is required. For an offline backup, open the repository index.html; the external accelerator needs internet access.</w:t>
      </w:r>
    </w:p>
    <w:p>
      <w:pPr>
        <w:spacing w:after="120"/>
      </w:pPr>
      <w:r>
        <w:t>Before the session, export any previous decisions and use a fresh browser profile for a clean workshop state. Check the projector, choose the clearest theme, and use Full screen if helpful. The diagrams scroll horizontally on smaller displays rather than compressing their labels.</w:t>
      </w:r>
    </w:p>
    <w:p>
      <w:pPr>
        <w:spacing w:after="120"/>
      </w:pPr>
      <w:r>
        <w:t>Keep this guide on your presenter device, not on the shared screen. The new-tab accelerator link preserves the dashboard; return to the dashboard tab before capturing or exporting customer decisions. Do not launch an Azure deployment during this conceptual workshop.</w:t>
      </w:r>
    </w:p>
    <w:p>
      <w:pPr>
        <w:pStyle w:val="Heading2"/>
      </w:pPr>
      <w:r>
        <w:t>How to use this document</w:t>
      </w:r>
    </w:p>
    <w:p>
      <w:pPr>
        <w:pStyle w:val="ListParagraph"/>
        <w:numPr>
          <w:ilvl w:val="0"/>
          <w:numId w:val="2"/>
        </w:numPr>
        <w:spacing w:after="80"/>
      </w:pPr>
      <w:r>
        <w:t xml:space="preserve">The dashboard has no instructions or scripting on screen by design — it is click-ops only. This talk track is what you say while you click.</w:t>
      </w:r>
    </w:p>
    <w:p>
      <w:pPr>
        <w:pStyle w:val="ListParagraph"/>
        <w:numPr>
          <w:ilvl w:val="0"/>
          <w:numId w:val="2"/>
        </w:numPr>
        <w:spacing w:after="80"/>
      </w:pPr>
      <w:r>
        <w:t xml:space="preserve">Each section below matches a sidebar tab in the dashboard, in the same order (1–6).</w:t>
      </w:r>
    </w:p>
    <w:p>
      <w:pPr>
        <w:pStyle w:val="ListParagraph"/>
        <w:numPr>
          <w:ilvl w:val="0"/>
          <w:numId w:val="2"/>
        </w:numPr>
        <w:spacing w:after="80"/>
      </w:pPr>
      <w:r>
        <w:t xml:space="preserve">All scenario flows are local illustrations, not live Azure telemetry. Validate service-specific networking, dependencies, and policy support before using this conceptual design for a real deployment.</w:t>
      </w:r>
    </w:p>
    <w:p>
      <w:pPr>
        <w:pStyle w:val="ListParagraph"/>
        <w:numPr>
          <w:ilvl w:val="0"/>
          <w:numId w:val="2"/>
        </w:numPr>
        <w:spacing w:after="80"/>
      </w:pPr>
      <w:r>
        <w:t xml:space="preserve">“SAY” lines are talking points, not a script to read verbatim — use your own words.</w:t>
      </w:r>
    </w:p>
    <w:p>
      <w:pPr>
        <w:pStyle w:val="ListParagraph"/>
        <w:numPr>
          <w:ilvl w:val="0"/>
          <w:numId w:val="2"/>
        </w:numPr>
        <w:spacing w:after="80"/>
      </w:pPr>
      <w:r>
        <w:t xml:space="preserve">“CLICK” lines tell you exactly what to click and when, so the visuals land at the right moment in your narrative.</w:t>
      </w:r>
    </w:p>
    <w:p>
      <w:pPr>
        <w:pStyle w:val="ListParagraph"/>
        <w:numPr>
          <w:ilvl w:val="0"/>
          <w:numId w:val="2"/>
        </w:numPr>
        <w:spacing w:after="80"/>
      </w:pPr>
      <w:r>
        <w:t xml:space="preserve">Total runtime ~60 minutes including discussion. Padding is built in — if a segment runs long, trim the open-ended questions, not the click sequence.</w:t>
      </w:r>
    </w:p>
    <w:p>
      <w:pPr>
        <w:spacing w:after="40" w:before="160"/>
      </w:pPr>
      <w:r>
        <w:rPr>
          <w:b/>
          <w:bCs/>
          <w:color w:val="B11F4B"/>
          <w:sz w:val="18"/>
          <w:szCs w:val="18"/>
        </w:rPr>
        <w:t xml:space="preserve">Session timing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EDEDE" w:sz="2"/>
              <w:left w:val="single" w:color="DEDEDE" w:sz="2"/>
              <w:bottom w:val="single" w:color="DEDEDE" w:sz="2"/>
              <w:right w:val="single" w:color="DEDEDE" w:sz="2"/>
            </w:tcBorders>
            <w:shd w:fill="F5F5F5" w:val="clear"/>
            <w:tcMar>
              <w:top w:type="dxa" w:w="80"/>
              <w:left w:type="dxa" w:w="120"/>
              <w:bottom w:type="dxa" w:w="80"/>
              <w:right w:type="dxa" w:w="120"/>
            </w:tcMar>
          </w:tcPr>
          <w:p>
            <w:r>
              <w:rPr>
                <w:b/>
                <w:bCs/>
              </w:rPr>
              <w:t xml:space="preserve">Time</w:t>
            </w:r>
          </w:p>
        </w:tc>
        <w:tc>
          <w:tcPr>
            <w:tcW w:type="dxa" w:w="3200"/>
            <w:tcBorders>
              <w:top w:val="single" w:color="DEDEDE" w:sz="2"/>
              <w:left w:val="single" w:color="DEDEDE" w:sz="2"/>
              <w:bottom w:val="single" w:color="DEDEDE" w:sz="2"/>
              <w:right w:val="single" w:color="DEDEDE" w:sz="2"/>
            </w:tcBorders>
            <w:shd w:fill="F5F5F5" w:val="clear"/>
            <w:tcMar>
              <w:top w:type="dxa" w:w="80"/>
              <w:left w:type="dxa" w:w="120"/>
              <w:bottom w:type="dxa" w:w="80"/>
              <w:right w:type="dxa" w:w="120"/>
            </w:tcMar>
          </w:tcPr>
          <w:p>
            <w:r>
              <w:rPr>
                <w:b/>
                <w:bCs/>
              </w:rPr>
              <w:t xml:space="preserve">Segment</w:t>
            </w:r>
          </w:p>
        </w:tc>
        <w:tc>
          <w:tcPr>
            <w:tcW w:type="dxa" w:w="4560"/>
            <w:tcBorders>
              <w:top w:val="single" w:color="DEDEDE" w:sz="2"/>
              <w:left w:val="single" w:color="DEDEDE" w:sz="2"/>
              <w:bottom w:val="single" w:color="DEDEDE" w:sz="2"/>
              <w:right w:val="single" w:color="DEDEDE" w:sz="2"/>
            </w:tcBorders>
            <w:shd w:fill="F5F5F5" w:val="clear"/>
            <w:tcMar>
              <w:top w:type="dxa" w:w="80"/>
              <w:left w:type="dxa" w:w="120"/>
              <w:bottom w:type="dxa" w:w="80"/>
              <w:right w:type="dxa" w:w="120"/>
            </w:tcMar>
          </w:tcPr>
          <w:p>
            <w:r>
              <w:rPr>
                <w:b/>
                <w:bCs/>
              </w:rPr>
              <w:t xml:space="preserve">Dashboard tab</w:t>
            </w:r>
          </w:p>
        </w:tc>
      </w:tr>
      <w:tr>
        <w:tc>
          <w:tcPr>
            <w:tcW w:type="dxa" w:w="160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0:00 – 0:05</w:t>
            </w:r>
          </w:p>
        </w:tc>
        <w:tc>
          <w:tcPr>
            <w:tcW w:type="dxa" w:w="320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Open &amp; frame the session</w:t>
            </w:r>
          </w:p>
        </w:tc>
        <w:tc>
          <w:tcPr>
            <w:tcW w:type="dxa" w:w="456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(none — opening remarks)</w:t>
            </w:r>
          </w:p>
        </w:tc>
      </w:tr>
      <w:tr>
        <w:tc>
          <w:tcPr>
            <w:tcW w:type="dxa" w:w="160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0:05 – 0:13</w:t>
            </w:r>
          </w:p>
        </w:tc>
        <w:tc>
          <w:tcPr>
            <w:tcW w:type="dxa" w:w="320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AI Landing Zone - High Level</w:t>
            </w:r>
          </w:p>
        </w:tc>
        <w:tc>
          <w:tcPr>
            <w:tcW w:type="dxa" w:w="456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Tab 1</w:t>
            </w:r>
          </w:p>
        </w:tc>
      </w:tr>
      <w:tr>
        <w:tc>
          <w:tcPr>
            <w:tcW w:type="dxa" w:w="160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0:13 – 0:25</w:t>
            </w:r>
          </w:p>
        </w:tc>
        <w:tc>
          <w:tcPr>
            <w:tcW w:type="dxa" w:w="320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Hub &amp; Spoke Landing Zones</w:t>
            </w:r>
          </w:p>
        </w:tc>
        <w:tc>
          <w:tcPr>
            <w:tcW w:type="dxa" w:w="456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Tab 2 (both sub-tabs)</w:t>
            </w:r>
          </w:p>
        </w:tc>
      </w:tr>
      <w:tr>
        <w:tc>
          <w:tcPr>
            <w:tcW w:type="dxa" w:w="160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0:25 – 0:35</w:t>
            </w:r>
          </w:p>
        </w:tc>
        <w:tc>
          <w:tcPr>
            <w:tcW w:type="dxa" w:w="320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Day-1 Services Sort</w:t>
            </w:r>
          </w:p>
        </w:tc>
        <w:tc>
          <w:tcPr>
            <w:tcW w:type="dxa" w:w="456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Tab 3</w:t>
            </w:r>
          </w:p>
        </w:tc>
      </w:tr>
      <w:tr>
        <w:tc>
          <w:tcPr>
            <w:tcW w:type="dxa" w:w="160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0:35 – 0:45</w:t>
            </w:r>
          </w:p>
        </w:tc>
        <w:tc>
          <w:tcPr>
            <w:tcW w:type="dxa" w:w="320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VNet Showdown</w:t>
            </w:r>
          </w:p>
        </w:tc>
        <w:tc>
          <w:tcPr>
            <w:tcW w:type="dxa" w:w="456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Tab 4</w:t>
            </w:r>
          </w:p>
        </w:tc>
      </w:tr>
      <w:tr>
        <w:tc>
          <w:tcPr>
            <w:tcW w:type="dxa" w:w="160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0:45 – 0:53</w:t>
            </w:r>
          </w:p>
        </w:tc>
        <w:tc>
          <w:tcPr>
            <w:tcW w:type="dxa" w:w="320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Policy Baseline</w:t>
            </w:r>
          </w:p>
        </w:tc>
        <w:tc>
          <w:tcPr>
            <w:tcW w:type="dxa" w:w="456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Tab 5</w:t>
            </w:r>
          </w:p>
        </w:tc>
      </w:tr>
      <w:tr>
        <w:tc>
          <w:tcPr>
            <w:tcW w:type="dxa" w:w="160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0:53 – 1:00</w:t>
            </w:r>
          </w:p>
        </w:tc>
        <w:tc>
          <w:tcPr>
            <w:tcW w:type="dxa" w:w="320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Decisions &amp; Parking Lot / close</w:t>
            </w:r>
          </w:p>
        </w:tc>
        <w:tc>
          <w:tcPr>
            <w:tcW w:type="dxa" w:w="4560"/>
            <w:tcBorders>
              <w:top w:val="single" w:color="DEDEDE" w:sz="2"/>
              <w:left w:val="single" w:color="DEDEDE" w:sz="2"/>
              <w:bottom w:val="single" w:color="DEDEDE" w:sz="2"/>
              <w:right w:val="single" w:color="DEDEDE" w:sz="2"/>
            </w:tcBorders>
            <w:tcMar>
              <w:top w:type="dxa" w:w="80"/>
              <w:left w:type="dxa" w:w="120"/>
              <w:bottom w:type="dxa" w:w="80"/>
              <w:right w:type="dxa" w:w="120"/>
            </w:tcMar>
          </w:tcPr>
          <w:p>
            <w:r>
              <w:t xml:space="preserve">Tab 6</w:t>
            </w:r>
          </w:p>
        </w:tc>
      </w:tr>
    </w:tbl>
    <w:p>
      <w:r>
        <w:br w:type="page"/>
      </w:r>
    </w:p>
    <w:p>
      <w:pPr>
        <w:pStyle w:val="Heading1"/>
      </w:pPr>
      <w:r>
        <w:t xml:space="preserve">Opening (5 min) — before touching the dashboard</w:t>
      </w:r>
    </w:p>
    <w:p>
      <w:pPr>
        <w:spacing w:after="40" w:before="160"/>
      </w:pPr>
      <w:r>
        <w:rPr>
          <w:b/>
          <w:bCs/>
          <w:color w:val="B11F4B"/>
          <w:sz w:val="18"/>
          <w:szCs w:val="18"/>
        </w:rPr>
        <w:t xml:space="preserve">Goal</w:t>
      </w:r>
    </w:p>
    <w:p>
      <w:pPr>
        <w:spacing w:after="120"/>
      </w:pPr>
      <w:r>
        <w:t xml:space="preserve">Frame why landing zones matter for AI specifically, and set the tone: interactive, not a lecture.</w:t>
      </w:r>
    </w:p>
    <w:p>
      <w:pPr>
        <w:spacing w:after="40" w:before="160"/>
      </w:pPr>
      <w:r>
        <w:rPr>
          <w:b/>
          <w:bCs/>
          <w:color w:val="B11F4B"/>
          <w:sz w:val="18"/>
          <w:szCs w:val="18"/>
        </w:rPr>
        <w:t xml:space="preserve">Say</w:t>
      </w:r>
    </w:p>
    <w:p>
      <w:pPr>
        <w:spacing w:after="100"/>
        <w:ind w:left="360"/>
      </w:pPr>
      <w:r>
        <w:rPr>
          <w:i/>
          <w:iCs/>
        </w:rPr>
        <w:t>“Today isn’t a slide deck. We’re going to work through the AI Landing Zone architecture together on screen, and I want you stopping me with questions as we go — this is meant to be a working session, not a presentation.”</w:t>
      </w:r>
    </w:p>
    <w:p>
      <w:pPr>
        <w:spacing w:after="100"/>
        <w:ind w:left="360"/>
      </w:pPr>
      <w:r>
        <w:rPr>
          <w:i/>
          <w:iCs/>
        </w:rPr>
        <w:t>“By the end of the hour you’ll be able to answer three things for your own environment: what goes in the hub versus the spoke, which services are actually required on day one versus optional, and what governance has to be in place before you scale past one team.”</w:t>
      </w:r>
    </w:p>
    <w:p>
      <w:pPr>
        <w:spacing w:after="40" w:before="160"/>
      </w:pPr>
      <w:r>
        <w:rPr>
          <w:b/>
          <w:bCs/>
          <w:color w:val="B11F4B"/>
          <w:sz w:val="18"/>
          <w:szCs w:val="18"/>
        </w:rPr>
        <w:t xml:space="preserve">Ask the room</w:t>
      </w:r>
    </w:p>
    <w:p>
      <w:pPr>
        <w:pStyle w:val="ListParagraph"/>
        <w:numPr>
          <w:ilvl w:val="0"/>
          <w:numId w:val="2"/>
        </w:numPr>
        <w:spacing w:after="80"/>
      </w:pPr>
      <w:r>
        <w:t xml:space="preserve">Has anyone here already stood up Azure OpenAI or Foundry in a dev/sandbox subscription? (Gauges whether you're talking to a green-field or a retrofit audience.)</w:t>
      </w:r>
    </w:p>
    <w:p>
      <w:pPr>
        <w:pStyle w:val="ListParagraph"/>
        <w:numPr>
          <w:ilvl w:val="0"/>
          <w:numId w:val="2"/>
        </w:numPr>
        <w:spacing w:after="80"/>
      </w:pPr>
      <w:r>
        <w:t xml:space="preserve">Is there already a hub-and-spoke network topology in place today for non-AI workloads? (Tells you how much of this maps to existing patterns vs. is net-new.)</w:t>
      </w:r>
    </w:p>
    <w:p>
      <w:pPr>
        <w:spacing w:after="120"/>
      </w:pPr>
      <w:r>
        <w:t xml:space="preserve">Open the dashboard and select Tab 1, AI Landing Zone - High Level. The top toolbar contains Deployment accelerator, theme, and full-screen controls. Save the accelerator visit for the close.</w:t>
      </w:r>
    </w:p>
    <w:p>
      <w:pPr>
        <w:pStyle w:val="Heading1"/>
      </w:pPr>
      <w:r>
        <w:t xml:space="preserve">1. AI Landing Zone - High Level (8 min)</w:t>
      </w:r>
    </w:p>
    <w:p>
      <w:pPr>
        <w:spacing w:after="40" w:before="160"/>
      </w:pPr>
      <w:r>
        <w:rPr>
          <w:b/>
          <w:bCs/>
          <w:color w:val="B11F4B"/>
          <w:sz w:val="18"/>
          <w:szCs w:val="18"/>
        </w:rPr>
        <w:t xml:space="preserve">Goal</w:t>
      </w:r>
    </w:p>
    <w:p>
      <w:pPr>
        <w:spacing w:after="120"/>
      </w:pPr>
      <w:r>
        <w:t xml:space="preserve">Use three minutes for the Hub &amp; Spoke Architecture, four minutes for the AI Landing Zone Blueprint, and one minute for the ownership question and transition. Establish both the request path and the platform/workload responsibility boundaries.</w:t>
      </w:r>
    </w:p>
    <w:p>
      <w:pPr>
        <w:spacing w:after="40" w:before="160"/>
      </w:pPr>
      <w:r>
        <w:rPr>
          <w:b/>
          <w:bCs/>
          <w:color w:val="B11F4B"/>
          <w:sz w:val="18"/>
          <w:szCs w:val="18"/>
        </w:rPr>
        <w:t xml:space="preserve">Say</w:t>
      </w:r>
    </w:p>
    <w:p>
      <w:pPr>
        <w:spacing w:after="100"/>
        <w:ind w:left="360"/>
      </w:pPr>
      <w:r>
        <w:rPr>
          <w:i/>
          <w:iCs/>
        </w:rPr>
        <w:t>“The first picture simplifies the access path: users, shared gateway, AI workload, and its dependencies. The blueprint below adds the foundation and ownership boundaries that make this a landing zone rather than just a model deployment.”</w:t>
      </w:r>
    </w:p>
    <w:p>
      <w:pPr>
        <w:spacing w:after="100"/>
        <w:ind w:left="360"/>
      </w:pPr>
      <w:r>
        <w:rPr>
          <w:b/>
          <w:bCs/>
          <w:color w:val="B11F4B"/>
          <w:sz w:val="18"/>
          <w:szCs w:val="18"/>
        </w:rPr>
        <w:t xml:space="preserve">CLICK: </w:t>
      </w:r>
      <w:r>
        <w:rPr>
          <w:color w:val="5C5C5C"/>
          <w:sz w:val="18"/>
          <w:szCs w:val="18"/>
        </w:rPr>
        <w:t xml:space="preserve">the “Users / On-Premises” box.</w:t>
      </w:r>
    </w:p>
    <w:p>
      <w:pPr>
        <w:spacing w:after="100"/>
        <w:ind w:left="360"/>
      </w:pPr>
      <w:r>
        <w:rPr>
          <w:i/>
          <w:iCs/>
        </w:rPr>
        <w:t>“The ExpressRoute / VPN arrow represents an established hybrid connectivity path. VNet peering connects the network environments, and private endpoints provide private service access where supported. Working private access also needs DNS, routing, permissions, and service configuration; the arrows alone do not guarantee it.”</w:t>
      </w:r>
    </w:p>
    <w:p>
      <w:pPr>
        <w:spacing w:after="100"/>
        <w:ind w:left="360"/>
      </w:pPr>
      <w:r>
        <w:rPr>
          <w:b/>
          <w:bCs/>
          <w:color w:val="B11F4B"/>
          <w:sz w:val="18"/>
          <w:szCs w:val="18"/>
        </w:rPr>
        <w:t xml:space="preserve">CLICK: </w:t>
      </w:r>
      <w:r>
        <w:rPr>
          <w:color w:val="5C5C5C"/>
          <w:sz w:val="18"/>
          <w:szCs w:val="18"/>
        </w:rPr>
        <w:t xml:space="preserve">the “AI Landing Zone for APIM — Hub” box.</w:t>
      </w:r>
    </w:p>
    <w:p>
      <w:pPr>
        <w:spacing w:after="100"/>
        <w:ind w:left="360"/>
      </w:pPr>
      <w:r>
        <w:rPr>
          <w:i/>
          <w:iCs/>
        </w:rPr>
        <w:t>“This is the gateway layer — one governed front door that every application and agent talks to. Auth, routing, and quotas live here, once, instead of being re-implemented per team.”</w:t>
      </w:r>
    </w:p>
    <w:p>
      <w:pPr>
        <w:spacing w:after="100"/>
        <w:ind w:left="360"/>
      </w:pPr>
      <w:r>
        <w:rPr>
          <w:b/>
          <w:bCs/>
          <w:color w:val="B11F4B"/>
          <w:sz w:val="18"/>
          <w:szCs w:val="18"/>
        </w:rPr>
        <w:t xml:space="preserve">CLICK: </w:t>
      </w:r>
      <w:r>
        <w:rPr>
          <w:color w:val="5C5C5C"/>
          <w:sz w:val="18"/>
          <w:szCs w:val="18"/>
        </w:rPr>
        <w:t xml:space="preserve">the “AI Landing Zone for Foundry — Spoke” box.</w:t>
      </w:r>
    </w:p>
    <w:p>
      <w:pPr>
        <w:spacing w:after="100"/>
        <w:ind w:left="360"/>
      </w:pPr>
      <w:r>
        <w:rPr>
          <w:i/>
          <w:iCs/>
        </w:rPr>
        <w:t>“This is where the actual AI workload lives — projects, agents, model deployments. Each business unit or use case gets its own spoke, but they all sit behind the same hub.”</w:t>
      </w:r>
    </w:p>
    <w:p>
      <w:pPr>
        <w:spacing w:after="100"/>
        <w:ind w:left="360"/>
      </w:pPr>
      <w:r>
        <w:rPr>
          <w:b/>
          <w:bCs/>
          <w:color w:val="B11F4B"/>
          <w:sz w:val="18"/>
          <w:szCs w:val="18"/>
        </w:rPr>
        <w:t xml:space="preserve">CLICK: </w:t>
      </w:r>
      <w:r>
        <w:rPr>
          <w:color w:val="5C5C5C"/>
          <w:sz w:val="18"/>
          <w:szCs w:val="18"/>
        </w:rPr>
        <w:t xml:space="preserve">the “Data + Dependencies” box.</w:t>
      </w:r>
    </w:p>
    <w:p>
      <w:pPr>
        <w:spacing w:after="100"/>
        <w:ind w:left="360"/>
      </w:pPr>
      <w:r>
        <w:rPr>
          <w:i/>
          <w:iCs/>
        </w:rPr>
        <w:t>“Search, Cosmos DB, Storage, and Key Vault represent possible workload dependencies. The exact requirements depend on hosting mode, model, and enterprise controls. We will compare a workshop reference baseline in the services sort.”</w:t>
      </w:r>
    </w:p>
    <w:p>
      <w:pPr>
        <w:pStyle w:val="Heading3"/>
      </w:pPr>
      <w:r>
        <w:t>AI Landing Zone Blueprint (4 min within this segment)</w:t>
      </w:r>
    </w:p>
    <w:p>
      <w:pPr>
        <w:spacing w:after="120"/>
      </w:pPr>
      <w:r>
        <w:t>Scroll to the second diagram on Tab 1. Each of its seven boxes opens an explanation below the diagram; selecting another box replaces the open explanation. Use one sentence per box rather than reading every bullet.</w:t>
      </w:r>
    </w:p>
    <w:p>
      <w:pPr>
        <w:spacing w:after="100"/>
        <w:ind w:left="360"/>
      </w:pPr>
      <w:r>
        <w:rPr>
          <w:b/>
          <w:color w:val="B11F4B"/>
        </w:rPr>
        <w:t>CLICK: Enterprise foundation.</w:t>
      </w:r>
    </w:p>
    <w:p>
      <w:pPr>
        <w:spacing w:after="100"/>
        <w:ind w:left="360"/>
      </w:pPr>
      <w:r>
        <w:rPr>
          <w:i/>
        </w:rPr>
        <w:t>“Entra identities, management groups, policy assignments, and role-based access establish the common foundation. Identity, policy, and network controls are complementary, not interchangeable.”</w:t>
      </w:r>
    </w:p>
    <w:p>
      <w:pPr>
        <w:spacing w:after="100"/>
        <w:ind w:left="360"/>
      </w:pPr>
      <w:r>
        <w:rPr>
          <w:b/>
          <w:color w:val="B11F4B"/>
        </w:rPr>
        <w:t>CLICK: Connectivity hub.</w:t>
      </w:r>
    </w:p>
    <w:p>
      <w:pPr>
        <w:spacing w:after="100"/>
        <w:ind w:left="360"/>
      </w:pPr>
      <w:r>
        <w:rPr>
          <w:i/>
        </w:rPr>
        <w:t>“The platform team provides hybrid connectivity, private DNS, routing, and egress controls. A private endpoint without correct name resolution and routing is not a working private path.”</w:t>
      </w:r>
    </w:p>
    <w:p>
      <w:pPr>
        <w:spacing w:after="100"/>
        <w:ind w:left="360"/>
      </w:pPr>
      <w:r>
        <w:rPr>
          <w:b/>
          <w:color w:val="B11F4B"/>
        </w:rPr>
        <w:t>CLICK: Shared AI gateway · APIM.</w:t>
      </w:r>
    </w:p>
    <w:p>
      <w:pPr>
        <w:spacing w:after="100"/>
        <w:ind w:left="360"/>
      </w:pPr>
      <w:r>
        <w:rPr>
          <w:i/>
        </w:rPr>
        <w:t>“This is a logical gateway hub, not necessarily a resource inside the connectivity hub VNet. It governs model requests with caller checks, routing, and limits. Its placement depends on the APIM tier and enterprise topology.”</w:t>
      </w:r>
    </w:p>
    <w:p>
      <w:pPr>
        <w:spacing w:after="100"/>
        <w:ind w:left="360"/>
      </w:pPr>
      <w:r>
        <w:rPr>
          <w:b/>
          <w:color w:val="B11F4B"/>
        </w:rPr>
        <w:t>CLICK: AI application / orchestration.</w:t>
      </w:r>
    </w:p>
    <w:p>
      <w:pPr>
        <w:spacing w:after="100"/>
        <w:ind w:left="360"/>
      </w:pPr>
      <w:r>
        <w:rPr>
          <w:i/>
        </w:rPr>
        <w:t>“The workload team owns the user experience, prompt orchestration, authorized retrieval, and tool approvals. Follow the model request from the application through APIM to Foundry; not every retrieval or tool call must use that same gateway path.”</w:t>
      </w:r>
    </w:p>
    <w:p>
      <w:pPr>
        <w:spacing w:after="100"/>
        <w:ind w:left="360"/>
      </w:pPr>
      <w:r>
        <w:rPr>
          <w:b/>
          <w:color w:val="B11F4B"/>
        </w:rPr>
        <w:t>CLICK: Microsoft Foundry.</w:t>
      </w:r>
    </w:p>
    <w:p>
      <w:pPr>
        <w:spacing w:after="100"/>
        <w:ind w:left="360"/>
      </w:pPr>
      <w:r>
        <w:rPr>
          <w:i/>
        </w:rPr>
        <w:t>“Foundry supplies project, model, and agent capabilities. A project is not automatically its own network or subscription boundary; choose those isolation boundaries deliberately.”</w:t>
      </w:r>
    </w:p>
    <w:p>
      <w:pPr>
        <w:spacing w:after="100"/>
        <w:ind w:left="360"/>
      </w:pPr>
      <w:r>
        <w:rPr>
          <w:b/>
          <w:color w:val="B11F4B"/>
        </w:rPr>
        <w:t>CLICK: Use-case-specific data and services.</w:t>
      </w:r>
    </w:p>
    <w:p>
      <w:pPr>
        <w:spacing w:after="100"/>
        <w:ind w:left="360"/>
      </w:pPr>
      <w:r>
        <w:rPr>
          <w:i/>
        </w:rPr>
        <w:t>“Search, storage, state, secrets, and tools follow the use case. A model-only workload and a stateful agent do not need identical service bundles. Network privacy does not replace document-level authorization.”</w:t>
      </w:r>
    </w:p>
    <w:p>
      <w:pPr>
        <w:spacing w:after="100"/>
        <w:ind w:left="360"/>
      </w:pPr>
      <w:r>
        <w:rPr>
          <w:b/>
          <w:color w:val="B11F4B"/>
        </w:rPr>
        <w:t>CLICK: Cross-cutting operations.</w:t>
      </w:r>
    </w:p>
    <w:p>
      <w:pPr>
        <w:spacing w:after="100"/>
        <w:ind w:left="360"/>
      </w:pPr>
      <w:r>
        <w:rPr>
          <w:i/>
        </w:rPr>
        <w:t>“Platform and workload teams share responsibility for observability, cost ownership, infrastructure as code, and security operations. Protect prompt and response data in diagnostics, and remember that a budget alert does not stop spending.”</w:t>
      </w:r>
    </w:p>
    <w:p>
      <w:pPr>
        <w:spacing w:after="40" w:before="160"/>
      </w:pPr>
      <w:r>
        <w:rPr>
          <w:b/>
          <w:bCs/>
          <w:color w:val="B11F4B"/>
          <w:sz w:val="18"/>
          <w:szCs w:val="18"/>
        </w:rPr>
        <w:t xml:space="preserve">Transition</w:t>
      </w:r>
    </w:p>
    <w:p>
      <w:pPr>
        <w:spacing w:after="120"/>
      </w:pPr>
      <w:r>
        <w:t xml:space="preserve">Ask: which team owns the shared platform, and which decisions stay with the workload team? Capture one answer, then select Tab 2, Hub &amp; Spoke Landing Zones, to zoom into the gateway and Foundry workload.</w:t>
      </w:r>
    </w:p>
    <w:p>
      <w:pPr>
        <w:pStyle w:val="Heading1"/>
      </w:pPr>
      <w:r>
        <w:t xml:space="preserve">2. Hub &amp; Spoke Landing Zones (12 min)</w:t>
      </w:r>
    </w:p>
    <w:p>
      <w:pPr>
        <w:pStyle w:val="Heading3"/>
      </w:pPr>
      <w:r>
        <w:t xml:space="preserve">Sub-tab: APIM Landing Zone — Hub</w:t>
      </w:r>
    </w:p>
    <w:p>
      <w:pPr>
        <w:spacing w:after="40" w:before="160"/>
      </w:pPr>
      <w:r>
        <w:rPr>
          <w:b/>
          <w:bCs/>
          <w:color w:val="B11F4B"/>
          <w:sz w:val="18"/>
          <w:szCs w:val="18"/>
        </w:rPr>
        <w:t xml:space="preserve">Goal</w:t>
      </w:r>
    </w:p>
    <w:p>
      <w:pPr>
        <w:spacing w:after="120"/>
      </w:pPr>
      <w:r>
        <w:t xml:space="preserve">Make the case for a single governed gateway instead of per-team API management.</w:t>
      </w:r>
    </w:p>
    <w:p>
      <w:pPr>
        <w:spacing w:after="40" w:before="160"/>
      </w:pPr>
      <w:r>
        <w:rPr>
          <w:b/>
          <w:bCs/>
          <w:color w:val="B11F4B"/>
          <w:sz w:val="18"/>
          <w:szCs w:val="18"/>
        </w:rPr>
        <w:t xml:space="preserve">Say</w:t>
      </w:r>
    </w:p>
    <w:p>
      <w:pPr>
        <w:spacing w:after="100"/>
        <w:ind w:left="360"/>
      </w:pPr>
      <w:r>
        <w:rPr>
          <w:i/>
          <w:iCs/>
        </w:rPr>
        <w:t>“Every app and every agent is a consumer of AI. Instead of each team standing up their own auth, quota, and logging, they all go through one gateway.”</w:t>
      </w:r>
    </w:p>
    <w:p>
      <w:pPr>
        <w:spacing w:after="100"/>
        <w:ind w:left="360"/>
      </w:pPr>
      <w:r>
        <w:rPr>
          <w:b/>
          <w:bCs/>
          <w:color w:val="B11F4B"/>
          <w:sz w:val="18"/>
          <w:szCs w:val="18"/>
        </w:rPr>
        <w:t xml:space="preserve">CLICK: </w:t>
      </w:r>
      <w:r>
        <w:rPr>
          <w:color w:val="5C5C5C"/>
          <w:sz w:val="18"/>
          <w:szCs w:val="18"/>
        </w:rPr>
        <w:t xml:space="preserve">the APIM Gateway box once. The internal badges belong to that same box; they are not separate controls.</w:t>
      </w:r>
    </w:p>
    <w:p>
      <w:pPr>
        <w:spacing w:after="100"/>
        <w:ind w:left="360"/>
      </w:pPr>
      <w:r>
        <w:rPr>
          <w:i/>
          <w:iCs/>
        </w:rPr>
        <w:t>“Semantic caching can avoid some model inference calls when an eligible similar response exists. It requires configuration, safe isolation, and freshness controls; embedding and cache operations can still incur cost.”</w:t>
      </w:r>
    </w:p>
    <w:p>
      <w:pPr>
        <w:spacing w:after="100"/>
        <w:ind w:left="360"/>
      </w:pPr>
      <w:r>
        <w:rPr>
          <w:b/>
          <w:bCs/>
          <w:color w:val="B11F4B"/>
          <w:sz w:val="18"/>
          <w:szCs w:val="18"/>
        </w:rPr>
        <w:t xml:space="preserve">CLICK: </w:t>
      </w:r>
      <w:r>
        <w:rPr>
          <w:color w:val="5C5C5C"/>
          <w:sz w:val="18"/>
          <w:szCs w:val="18"/>
        </w:rPr>
        <w:t xml:space="preserve">one of the “Foundry Spoke” boxes.</w:t>
      </w:r>
    </w:p>
    <w:p>
      <w:pPr>
        <w:spacing w:after="100"/>
        <w:ind w:left="360"/>
      </w:pPr>
      <w:r>
        <w:rPr>
          <w:i/>
          <w:iCs/>
        </w:rPr>
        <w:t>“New business units don’t get a bespoke integration — they attach to the same hub contract. That’s what makes this repeatable instead of a one-off project every time.”</w:t>
      </w:r>
    </w:p>
    <w:p>
      <w:pPr>
        <w:spacing w:after="100"/>
        <w:ind w:left="360"/>
      </w:pPr>
      <w:r>
        <w:rPr>
          <w:b/>
          <w:bCs/>
          <w:color w:val="B11F4B"/>
          <w:sz w:val="18"/>
          <w:szCs w:val="18"/>
        </w:rPr>
        <w:t xml:space="preserve">CLICK: </w:t>
      </w:r>
      <w:r>
        <w:rPr>
          <w:color w:val="5C5C5C"/>
          <w:sz w:val="18"/>
          <w:szCs w:val="18"/>
        </w:rPr>
        <w:t xml:space="preserve">the “Shared Services” box.</w:t>
      </w:r>
    </w:p>
    <w:p>
      <w:pPr>
        <w:spacing w:after="100"/>
        <w:ind w:left="360"/>
      </w:pPr>
      <w:r>
        <w:rPr>
          <w:i/>
          <w:iCs/>
        </w:rPr>
        <w:t>“These are shared capabilities, not a requirement to put every service in one hub VNet. Entra provides identity; Key Vault supports secrets and certificates; the logging design should support cross-service investigation with appropriate access and retention.”</w:t>
      </w:r>
    </w:p>
    <w:p>
      <w:pPr>
        <w:spacing w:after="120"/>
      </w:pPr>
      <w:r>
        <w:t xml:space="preserve">Use the request scenarios instead of reading every feature card. Spend about two minutes here within the existing twelve-minute segment.</w:t>
      </w:r>
    </w:p>
    <w:p>
      <w:pPr>
        <w:spacing w:after="100"/>
        <w:ind w:left="360"/>
      </w:pPr>
      <w:r>
        <w:rPr>
          <w:b/>
          <w:bCs/>
          <w:color w:val="B11F4B"/>
          <w:sz w:val="18"/>
          <w:szCs w:val="18"/>
        </w:rPr>
        <w:t xml:space="preserve">CLICK: </w:t>
      </w:r>
      <w:r>
        <w:rPr>
          <w:color w:val="5C5C5C"/>
          <w:sz w:val="18"/>
          <w:szCs w:val="18"/>
        </w:rPr>
        <w:t xml:space="preserve">Allowed request, Missing identity, Token rate exceeded, then Eligible cache hit under One request, different outcomes.</w:t>
      </w:r>
    </w:p>
    <w:p>
      <w:pPr>
        <w:spacing w:after="100"/>
        <w:ind w:left="360"/>
      </w:pPr>
      <w:r>
        <w:rPr>
          <w:i/>
          <w:iCs/>
        </w:rPr>
        <w:t>“These are local illustrations, not live Azure requests. Notice where the flow stops: identity failures and rate limits do not reach the model; an eligible cache hit skips model inference. The example token-rate limit returns 429, whereas a longer-period token quota returns 403.”</w:t>
      </w:r>
    </w:p>
    <w:p>
      <w:pPr>
        <w:pStyle w:val="ListParagraph"/>
        <w:numPr>
          <w:ilvl w:val="0"/>
          <w:numId w:val="2"/>
        </w:numPr>
        <w:spacing w:after="80"/>
      </w:pPr>
      <w:r>
        <w:t xml:space="preserve">Before changing the case, ask: will this request reach the model, and why?</w:t>
      </w:r>
    </w:p>
    <w:p>
      <w:pPr>
        <w:pStyle w:val="Heading3"/>
      </w:pPr>
      <w:r>
        <w:t xml:space="preserve">Sub-tab: AI Landing Zone for Foundry — Spoke</w:t>
      </w:r>
    </w:p>
    <w:p>
      <w:pPr>
        <w:spacing w:after="40" w:before="160"/>
      </w:pPr>
      <w:r>
        <w:rPr>
          <w:b/>
          <w:bCs/>
          <w:color w:val="B11F4B"/>
          <w:sz w:val="18"/>
          <w:szCs w:val="18"/>
        </w:rPr>
        <w:t xml:space="preserve">Say</w:t>
      </w:r>
    </w:p>
    <w:p>
      <w:pPr>
        <w:spacing w:after="100"/>
        <w:ind w:left="360"/>
      </w:pPr>
      <w:r>
        <w:rPr>
          <w:i/>
          <w:iCs/>
        </w:rPr>
        <w:t>“Now the workload side. This reference pattern shows a Foundry account for a business unit and private access from the gateway. Choose the actual account, project, subscription, and network boundaries according to the isolation your organization needs.”</w:t>
      </w:r>
    </w:p>
    <w:p>
      <w:pPr>
        <w:spacing w:after="100"/>
        <w:ind w:left="360"/>
      </w:pPr>
      <w:r>
        <w:rPr>
          <w:b/>
          <w:bCs/>
          <w:color w:val="B11F4B"/>
          <w:sz w:val="18"/>
          <w:szCs w:val="18"/>
        </w:rPr>
        <w:t xml:space="preserve">CLICK: </w:t>
      </w:r>
      <w:r>
        <w:rPr>
          <w:color w:val="5C5C5C"/>
          <w:sz w:val="18"/>
          <w:szCs w:val="18"/>
        </w:rPr>
        <w:t xml:space="preserve">the “Private Endpoint” box.</w:t>
      </w:r>
    </w:p>
    <w:p>
      <w:pPr>
        <w:spacing w:after="100"/>
        <w:ind w:left="360"/>
      </w:pPr>
      <w:r>
        <w:rPr>
          <w:i/>
          <w:iCs/>
        </w:rPr>
        <w:t>“This diagram assumes private access and restricted public access. Verify the selected service supports the intended path, and configure endpoints, DNS, routing, and identity permissions together. We will separate these decisions in the VNet comparison.”</w:t>
      </w:r>
    </w:p>
    <w:p>
      <w:pPr>
        <w:spacing w:after="100"/>
        <w:ind w:left="360"/>
      </w:pPr>
      <w:r>
        <w:rPr>
          <w:b/>
          <w:bCs/>
          <w:color w:val="B11F4B"/>
          <w:sz w:val="18"/>
          <w:szCs w:val="18"/>
        </w:rPr>
        <w:t xml:space="preserve">CLICK: </w:t>
      </w:r>
      <w:r>
        <w:rPr>
          <w:color w:val="5C5C5C"/>
          <w:sz w:val="18"/>
          <w:szCs w:val="18"/>
        </w:rPr>
        <w:t xml:space="preserve">the Foundry Account box once. Its internal badges are labels, not separate controls.</w:t>
      </w:r>
    </w:p>
    <w:p>
      <w:pPr>
        <w:spacing w:after="100"/>
        <w:ind w:left="360"/>
      </w:pPr>
      <w:r>
        <w:rPr>
          <w:i/>
          <w:iCs/>
        </w:rPr>
        <w:t>“Workload boundaries clarify ownership of projects, agents, model deployments, costs, and quotas. Isolation depends on the scopes and controls actually configured; cost tracking and budget alerts are not automatic spending caps.”</w:t>
      </w:r>
    </w:p>
    <w:p>
      <w:pPr>
        <w:spacing w:after="100"/>
        <w:ind w:left="360"/>
      </w:pPr>
      <w:r>
        <w:rPr>
          <w:b/>
          <w:bCs/>
          <w:color w:val="B11F4B"/>
          <w:sz w:val="18"/>
          <w:szCs w:val="18"/>
        </w:rPr>
        <w:t xml:space="preserve">CLICK: </w:t>
      </w:r>
      <w:r>
        <w:rPr>
          <w:color w:val="5C5C5C"/>
          <w:sz w:val="18"/>
          <w:szCs w:val="18"/>
        </w:rPr>
        <w:t xml:space="preserve">the three dependency boxes: AI Search, Cosmos DB, Storage + Key Vault.</w:t>
      </w:r>
    </w:p>
    <w:p>
      <w:pPr>
        <w:spacing w:after="100"/>
        <w:ind w:left="360"/>
      </w:pPr>
      <w:r>
        <w:rPr>
          <w:i/>
          <w:iCs/>
        </w:rPr>
        <w:t>“These boxes represent retrieval, state, and secrets or storage responsibilities. Exact service dependencies vary by hosting mode. Private connectivity needs endpoints, DNS, permissions, and public-network restrictions configured together.”</w:t>
      </w:r>
    </w:p>
    <w:p>
      <w:pPr>
        <w:spacing w:after="100"/>
        <w:ind w:left="360"/>
      </w:pPr>
      <w:r>
        <w:rPr>
          <w:b/>
          <w:bCs/>
          <w:color w:val="B11F4B"/>
          <w:sz w:val="18"/>
          <w:szCs w:val="18"/>
        </w:rPr>
        <w:t xml:space="preserve">CLICK: </w:t>
      </w:r>
      <w:r>
        <w:rPr>
          <w:color w:val="5C5C5C"/>
          <w:sz w:val="18"/>
          <w:szCs w:val="18"/>
        </w:rPr>
        <w:t xml:space="preserve">Model-only, Grounded answer (RAG), then Agent with tools under The workload shapes the dependencies.</w:t>
      </w:r>
    </w:p>
    <w:p>
      <w:pPr>
        <w:spacing w:after="100"/>
        <w:ind w:left="360"/>
      </w:pPr>
      <w:r>
        <w:rPr>
          <w:i/>
          <w:iCs/>
        </w:rPr>
        <w:t>“Adding retrieval adds data authorization responsibilities. Adding tools adds action permissions and potentially state. A private endpoint does not determine which documents a person may read, and citations do not guarantee correctness.”</w:t>
      </w:r>
    </w:p>
    <w:p>
      <w:pPr>
        <w:spacing w:after="40" w:before="160"/>
      </w:pPr>
      <w:r>
        <w:rPr>
          <w:b/>
          <w:bCs/>
          <w:color w:val="B11F4B"/>
          <w:sz w:val="18"/>
          <w:szCs w:val="18"/>
        </w:rPr>
        <w:t xml:space="preserve">Ask the room</w:t>
      </w:r>
    </w:p>
    <w:p>
      <w:pPr>
        <w:pStyle w:val="ListParagraph"/>
        <w:numPr>
          <w:ilvl w:val="0"/>
          <w:numId w:val="2"/>
        </w:numPr>
        <w:spacing w:after="80"/>
      </w:pPr>
      <w:r>
        <w:t xml:space="preserve">Would your organization run one spoke per business unit, or per application? Where's the line for you?</w:t>
      </w:r>
    </w:p>
    <w:p>
      <w:pPr>
        <w:spacing w:after="40" w:before="160"/>
      </w:pPr>
      <w:r>
        <w:rPr>
          <w:b/>
          <w:bCs/>
          <w:color w:val="B11F4B"/>
          <w:sz w:val="18"/>
          <w:szCs w:val="18"/>
        </w:rPr>
        <w:t xml:space="preserve">Transition</w:t>
      </w:r>
    </w:p>
    <w:p>
      <w:pPr>
        <w:spacing w:after="120"/>
      </w:pPr>
      <w:r>
        <w:t xml:space="preserve">We've talked about what's required structurally. Next let's get concrete about which specific Azure services are actually required vs. optional — this is the card sort. Click Tab 3.</w:t>
      </w:r>
    </w:p>
    <w:p>
      <w:pPr>
        <w:pStyle w:val="Heading1"/>
      </w:pPr>
      <w:r>
        <w:t xml:space="preserve">3. Day-1 Services Sort (10 min)</w:t>
      </w:r>
    </w:p>
    <w:p>
      <w:pPr>
        <w:spacing w:after="40" w:before="160"/>
      </w:pPr>
      <w:r>
        <w:rPr>
          <w:b/>
          <w:bCs/>
          <w:color w:val="B11F4B"/>
          <w:sz w:val="18"/>
          <w:szCs w:val="18"/>
        </w:rPr>
        <w:t xml:space="preserve">Goal</w:t>
      </w:r>
    </w:p>
    <w:p>
      <w:pPr>
        <w:spacing w:after="120"/>
      </w:pPr>
      <w:r>
        <w:t xml:space="preserve">Turn the abstract dependency conversation into a concrete, opinionated checklist the audience can challenge.</w:t>
      </w:r>
    </w:p>
    <w:p>
      <w:pPr>
        <w:spacing w:after="40" w:before="160"/>
      </w:pPr>
      <w:r>
        <w:rPr>
          <w:b/>
          <w:bCs/>
          <w:color w:val="B11F4B"/>
          <w:sz w:val="18"/>
          <w:szCs w:val="18"/>
        </w:rPr>
        <w:t xml:space="preserve">Say</w:t>
      </w:r>
    </w:p>
    <w:p>
      <w:pPr>
        <w:spacing w:after="100"/>
        <w:ind w:left="360"/>
      </w:pPr>
      <w:r>
        <w:rPr>
          <w:i/>
          <w:iCs/>
        </w:rPr>
        <w:t>“Twelve services, three buckets — Required, Depends, and Optional. Before I tell you the answer, let's get the room to guess. I'll drag a few, and I want you shouting out where the rest go.”</w:t>
      </w:r>
    </w:p>
    <w:p>
      <w:pPr>
        <w:spacing w:after="100"/>
        <w:ind w:left="360"/>
      </w:pPr>
      <w:r>
        <w:rPr>
          <w:b/>
          <w:bCs/>
          <w:color w:val="B11F4B"/>
          <w:sz w:val="18"/>
          <w:szCs w:val="18"/>
        </w:rPr>
        <w:t xml:space="preserve">CLICK: </w:t>
      </w:r>
      <w:r>
        <w:rPr>
          <w:color w:val="5C5C5C"/>
          <w:sz w:val="18"/>
          <w:szCs w:val="18"/>
        </w:rPr>
        <w:t xml:space="preserve">and drag 2–3 chips yourself first (e.g. Microsoft Foundry, Key Vault) to demonstrate the mechanic — they'll turn green on the correct bucket.</w:t>
      </w:r>
    </w:p>
    <w:p>
      <w:pPr>
        <w:spacing w:after="40" w:before="160"/>
      </w:pPr>
      <w:r>
        <w:rPr>
          <w:b/>
          <w:bCs/>
          <w:color w:val="B11F4B"/>
          <w:sz w:val="18"/>
          <w:szCs w:val="18"/>
        </w:rPr>
        <w:t xml:space="preserve">Ask the room</w:t>
      </w:r>
    </w:p>
    <w:p>
      <w:pPr>
        <w:pStyle w:val="ListParagraph"/>
        <w:numPr>
          <w:ilvl w:val="0"/>
          <w:numId w:val="2"/>
        </w:numPr>
        <w:spacing w:after="80"/>
      </w:pPr>
      <w:r>
        <w:t xml:space="preserve">Where does Content Safety go — required or optional? (Good debate starter: it's optional today, but many enterprises treat it as a day-one requirement for compliance reasons — call that out explicitly.)</w:t>
      </w:r>
    </w:p>
    <w:p>
      <w:pPr>
        <w:pStyle w:val="ListParagraph"/>
        <w:numPr>
          <w:ilvl w:val="0"/>
          <w:numId w:val="2"/>
        </w:numPr>
        <w:spacing w:after="80"/>
      </w:pPr>
      <w:r>
        <w:t xml:space="preserve">What about Azure Container Apps and Container Registry — required or only if you're doing what? (Answer: only if you're hosting a BYO agent runtime, not for the managed Foundry Agent Service path.)</w:t>
      </w:r>
    </w:p>
    <w:p>
      <w:pPr>
        <w:spacing w:after="120"/>
      </w:pPr>
      <w:r>
        <w:t xml:space="preserve">Let the audience (or a volunteer) drag the remaining chips. A chip turns green immediately if correct, red if not — no need to narrate that, it's self-evident.</w:t>
      </w:r>
    </w:p>
    <w:p>
      <w:pPr>
        <w:spacing w:after="100"/>
        <w:ind w:left="360"/>
      </w:pPr>
      <w:r>
        <w:rPr>
          <w:i/>
          <w:iCs/>
        </w:rPr>
        <w:t>“The Baseline match meter shows agreement among the cards we have placed. The separate placed count tells us how many of the twelve we have covered. Green means agreement with this workshop baseline, not a universal Azure requirement.”</w:t>
      </w:r>
    </w:p>
    <w:p>
      <w:pPr>
        <w:spacing w:after="120"/>
      </w:pPr>
      <w:r>
        <w:t xml:space="preserve">For keyboard or touch use, open a service card and choose its Placement dropdown instead of dragging.</w:t>
      </w:r>
    </w:p>
    <w:p>
      <w:pPr>
        <w:spacing w:after="40" w:before="160"/>
      </w:pPr>
      <w:r>
        <w:rPr>
          <w:b/>
          <w:bCs/>
          <w:color w:val="B11F4B"/>
          <w:sz w:val="18"/>
          <w:szCs w:val="18"/>
        </w:rPr>
        <w:t xml:space="preserve">Say (after all chips are placed)</w:t>
      </w:r>
    </w:p>
    <w:p>
      <w:pPr>
        <w:spacing w:after="100"/>
        <w:ind w:left="360"/>
      </w:pPr>
      <w:r>
        <w:rPr>
          <w:i/>
          <w:iCs/>
        </w:rPr>
        <w:t>“The takeaway is not memorizing this list. Five services are marked Required in this particular baseline. Different models, hosting patterns, and enterprise policies change that answer; Optional does not mean that safety controls are unnecessary.”</w:t>
      </w:r>
    </w:p>
    <w:p>
      <w:pPr>
        <w:spacing w:after="40" w:before="160"/>
      </w:pPr>
      <w:r>
        <w:rPr>
          <w:b/>
          <w:bCs/>
          <w:color w:val="B11F4B"/>
          <w:sz w:val="18"/>
          <w:szCs w:val="18"/>
        </w:rPr>
        <w:t xml:space="preserve">Transition</w:t>
      </w:r>
    </w:p>
    <w:p>
      <w:pPr>
        <w:spacing w:after="120"/>
      </w:pPr>
      <w:r>
        <w:t xml:space="preserve">One of the required services was Storage, reached via a private endpoint we mentioned in the spoke diagram. Let's dig into exactly how that private connectivity choice gets made — Tab 4, VNet Showdown.</w:t>
      </w:r>
    </w:p>
    <w:p>
      <w:pPr>
        <w:pStyle w:val="Heading1"/>
      </w:pPr>
      <w:r>
        <w:t xml:space="preserve">4. VNet Showdown (10 min)</w:t>
      </w:r>
    </w:p>
    <w:p>
      <w:pPr>
        <w:spacing w:after="40" w:before="160"/>
      </w:pPr>
      <w:r>
        <w:rPr>
          <w:b/>
          <w:bCs/>
          <w:color w:val="B11F4B"/>
          <w:sz w:val="18"/>
          <w:szCs w:val="18"/>
        </w:rPr>
        <w:t xml:space="preserve">Goal</w:t>
      </w:r>
    </w:p>
    <w:p>
      <w:pPr>
        <w:spacing w:after="120"/>
      </w:pPr>
      <w:r>
        <w:t xml:space="preserve">Explain the single biggest networking decision customers actually have to make: who manages the VNet.</w:t>
      </w:r>
    </w:p>
    <w:p>
      <w:pPr>
        <w:spacing w:after="40" w:before="160"/>
      </w:pPr>
      <w:r>
        <w:rPr>
          <w:b/>
          <w:bCs/>
          <w:color w:val="B11F4B"/>
          <w:sz w:val="18"/>
          <w:szCs w:val="18"/>
        </w:rPr>
        <w:t xml:space="preserve">Say</w:t>
      </w:r>
    </w:p>
    <w:p>
      <w:pPr>
        <w:spacing w:after="100"/>
        <w:ind w:left="360"/>
      </w:pPr>
      <w:r>
        <w:rPr>
          <w:i/>
          <w:iCs/>
        </w:rPr>
        <w:t>“There are two ways to get Foundry onto a private network path, and the toggle at the top switches between them.”</w:t>
      </w:r>
    </w:p>
    <w:p>
      <w:pPr>
        <w:spacing w:after="100"/>
        <w:ind w:left="360"/>
      </w:pPr>
      <w:r>
        <w:rPr>
          <w:b/>
          <w:bCs/>
          <w:color w:val="B11F4B"/>
          <w:sz w:val="18"/>
          <w:szCs w:val="18"/>
        </w:rPr>
        <w:t xml:space="preserve">CLICK: </w:t>
      </w:r>
      <w:r>
        <w:rPr>
          <w:color w:val="5C5C5C"/>
          <w:sz w:val="18"/>
          <w:szCs w:val="18"/>
        </w:rPr>
        <w:t xml:space="preserve">the “Microsoft-Managed” toggle (default state).</w:t>
      </w:r>
    </w:p>
    <w:p>
      <w:pPr>
        <w:spacing w:after="100"/>
        <w:ind w:left="360"/>
      </w:pPr>
      <w:r>
        <w:rPr>
          <w:i/>
          <w:iCs/>
        </w:rPr>
        <w:t>“Microsoft handles the subnet range, IP allocation, and delegation for you. Fastest path to private connectivity, lowest operational burden — but you give up the ability to bring your own firewall for outbound traffic inspection.”</w:t>
      </w:r>
    </w:p>
    <w:p>
      <w:pPr>
        <w:spacing w:after="100"/>
        <w:ind w:left="360"/>
      </w:pPr>
      <w:r>
        <w:rPr>
          <w:b/>
          <w:bCs/>
          <w:color w:val="B11F4B"/>
          <w:sz w:val="18"/>
          <w:szCs w:val="18"/>
        </w:rPr>
        <w:t xml:space="preserve">CLICK: </w:t>
      </w:r>
      <w:r>
        <w:rPr>
          <w:color w:val="5C5C5C"/>
          <w:sz w:val="18"/>
          <w:szCs w:val="18"/>
        </w:rPr>
        <w:t xml:space="preserve">the “Customer-Managed (BYO)” toggle.</w:t>
      </w:r>
    </w:p>
    <w:p>
      <w:pPr>
        <w:spacing w:after="100"/>
        <w:ind w:left="360"/>
      </w:pPr>
      <w:r>
        <w:rPr>
          <w:i/>
          <w:iCs/>
        </w:rPr>
        <w:t>“Follow ExpressRoute / VPN into the customer VNet boundary. Inside it are two different subnets: the agent subnet is delegated to Microsoft.App/environments for hosted Micro VMs and project data proxies; the nondelegated private endpoint subnet holds the private endpoint NICs. Those endpoints connect to managed data services outside the VNet. They are not the same subnet.”</w:t>
      </w:r>
    </w:p>
    <w:p>
      <w:pPr>
        <w:spacing w:after="120"/>
      </w:pPr>
      <w:r>
        <w:t xml:space="preserve">Point to Injection, Private access, and Private Link. The boxes are illustrative, not clickable detail controls. Both subnets are shown in one VNet; private endpoints can also be reached in a peered VNet with appropriate routing and DNS. If Azure Firewall is used, it lives in its own AzureFirewallSubnet, often in the hub, not in the agent subnet. Private endpoint traffic is not automatically inspected by that firewall. Compare the bullet lists and validate sizing, delegation, routes, and capability configuration for the selected runtime.</w:t>
      </w:r>
    </w:p>
    <w:p>
      <w:pPr>
        <w:spacing w:after="40" w:before="160"/>
      </w:pPr>
      <w:r>
        <w:rPr>
          <w:b/>
          <w:bCs/>
          <w:color w:val="B11F4B"/>
          <w:sz w:val="18"/>
          <w:szCs w:val="18"/>
        </w:rPr>
        <w:t xml:space="preserve">Say (comparing the two networking options)</w:t>
      </w:r>
    </w:p>
    <w:p>
      <w:pPr>
        <w:spacing w:after="100"/>
        <w:ind w:left="360"/>
      </w:pPr>
      <w:r>
        <w:rPr>
          <w:i/>
          <w:iCs/>
        </w:rPr>
        <w:t>“Private connectivity alone does not force a customer-managed runtime VNet. Evaluate BYO for customer-controlled routing, inspection, or existing-network integration, and verify supported inbound and outbound paths for the selected service and deployment mode. Encryption key ownership is a separate decision.”</w:t>
      </w:r>
    </w:p>
    <w:p>
      <w:pPr>
        <w:spacing w:after="100"/>
        <w:ind w:left="360"/>
      </w:pPr>
      <w:r>
        <w:rPr>
          <w:i/>
          <w:iCs/>
        </w:rPr>
        <w:t>“One thing that doesn't change either way — the enterprise perimeter, ER/VPN, DNS, and firewall at the hub stay customer-owned regardless of which model you pick for the Foundry runtime layer.”</w:t>
      </w:r>
    </w:p>
    <w:p>
      <w:pPr>
        <w:spacing w:after="40" w:before="160"/>
      </w:pPr>
      <w:r>
        <w:rPr>
          <w:b/>
          <w:bCs/>
          <w:color w:val="B11F4B"/>
          <w:sz w:val="18"/>
          <w:szCs w:val="18"/>
        </w:rPr>
        <w:t xml:space="preserve">Ask the room</w:t>
      </w:r>
    </w:p>
    <w:p>
      <w:pPr>
        <w:pStyle w:val="ListParagraph"/>
        <w:numPr>
          <w:ilvl w:val="0"/>
          <w:numId w:val="2"/>
        </w:numPr>
        <w:spacing w:after="80"/>
      </w:pPr>
      <w:r>
        <w:t xml:space="preserve">Which requirement drives your network choice: private reachability, controlled egress, existing-network integration, or environment isolation? What needs validation before selecting a mode?</w:t>
      </w:r>
    </w:p>
    <w:p>
      <w:pPr>
        <w:spacing w:after="40" w:before="160"/>
      </w:pPr>
      <w:r>
        <w:rPr>
          <w:b/>
          <w:bCs/>
          <w:color w:val="B11F4B"/>
          <w:sz w:val="18"/>
          <w:szCs w:val="18"/>
        </w:rPr>
        <w:t xml:space="preserve">Transition</w:t>
      </w:r>
    </w:p>
    <w:p>
      <w:pPr>
        <w:spacing w:after="120"/>
      </w:pPr>
      <w:r>
        <w:t xml:space="preserve">Whichever networking model you choose, it still has to sit inside a governed subscription structure. Let's close out the architecture conversation with policy — Tab 5.</w:t>
      </w:r>
    </w:p>
    <w:p>
      <w:pPr>
        <w:pStyle w:val="Heading1"/>
      </w:pPr>
      <w:r>
        <w:t xml:space="preserve">5. Policy Baseline (8 min)</w:t>
      </w:r>
    </w:p>
    <w:p>
      <w:pPr>
        <w:spacing w:after="40" w:before="160"/>
      </w:pPr>
      <w:r>
        <w:rPr>
          <w:b/>
          <w:bCs/>
          <w:color w:val="B11F4B"/>
          <w:sz w:val="18"/>
          <w:szCs w:val="18"/>
        </w:rPr>
        <w:t xml:space="preserve">Goal</w:t>
      </w:r>
    </w:p>
    <w:p>
      <w:pPr>
        <w:spacing w:after="120"/>
      </w:pPr>
      <w:r>
        <w:t xml:space="preserve">Show that governance is inherited from one place, not configured service-by-service.</w:t>
      </w:r>
    </w:p>
    <w:p>
      <w:pPr>
        <w:spacing w:after="40" w:before="160"/>
      </w:pPr>
      <w:r>
        <w:rPr>
          <w:b/>
          <w:bCs/>
          <w:color w:val="B11F4B"/>
          <w:sz w:val="18"/>
          <w:szCs w:val="18"/>
        </w:rPr>
        <w:t xml:space="preserve">Say</w:t>
      </w:r>
    </w:p>
    <w:p>
      <w:pPr>
        <w:spacing w:after="100"/>
        <w:ind w:left="360"/>
      </w:pPr>
      <w:r>
        <w:rPr>
          <w:i/>
          <w:iCs/>
        </w:rPr>
        <w:t>“This is the inheritance chain — policy assigned at the top of this pyramid flows down to everything nested inside it, automatically.”</w:t>
      </w:r>
    </w:p>
    <w:p>
      <w:pPr>
        <w:spacing w:after="100"/>
        <w:ind w:left="360"/>
      </w:pPr>
      <w:r>
        <w:rPr>
          <w:b/>
          <w:bCs/>
          <w:color w:val="B11F4B"/>
          <w:sz w:val="18"/>
          <w:szCs w:val="18"/>
        </w:rPr>
        <w:t xml:space="preserve">CLICK: </w:t>
      </w:r>
      <w:r>
        <w:rPr>
          <w:color w:val="5C5C5C"/>
          <w:sz w:val="18"/>
          <w:szCs w:val="18"/>
        </w:rPr>
        <w:t xml:space="preserve">the “Management Group (AI subscriptions)” box.</w:t>
      </w:r>
    </w:p>
    <w:p>
      <w:pPr>
        <w:spacing w:after="100"/>
        <w:ind w:left="360"/>
      </w:pPr>
      <w:r>
        <w:rPr>
          <w:i/>
          <w:iCs/>
        </w:rPr>
        <w:t>“This is the one-time investment that makes everything else consistent. Assign policy here once, and it applies to every AI subscription without per-subscription configuration.”</w:t>
      </w:r>
    </w:p>
    <w:p>
      <w:pPr>
        <w:spacing w:after="100"/>
        <w:ind w:left="360"/>
      </w:pPr>
      <w:r>
        <w:rPr>
          <w:b/>
          <w:bCs/>
          <w:color w:val="B11F4B"/>
          <w:sz w:val="18"/>
          <w:szCs w:val="18"/>
        </w:rPr>
        <w:t xml:space="preserve">CLICK: </w:t>
      </w:r>
      <w:r>
        <w:rPr>
          <w:color w:val="5C5C5C"/>
          <w:sz w:val="18"/>
          <w:szCs w:val="18"/>
        </w:rPr>
        <w:t xml:space="preserve">through “Subscriptions,” “AI Landing Zone,” and “Foundry Deployment” in order.</w:t>
      </w:r>
    </w:p>
    <w:p>
      <w:pPr>
        <w:spacing w:after="100"/>
        <w:ind w:left="360"/>
      </w:pPr>
      <w:r>
        <w:rPr>
          <w:i/>
          <w:iCs/>
        </w:rPr>
        <w:t>“As you go down, the policy gets more specific — subscription boundaries, then workload-specific compliance for APIM and Foundry together, then per-model and per-project telemetry at the bottom.”</w:t>
      </w:r>
    </w:p>
    <w:p>
      <w:pPr>
        <w:spacing w:after="120"/>
      </w:pPr>
      <w:r>
        <w:t xml:space="preserve">Clarify that a landing zone is not itself an Azure Policy assignment scope. The actual scopes are management group, subscription, resource group, and resource. Inheritance is limited to the assignment subtree, with applicable exclusions and exemptions.</w:t>
      </w:r>
    </w:p>
    <w:p>
      <w:pPr>
        <w:spacing w:after="120"/>
      </w:pPr>
      <w:r>
        <w:t xml:space="preserve">Walk the five governance controls as a checklist — check a few off live to show the interaction, and connect each one back to the inheritance level it belongs to:</w:t>
      </w:r>
    </w:p>
    <w:p>
      <w:pPr>
        <w:pStyle w:val="ListParagraph"/>
        <w:numPr>
          <w:ilvl w:val="0"/>
          <w:numId w:val="2"/>
        </w:numPr>
        <w:spacing w:after="80"/>
      </w:pPr>
      <w:r>
        <w:t xml:space="preserve">Dedicated management group — belongs at the top of the pyramid.</w:t>
      </w:r>
    </w:p>
    <w:p>
      <w:pPr>
        <w:pStyle w:val="ListParagraph"/>
        <w:numPr>
          <w:ilvl w:val="0"/>
          <w:numId w:val="2"/>
        </w:numPr>
        <w:spacing w:after="80"/>
      </w:pPr>
      <w:r>
        <w:t xml:space="preserve">Azure Policy at MG scope — same level; this is what “allow only approved models” actually means in practice.</w:t>
      </w:r>
    </w:p>
    <w:p>
      <w:pPr>
        <w:pStyle w:val="ListParagraph"/>
        <w:numPr>
          <w:ilvl w:val="0"/>
          <w:numId w:val="2"/>
        </w:numPr>
        <w:spacing w:after="80"/>
      </w:pPr>
      <w:r>
        <w:t xml:space="preserve">Disable local (key) authentication — enforced at the subscription level, closes the biggest identity gap (keys aren't attributable, bypass Conditional Access).</w:t>
      </w:r>
    </w:p>
    <w:p>
      <w:pPr>
        <w:pStyle w:val="ListParagraph"/>
        <w:numPr>
          <w:ilvl w:val="0"/>
          <w:numId w:val="2"/>
        </w:numPr>
        <w:spacing w:after="80"/>
      </w:pPr>
      <w:r>
        <w:t xml:space="preserve">Use built-in policy initiatives first — at the landing zone level, before anyone writes custom policy.</w:t>
      </w:r>
    </w:p>
    <w:p>
      <w:pPr>
        <w:pStyle w:val="ListParagraph"/>
        <w:numPr>
          <w:ilvl w:val="0"/>
          <w:numId w:val="2"/>
        </w:numPr>
        <w:spacing w:after="80"/>
      </w:pPr>
      <w:r>
        <w:t xml:space="preserve">One shared Log Analytics workspace per environment tier — at the deployment level, and it's what makes cross-service audit joins possible later.</w:t>
      </w:r>
    </w:p>
    <w:p>
      <w:pPr>
        <w:spacing w:after="100"/>
        <w:ind w:left="360"/>
      </w:pPr>
      <w:r>
        <w:rPr>
          <w:b/>
          <w:bCs/>
          <w:color w:val="B11F4B"/>
          <w:sz w:val="18"/>
          <w:szCs w:val="18"/>
        </w:rPr>
        <w:t xml:space="preserve">CLICK: </w:t>
      </w:r>
      <w:r>
        <w:rPr>
          <w:color w:val="5C5C5C"/>
          <w:sz w:val="18"/>
          <w:szCs w:val="18"/>
        </w:rPr>
        <w:t xml:space="preserve">Audit / public access, then Deny / public access, then Deny / private configuration under Audit is not enforcement.</w:t>
      </w:r>
    </w:p>
    <w:p>
      <w:pPr>
        <w:spacing w:after="100"/>
        <w:ind w:left="360"/>
      </w:pPr>
      <w:r>
        <w:rPr>
          <w:i/>
          <w:iCs/>
        </w:rPr>
        <w:t>“Audit makes non-compliance visible; deny blocks a matching create or update request. Neither automatically fixes every existing resource. Passing this policy is not proof that DNS, endpoints, identities, and every other control are correct.”</w:t>
      </w:r>
    </w:p>
    <w:p>
      <w:pPr>
        <w:spacing w:after="120"/>
      </w:pPr>
      <w:r>
        <w:t xml:space="preserve">Use these cases for two minutes within the eight-minute segment, replacing a detailed readout of the checklist. The checklist records discussion selections, not live compliance evidence.</w:t>
      </w:r>
    </w:p>
    <w:p>
      <w:pPr>
        <w:spacing w:after="40" w:before="160"/>
      </w:pPr>
      <w:r>
        <w:rPr>
          <w:b/>
          <w:bCs/>
          <w:color w:val="B11F4B"/>
          <w:sz w:val="18"/>
          <w:szCs w:val="18"/>
        </w:rPr>
        <w:t xml:space="preserve">Ask the room</w:t>
      </w:r>
    </w:p>
    <w:p>
      <w:pPr>
        <w:pStyle w:val="ListParagraph"/>
        <w:numPr>
          <w:ilvl w:val="0"/>
          <w:numId w:val="2"/>
        </w:numPr>
        <w:spacing w:after="80"/>
      </w:pPr>
      <w:r>
        <w:t xml:space="preserve">Do you already have a dedicated management group for AI, or would this be net-new in your tenant?</w:t>
      </w:r>
    </w:p>
    <w:p>
      <w:pPr>
        <w:spacing w:after="40" w:before="160"/>
      </w:pPr>
      <w:r>
        <w:rPr>
          <w:b/>
          <w:bCs/>
          <w:color w:val="B11F4B"/>
          <w:sz w:val="18"/>
          <w:szCs w:val="18"/>
        </w:rPr>
        <w:t xml:space="preserve">Transition</w:t>
      </w:r>
    </w:p>
    <w:p>
      <w:pPr>
        <w:spacing w:after="120"/>
      </w:pPr>
      <w:r>
        <w:t xml:space="preserve">That's the full architecture — map, hub, spoke, services, networking, governance. Let's turn this into decisions before we close. Tab 6.</w:t>
      </w:r>
    </w:p>
    <w:p>
      <w:pPr>
        <w:pStyle w:val="Heading1"/>
      </w:pPr>
      <w:r>
        <w:t xml:space="preserve">6. Decisions &amp; Parking Lot (7 min)</w:t>
      </w:r>
    </w:p>
    <w:p>
      <w:pPr>
        <w:spacing w:after="40" w:before="160"/>
      </w:pPr>
      <w:r>
        <w:rPr>
          <w:b/>
          <w:bCs/>
          <w:color w:val="B11F4B"/>
          <w:sz w:val="18"/>
          <w:szCs w:val="18"/>
        </w:rPr>
        <w:t xml:space="preserve">Goal</w:t>
      </w:r>
    </w:p>
    <w:p>
      <w:pPr>
        <w:spacing w:after="120"/>
      </w:pPr>
      <w:r>
        <w:t xml:space="preserve">Spend four minutes capturing decisions, two minutes connecting them to the Deployment accelerator, and one minute exporting and closing. Keep the total session at 60 minutes; the accelerator replaces part of the wrap-up, not an extra segment.</w:t>
      </w:r>
    </w:p>
    <w:p>
      <w:pPr>
        <w:spacing w:after="40" w:before="160"/>
      </w:pPr>
      <w:r>
        <w:rPr>
          <w:b/>
          <w:bCs/>
          <w:color w:val="B11F4B"/>
          <w:sz w:val="18"/>
          <w:szCs w:val="18"/>
        </w:rPr>
        <w:t xml:space="preserve">Say</w:t>
      </w:r>
    </w:p>
    <w:p>
      <w:pPr>
        <w:spacing w:after="100"/>
        <w:ind w:left="360"/>
      </w:pPr>
      <w:r>
        <w:rPr>
          <w:i/>
          <w:iCs/>
        </w:rPr>
        <w:t>“Let's fill this in together right now, live. Left column is a decision you're ready to make today. Right column is an open question we're parking for follow-up — not blocking, just tracked.”</w:t>
      </w:r>
    </w:p>
    <w:p>
      <w:pPr>
        <w:spacing w:after="120"/>
      </w:pPr>
      <w:r>
        <w:t xml:space="preserve">Drive this as open floor discussion. Type into the dashboard as the room calls things out. Notes save in this browser when storage is available; watch for the visible save status and export before closing or switching browsers.</w:t>
      </w:r>
    </w:p>
    <w:p>
      <w:pPr>
        <w:spacing w:after="40" w:before="160"/>
      </w:pPr>
      <w:r>
        <w:rPr>
          <w:b/>
          <w:bCs/>
          <w:color w:val="B11F4B"/>
          <w:sz w:val="18"/>
          <w:szCs w:val="18"/>
        </w:rPr>
        <w:t xml:space="preserve">Prompt if the room is quiet</w:t>
      </w:r>
    </w:p>
    <w:p>
      <w:pPr>
        <w:pStyle w:val="ListParagraph"/>
        <w:numPr>
          <w:ilvl w:val="0"/>
          <w:numId w:val="2"/>
        </w:numPr>
        <w:spacing w:after="80"/>
      </w:pPr>
      <w:r>
        <w:t xml:space="preserve">A decision: “We'll adopt APIM as our AI gateway hub” or “We'll start Microsoft-managed VNet and revisit BYO later.”</w:t>
      </w:r>
    </w:p>
    <w:p>
      <w:pPr>
        <w:pStyle w:val="ListParagraph"/>
        <w:numPr>
          <w:ilvl w:val="0"/>
          <w:numId w:val="2"/>
        </w:numPr>
        <w:spacing w:after="80"/>
      </w:pPr>
      <w:r>
        <w:t xml:space="preserve">A parking-lot question: “Who owns the MG-scope policy assignment in our org?” or “Which delegated subnet size, routes, and private DNS configuration does our chosen runtime require?”</w:t>
      </w:r>
    </w:p>
    <w:p>
      <w:pPr>
        <w:spacing w:after="40" w:before="160"/>
      </w:pPr>
      <w:r>
        <w:rPr>
          <w:b/>
          <w:bCs/>
          <w:color w:val="B11F4B"/>
          <w:sz w:val="18"/>
          <w:szCs w:val="18"/>
        </w:rPr>
        <w:t xml:space="preserve">Bridge to implementation (2 min within the close)</w:t>
      </w:r>
    </w:p>
    <w:p>
      <w:pPr>
        <w:spacing w:after="100"/>
        <w:ind w:left="360"/>
      </w:pPr>
      <w:r>
        <w:rPr>
          <w:b/>
          <w:color w:val="B11F4B"/>
        </w:rPr>
        <w:t>CLICK: Deployment accelerator in the top toolbar.</w:t>
      </w:r>
    </w:p>
    <w:p>
      <w:pPr>
        <w:spacing w:after="120"/>
      </w:pPr>
      <w:r>
        <w:t>The button opens the AI Gateway Landing Zone section in a new tab. Keep this to a brief orientation; the dashboard remains open with its current decisions.</w:t>
      </w:r>
    </w:p>
    <w:p>
      <w:pPr>
        <w:spacing w:after="120"/>
      </w:pPr>
      <w:hyperlink r:id="rIdAccelerator">
        <w:r>
          <w:rPr>
            <w:rStyle w:val="Hyperlink"/>
          </w:rPr>
          <w:t>AI Landing Zones accelerator - AI Gateway Landing Zone</w:t>
        </w:r>
      </w:hyperlink>
    </w:p>
    <w:p>
      <w:pPr>
        <w:spacing w:after="100"/>
        <w:ind w:left="360"/>
      </w:pPr>
      <w:r>
        <w:rPr>
          <w:i/>
        </w:rPr>
        <w:t>“This is the bridge from our design conversation to an implementation starting point. Review the accelerator against your subscription, identity, network, governance, and cost requirements. Opening this page creates no Azure resources; deployment is a separate, approved activity.”</w:t>
      </w:r>
    </w:p>
    <w:p>
      <w:pPr>
        <w:spacing w:after="120"/>
      </w:pPr>
      <w:r>
        <w:t>Ask who will own a readiness review and a scoped pilot. If internet access is unavailable, skip the external page and capture that action in the parking lot. Return to the dashboard tab before exporting.</w:t>
      </w:r>
    </w:p>
    <w:p>
      <w:pPr>
        <w:spacing w:after="40" w:before="160"/>
      </w:pPr>
      <w:r>
        <w:rPr>
          <w:b/>
          <w:color w:val="B11F4B"/>
        </w:rPr>
        <w:t>Export and close (1 min)</w:t>
      </w:r>
    </w:p>
    <w:p>
      <w:pPr>
        <w:spacing w:after="100"/>
        <w:ind w:left="360"/>
      </w:pPr>
      <w:r>
        <w:rPr>
          <w:b/>
          <w:bCs/>
          <w:color w:val="B11F4B"/>
          <w:sz w:val="18"/>
          <w:szCs w:val="18"/>
        </w:rPr>
        <w:t xml:space="preserve">CLICK: </w:t>
      </w:r>
      <w:r>
        <w:rPr>
          <w:color w:val="5C5C5C"/>
          <w:sz w:val="18"/>
          <w:szCs w:val="18"/>
        </w:rPr>
        <w:t xml:space="preserve">Export decisions to download the recorded decisions and questions as a plain-text file.</w:t>
      </w:r>
    </w:p>
    <w:p>
      <w:pPr>
        <w:spacing w:after="100"/>
        <w:ind w:left="360"/>
      </w:pPr>
      <w:r>
        <w:rPr>
          <w:i/>
          <w:iCs/>
        </w:rPr>
        <w:t>“This is the output specific to your environment. Notes stay in this browser unless exported; they are not a shared online record. If a storage warning appears, keep the page open and export before closing.”</w:t>
      </w:r>
    </w:p>
    <w:p>
      <w:pPr>
        <w:spacing w:after="120"/>
      </w:pPr>
      <w:r>
        <w:t xml:space="preserve">Thank the room, restate the three takeaways from the opening (hub vs. spoke, required vs. optional services, governance inherited from one place), and open the floor for any remaining questions.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424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11F4B" w:sz="6" w:space="4"/>
      </w:pBdr>
      <w:spacing w:after="160" w:before="320"/>
      <w:outlineLvl w:val="0"/>
    </w:pPr>
    <w:rPr>
      <w:rFonts w:ascii="Segoe UI" w:cs="Segoe UI" w:eastAsia="Segoe UI" w:hAnsi="Segoe UI"/>
      <w:b/>
      <w:bCs/>
      <w:color w:val="B11F4B"/>
      <w:sz w:val="32"/>
      <w:szCs w:val="32"/>
    </w:rPr>
  </w:style>
  <w:style w:type="paragraph" w:styleId="Heading2">
    <w:name w:val="Heading 2"/>
    <w:basedOn w:val="Normal"/>
    <w:next w:val="Normal"/>
    <w:qFormat/>
    <w:pPr>
      <w:spacing w:after="120" w:before="240"/>
      <w:outlineLvl w:val="1"/>
    </w:pPr>
    <w:rPr>
      <w:rFonts w:ascii="Segoe UI" w:cs="Segoe UI" w:eastAsia="Segoe UI" w:hAnsi="Segoe UI"/>
      <w:b/>
      <w:bCs/>
      <w:color w:val="242424"/>
      <w:sz w:val="26"/>
      <w:szCs w:val="26"/>
    </w:rPr>
  </w:style>
  <w:style w:type="paragraph" w:styleId="Heading3">
    <w:name w:val="Heading 3"/>
    <w:basedOn w:val="Normal"/>
    <w:next w:val="Normal"/>
    <w:qFormat/>
    <w:pPr>
      <w:spacing w:after="80" w:before="160"/>
      <w:outlineLvl w:val="2"/>
    </w:pPr>
    <w:rPr>
      <w:rFonts w:ascii="Segoe UI" w:cs="Segoe UI" w:eastAsia="Segoe UI" w:hAnsi="Segoe UI"/>
      <w:b/>
      <w:bCs/>
      <w:color w:val="2424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DashboardLive" Type="http://schemas.openxmlformats.org/officeDocument/2006/relationships/hyperlink" Target="https://thankful-ground-035389910.3.azurestaticapps.net" TargetMode="External"/><Relationship Id="rIdAccelerator" Type="http://schemas.openxmlformats.org/officeDocument/2006/relationships/hyperlink" Target="https://azure.github.io/AI-Landing-Zones/#ai-gateway-landing-zone"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2026-09-30T17:02:45.972Z</dcterms:created>
  <dcterms:modified xsi:type="dcterms:W3CDTF">2026-09-30T17:02:45.973Z</dcterms:modified>
</cp:coreProperties>
</file>

<file path=docProps/custom.xml><?xml version="1.0" encoding="utf-8"?>
<Properties xmlns="http://schemas.openxmlformats.org/officeDocument/2006/custom-properties" xmlns:vt="http://schemas.openxmlformats.org/officeDocument/2006/docPropsVTypes"/>
</file>