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rPr>
          <w:rFonts w:ascii="Calibri" w:hAnsi="Calibri" w:eastAsia="Calibri"/>
          <w:b/>
          <w:i w:val="0"/>
          <w:color w:val="F5A200"/>
          <w:sz w:val="22"/>
        </w:rPr>
        <w:t>ORDINAL STUDIO</w:t>
      </w:r>
    </w:p>
    <w:p>
      <w:pPr>
        <w:spacing w:after="560" w:before="0" w:line="276" w:lineRule="auto"/>
        <w:jc w:val="left"/>
      </w:pPr>
      <w:r>
        <w:rPr>
          <w:rFonts w:ascii="Calibri" w:hAnsi="Calibri" w:eastAsia="Calibri"/>
          <w:b w:val="0"/>
          <w:i w:val="0"/>
          <w:color w:val="5A5A5A"/>
          <w:sz w:val="20"/>
        </w:rPr>
        <w:t>Data Storytelling &amp; Interactive Impact Experiences</w:t>
      </w:r>
    </w:p>
    <w:p>
      <w:pPr>
        <w:spacing w:after="120" w:before="0" w:line="276" w:lineRule="auto"/>
        <w:jc w:val="left"/>
      </w:pPr>
      <w:r>
        <w:rPr>
          <w:rFonts w:ascii="Calibri" w:hAnsi="Calibri" w:eastAsia="Calibri"/>
          <w:b/>
          <w:i w:val="0"/>
          <w:color w:val="F5A200"/>
          <w:sz w:val="24"/>
        </w:rPr>
        <w:t>PROPOSAL</w:t>
      </w:r>
    </w:p>
    <w:p>
      <w:pPr>
        <w:spacing w:after="280" w:before="0" w:line="276" w:lineRule="auto"/>
        <w:jc w:val="left"/>
      </w:pPr>
      <w:r>
        <w:rPr>
          <w:rFonts w:ascii="Calibri" w:hAnsi="Calibri" w:eastAsia="Calibri"/>
          <w:b/>
          <w:i w:val="0"/>
          <w:color w:val="081F52"/>
          <w:sz w:val="44"/>
        </w:rPr>
        <w:t>One Choice at a Time:</w:t>
        <w:br/>
        <w:t>An Interactive Impact Storytelling Pilot for the Educated Choices Program</w:t>
      </w:r>
    </w:p>
    <w:p>
      <w:pPr>
        <w:spacing w:after="360" w:before="0" w:line="276" w:lineRule="auto"/>
        <w:jc w:val="left"/>
      </w:pPr>
      <w:r>
        <w:rPr>
          <w:rFonts w:ascii="Calibri" w:hAnsi="Calibri" w:eastAsia="Calibri"/>
          <w:b w:val="0"/>
          <w:i/>
          <w:color w:val="5A5A5A"/>
          <w:sz w:val="24"/>
        </w:rPr>
        <w:t>A bilingual scrollytelling experience designed to help funders understand ECP’s impact — and feel compelled to support the next chapter.</w:t>
      </w:r>
    </w:p>
    <w:p>
      <w:pPr>
        <w:spacing w:after="60"/>
      </w:pPr>
      <w:r>
        <w:rPr>
          <w:rFonts w:ascii="Calibri" w:hAnsi="Calibri" w:eastAsia="Calibri"/>
          <w:b/>
          <w:color w:val="5A5A5A"/>
          <w:sz w:val="20"/>
        </w:rPr>
        <w:t xml:space="preserve">Prepared for: </w:t>
      </w:r>
      <w:r>
        <w:rPr>
          <w:rFonts w:ascii="Calibri" w:hAnsi="Calibri" w:eastAsia="Calibri"/>
          <w:b w:val="0"/>
          <w:color w:val="2A2A2A"/>
          <w:sz w:val="20"/>
        </w:rPr>
        <w:t>Educated Choices Program (ECP)</w:t>
      </w:r>
    </w:p>
    <w:p>
      <w:pPr>
        <w:spacing w:after="60"/>
      </w:pPr>
      <w:r>
        <w:rPr>
          <w:rFonts w:ascii="Calibri" w:hAnsi="Calibri" w:eastAsia="Calibri"/>
          <w:b/>
          <w:color w:val="5A5A5A"/>
          <w:sz w:val="20"/>
        </w:rPr>
        <w:t xml:space="preserve">Prepared by: </w:t>
      </w:r>
      <w:r>
        <w:rPr>
          <w:rFonts w:ascii="Calibri" w:hAnsi="Calibri" w:eastAsia="Calibri"/>
          <w:b w:val="0"/>
          <w:color w:val="2A2A2A"/>
          <w:sz w:val="20"/>
        </w:rPr>
        <w:t>Ordinal Studio</w:t>
      </w:r>
    </w:p>
    <w:p>
      <w:pPr>
        <w:spacing w:after="60"/>
      </w:pPr>
      <w:r>
        <w:rPr>
          <w:rFonts w:ascii="Calibri" w:hAnsi="Calibri" w:eastAsia="Calibri"/>
          <w:b/>
          <w:color w:val="5A5A5A"/>
          <w:sz w:val="20"/>
        </w:rPr>
        <w:t xml:space="preserve">Document type: </w:t>
      </w:r>
      <w:r>
        <w:rPr>
          <w:rFonts w:ascii="Calibri" w:hAnsi="Calibri" w:eastAsia="Calibri"/>
          <w:b w:val="0"/>
          <w:color w:val="2A2A2A"/>
          <w:sz w:val="20"/>
        </w:rPr>
        <w:t>Pilot model proposal</w:t>
      </w:r>
    </w:p>
    <w:p>
      <w:pPr>
        <w:spacing w:after="60"/>
      </w:pPr>
      <w:r>
        <w:rPr>
          <w:rFonts w:ascii="Calibri" w:hAnsi="Calibri" w:eastAsia="Calibri"/>
          <w:b/>
          <w:color w:val="5A5A5A"/>
          <w:sz w:val="20"/>
        </w:rPr>
        <w:t xml:space="preserve">Date: </w:t>
      </w:r>
      <w:r>
        <w:rPr>
          <w:rFonts w:ascii="Calibri" w:hAnsi="Calibri" w:eastAsia="Calibri"/>
          <w:b w:val="0"/>
          <w:color w:val="2A2A2A"/>
          <w:sz w:val="20"/>
        </w:rPr>
        <w:t>July 14, 2026</w:t>
      </w:r>
    </w:p>
    <w:p>
      <w:pPr>
        <w:spacing w:after="60"/>
      </w:pPr>
      <w:r>
        <w:rPr>
          <w:rFonts w:ascii="Calibri" w:hAnsi="Calibri" w:eastAsia="Calibri"/>
          <w:b/>
          <w:color w:val="5A5A5A"/>
          <w:sz w:val="20"/>
        </w:rPr>
        <w:t xml:space="preserve">Status: </w:t>
      </w:r>
      <w:r>
        <w:rPr>
          <w:rFonts w:ascii="Calibri" w:hAnsi="Calibri" w:eastAsia="Calibri"/>
          <w:b w:val="0"/>
          <w:color w:val="2A2A2A"/>
          <w:sz w:val="20"/>
        </w:rPr>
        <w:t>Working prototype available for review</w:t>
      </w:r>
    </w:p>
    <w:p>
      <w:pPr>
        <w:spacing w:before="120" w:after="120"/>
        <w:pBdr>
          <w:bottom w:val="single" w:sz="12" w:space="1" w:color="F5A200"/>
        </w:pBdr>
      </w:pPr>
    </w:p>
    <w:p>
      <w:pPr>
        <w:spacing w:before="360" w:after="160"/>
      </w:pPr>
      <w:r>
        <w:rPr>
          <w:rFonts w:ascii="Calibri" w:hAnsi="Calibri" w:eastAsia="Calibri"/>
          <w:b/>
          <w:color w:val="081F52"/>
          <w:sz w:val="32"/>
        </w:rPr>
        <w:t>1. Executive Summary</w:t>
      </w:r>
    </w:p>
    <w:p>
      <w:pPr>
        <w:spacing w:after="160" w:before="0" w:line="276" w:lineRule="auto"/>
        <w:jc w:val="left"/>
      </w:pPr>
      <w:r>
        <w:rPr>
          <w:rFonts w:ascii="Calibri" w:hAnsi="Calibri" w:eastAsia="Calibri"/>
          <w:b w:val="0"/>
          <w:i w:val="0"/>
          <w:color w:val="2A2A2A"/>
          <w:sz w:val="22"/>
        </w:rPr>
        <w:t>This document presents a pilot interactive web experience — One Choice at a Time — built as a proof of concept for how the Educated Choices Program can communicate impact to donors and partners through data storytelling and scrollytelling.</w:t>
      </w:r>
    </w:p>
    <w:p>
      <w:pPr>
        <w:spacing w:after="160" w:before="0" w:line="276" w:lineRule="auto"/>
        <w:jc w:val="left"/>
      </w:pPr>
      <w:r>
        <w:rPr>
          <w:rFonts w:ascii="Calibri" w:hAnsi="Calibri" w:eastAsia="Calibri"/>
          <w:b w:val="0"/>
          <w:i w:val="0"/>
          <w:color w:val="2A2A2A"/>
          <w:sz w:val="22"/>
        </w:rPr>
        <w:t>Instead of asking supporters to dig through PDFs or scan static web pages, the pilot invites them into a guided narrative: from one classroom in Atlanta in 2015 to 3.79 million learners across 77 countries. Numbers, evidence, and human voices are woven into one continuous scroll — designed to create emotional connection first, and reinforce that connection with credible proof.</w:t>
      </w:r>
    </w:p>
    <w:p>
      <w:pPr>
        <w:spacing w:after="160" w:before="0" w:line="276" w:lineRule="auto"/>
        <w:jc w:val="left"/>
      </w:pPr>
      <w:r>
        <w:rPr>
          <w:rFonts w:ascii="Calibri" w:hAnsi="Calibri" w:eastAsia="Calibri"/>
          <w:b w:val="0"/>
          <w:i w:val="0"/>
          <w:color w:val="2A2A2A"/>
          <w:sz w:val="22"/>
        </w:rPr>
        <w:t>The pilot is complete as a working model: bilingual (English/Spanish), interactive, mobile-responsive, and ready to deploy as a public microsite. This proposal explains what the experience does, why it matters for fundraising, what story it tells, and how ECP can strengthen it as a long-term communication asset.</w:t>
      </w:r>
    </w:p>
    <w:p>
      <w:pPr>
        <w:spacing w:before="360" w:after="160"/>
      </w:pPr>
      <w:r>
        <w:rPr>
          <w:rFonts w:ascii="Calibri" w:hAnsi="Calibri" w:eastAsia="Calibri"/>
          <w:b/>
          <w:color w:val="081F52"/>
          <w:sz w:val="32"/>
        </w:rPr>
        <w:t>2. What This Type of Page Is — and Why It Matters</w:t>
      </w:r>
    </w:p>
    <w:p>
      <w:pPr>
        <w:spacing w:before="240" w:after="160"/>
      </w:pPr>
      <w:r>
        <w:rPr>
          <w:rFonts w:ascii="Calibri" w:hAnsi="Calibri" w:eastAsia="Calibri"/>
          <w:b/>
          <w:color w:val="081F52"/>
          <w:sz w:val="26"/>
        </w:rPr>
        <w:t>2.1 The problem with traditional impact reporting</w:t>
      </w:r>
    </w:p>
    <w:p>
      <w:pPr>
        <w:spacing w:after="160" w:before="0" w:line="276" w:lineRule="auto"/>
        <w:jc w:val="left"/>
      </w:pPr>
      <w:r>
        <w:rPr>
          <w:rFonts w:ascii="Calibri" w:hAnsi="Calibri" w:eastAsia="Calibri"/>
          <w:b w:val="0"/>
          <w:i w:val="0"/>
          <w:color w:val="2A2A2A"/>
          <w:sz w:val="22"/>
        </w:rPr>
        <w:t>Most nonprofits produce excellent annual reports, dashboards, and website pages full of metrics. Funders, however, rarely experience those materials as a story. They encounter tables, badges, and claims — then leave without the emotional clarity needed to act.</w:t>
      </w:r>
    </w:p>
    <w:p>
      <w:pPr>
        <w:spacing w:after="160" w:before="0" w:line="276" w:lineRule="auto"/>
        <w:jc w:val="left"/>
      </w:pPr>
      <w:r>
        <w:rPr>
          <w:rFonts w:ascii="Calibri" w:hAnsi="Calibri" w:eastAsia="Calibri"/>
          <w:b w:val="0"/>
          <w:i w:val="0"/>
          <w:color w:val="2A2A2A"/>
          <w:sz w:val="22"/>
        </w:rPr>
        <w:t>Research on donor decision-making shows a consistent pattern: emotion creates the impulse to give; data makes the gift feel wise. Pages that offer only one of those two elements usually underperform. Impact storytelling sites solve that gap by combining both in a sequence donors can follow without effort.</w:t>
      </w:r>
    </w:p>
    <w:p>
      <w:pPr>
        <w:spacing w:before="240" w:after="160"/>
      </w:pPr>
      <w:r>
        <w:rPr>
          <w:rFonts w:ascii="Calibri" w:hAnsi="Calibri" w:eastAsia="Calibri"/>
          <w:b/>
          <w:color w:val="081F52"/>
          <w:sz w:val="26"/>
        </w:rPr>
        <w:t>2.2 What interactive data storytelling / scrollytelling does</w:t>
      </w:r>
    </w:p>
    <w:p>
      <w:pPr>
        <w:spacing w:after="160" w:before="0" w:line="276" w:lineRule="auto"/>
        <w:jc w:val="left"/>
      </w:pPr>
      <w:r>
        <w:rPr>
          <w:rFonts w:ascii="Calibri" w:hAnsi="Calibri" w:eastAsia="Calibri"/>
          <w:b w:val="0"/>
          <w:i w:val="0"/>
          <w:color w:val="2A2A2A"/>
          <w:sz w:val="22"/>
        </w:rPr>
        <w:t>Scrollytelling is a narrative form in which the reader advances the story by scrolling. Visuals, charts, and maps animate in response to their progress. The page feels less like a brochure and more like a short documentary the user controls.</w:t>
      </w:r>
    </w:p>
    <w:p>
      <w:pPr>
        <w:spacing w:after="160" w:before="0" w:line="276" w:lineRule="auto"/>
        <w:jc w:val="left"/>
      </w:pPr>
      <w:r>
        <w:rPr>
          <w:rFonts w:ascii="Calibri" w:hAnsi="Calibri" w:eastAsia="Calibri"/>
          <w:b w:val="0"/>
          <w:i w:val="0"/>
          <w:color w:val="2A2A2A"/>
          <w:sz w:val="22"/>
        </w:rPr>
        <w:t>For an organization like ECP, this format can:</w:t>
      </w:r>
    </w:p>
    <w:p>
      <w:pPr>
        <w:pStyle w:val="ListBullet"/>
        <w:spacing w:after="80" w:before="0"/>
      </w:pPr>
      <w:r>
        <w:rPr>
          <w:rFonts w:ascii="Calibri" w:hAnsi="Calibri" w:eastAsia="Calibri"/>
          <w:b w:val="0"/>
          <w:color w:val="2A2A2A"/>
          <w:sz w:val="22"/>
        </w:rPr>
        <w:t>Translate complex impact (education, behavior change, stewardship) into a clear journey.</w:t>
      </w:r>
    </w:p>
    <w:p>
      <w:pPr>
        <w:pStyle w:val="ListBullet"/>
        <w:spacing w:after="80" w:before="0"/>
      </w:pPr>
      <w:r>
        <w:rPr>
          <w:rFonts w:ascii="Calibri" w:hAnsi="Calibri" w:eastAsia="Calibri"/>
          <w:b w:val="0"/>
          <w:color w:val="2A2A2A"/>
          <w:sz w:val="22"/>
        </w:rPr>
        <w:t>Keep attention longer than a conventional landing page — people finish stories; they bounce from dashboards.</w:t>
      </w:r>
    </w:p>
    <w:p>
      <w:pPr>
        <w:pStyle w:val="ListBullet"/>
        <w:spacing w:after="80" w:before="0"/>
      </w:pPr>
      <w:r>
        <w:rPr>
          <w:rFonts w:ascii="Calibri" w:hAnsi="Calibri" w:eastAsia="Calibri"/>
          <w:b w:val="0"/>
          <w:color w:val="2A2A2A"/>
          <w:sz w:val="22"/>
        </w:rPr>
        <w:t>Make evidence memorable: a University of Edinburgh experiment is easier to carry away when told scene by scene than as a footnote.</w:t>
      </w:r>
    </w:p>
    <w:p>
      <w:pPr>
        <w:pStyle w:val="ListBullet"/>
        <w:spacing w:after="80" w:before="0"/>
      </w:pPr>
      <w:r>
        <w:rPr>
          <w:rFonts w:ascii="Calibri" w:hAnsi="Calibri" w:eastAsia="Calibri"/>
          <w:b w:val="0"/>
          <w:color w:val="2A2A2A"/>
          <w:sz w:val="22"/>
        </w:rPr>
        <w:t>Lower friction to donation by ending with tangible gift levels (“what $27 does”) rather than a generic button alone.</w:t>
      </w:r>
    </w:p>
    <w:p>
      <w:pPr>
        <w:pStyle w:val="ListBullet"/>
        <w:spacing w:after="80" w:before="0"/>
      </w:pPr>
      <w:r>
        <w:rPr>
          <w:rFonts w:ascii="Calibri" w:hAnsi="Calibri" w:eastAsia="Calibri"/>
          <w:b w:val="0"/>
          <w:color w:val="2A2A2A"/>
          <w:sz w:val="22"/>
        </w:rPr>
        <w:t>Work as a shareable link for major-donor cultivation, grant follow-ups, campaign emails, and board presentations.</w:t>
      </w:r>
    </w:p>
    <w:p>
      <w:pPr>
        <w:spacing w:before="240" w:after="160"/>
      </w:pPr>
      <w:r>
        <w:rPr>
          <w:rFonts w:ascii="Calibri" w:hAnsi="Calibri" w:eastAsia="Calibri"/>
          <w:b/>
          <w:color w:val="081F52"/>
          <w:sz w:val="26"/>
        </w:rPr>
        <w:t>2.3 Reference point</w:t>
      </w:r>
    </w:p>
    <w:p>
      <w:pPr>
        <w:spacing w:after="160" w:before="0" w:line="276" w:lineRule="auto"/>
        <w:jc w:val="left"/>
      </w:pPr>
      <w:r>
        <w:rPr>
          <w:rFonts w:ascii="Calibri" w:hAnsi="Calibri" w:eastAsia="Calibri"/>
          <w:b w:val="0"/>
          <w:i w:val="0"/>
          <w:color w:val="2A2A2A"/>
          <w:sz w:val="22"/>
        </w:rPr>
        <w:t>The pilot draws inspiration from experiences such as the World Bank Atlas of Global Development: chapter-based navigation, reduced-motion options, immersive visual sections, and a balance of narrative and data. Adapted for ECP, the same craft serves fundraising and trust-building rather than policy education alone.</w:t>
      </w:r>
    </w:p>
    <w:p>
      <w:pPr>
        <w:spacing w:before="360" w:after="160"/>
      </w:pPr>
      <w:r>
        <w:rPr>
          <w:rFonts w:ascii="Calibri" w:hAnsi="Calibri" w:eastAsia="Calibri"/>
          <w:b/>
          <w:color w:val="081F52"/>
          <w:sz w:val="32"/>
        </w:rPr>
        <w:t>3. Objective of This Pilot</w:t>
      </w:r>
    </w:p>
    <w:p>
      <w:pPr>
        <w:spacing w:after="160" w:before="0" w:line="276" w:lineRule="auto"/>
        <w:jc w:val="left"/>
      </w:pPr>
      <w:r>
        <w:rPr>
          <w:rFonts w:ascii="Calibri" w:hAnsi="Calibri" w:eastAsia="Calibri"/>
          <w:b w:val="0"/>
          <w:i w:val="0"/>
          <w:color w:val="2A2A2A"/>
          <w:sz w:val="22"/>
        </w:rPr>
        <w:t>Primary objective: demonstrate — with a working product, not a mockup — how ECP can turn publicly available impact data into a funder-facing story that builds desire to donate and confidence that a gift will be well used.</w:t>
      </w:r>
    </w:p>
    <w:p>
      <w:pPr>
        <w:spacing w:after="160" w:before="0" w:line="276" w:lineRule="auto"/>
        <w:jc w:val="left"/>
      </w:pPr>
      <w:r>
        <w:rPr>
          <w:rFonts w:ascii="Calibri" w:hAnsi="Calibri" w:eastAsia="Calibri"/>
          <w:b w:val="0"/>
          <w:i w:val="0"/>
          <w:color w:val="2A2A2A"/>
          <w:sz w:val="22"/>
        </w:rPr>
        <w:t>Secondary objectives of the pilot:</w:t>
      </w:r>
    </w:p>
    <w:p>
      <w:pPr>
        <w:pStyle w:val="ListBullet"/>
        <w:spacing w:after="80" w:before="0"/>
      </w:pPr>
      <w:r>
        <w:rPr>
          <w:rFonts w:ascii="Calibri" w:hAnsi="Calibri" w:eastAsia="Calibri"/>
          <w:b w:val="0"/>
          <w:color w:val="2A2A2A"/>
          <w:sz w:val="22"/>
        </w:rPr>
        <w:t>Show a distinctive digital experience aligned with ECP’s brand (navy, gold, seal motif, bilingual access).</w:t>
      </w:r>
    </w:p>
    <w:p>
      <w:pPr>
        <w:pStyle w:val="ListBullet"/>
        <w:spacing w:after="80" w:before="0"/>
      </w:pPr>
      <w:r>
        <w:rPr>
          <w:rFonts w:ascii="Calibri" w:hAnsi="Calibri" w:eastAsia="Calibri"/>
          <w:b w:val="0"/>
          <w:color w:val="2A2A2A"/>
          <w:sz w:val="22"/>
        </w:rPr>
        <w:t>Prove that ECP’s strongest assets — peer-reviewed evidence, Living Lab results, scale, and stewardship ratings — can be sequenced as story, not listed as claims.</w:t>
      </w:r>
    </w:p>
    <w:p>
      <w:pPr>
        <w:pStyle w:val="ListBullet"/>
        <w:spacing w:after="80" w:before="0"/>
      </w:pPr>
      <w:r>
        <w:rPr>
          <w:rFonts w:ascii="Calibri" w:hAnsi="Calibri" w:eastAsia="Calibri"/>
          <w:b w:val="0"/>
          <w:color w:val="2A2A2A"/>
          <w:sz w:val="22"/>
        </w:rPr>
        <w:t>Create a model that can be iterated with ECP’s team (updated numbers, approved photos, new chapters, campaign-specific versions).</w:t>
      </w:r>
    </w:p>
    <w:p>
      <w:pPr>
        <w:pStyle w:val="ListBullet"/>
        <w:spacing w:after="80" w:before="0"/>
      </w:pPr>
      <w:r>
        <w:rPr>
          <w:rFonts w:ascii="Calibri" w:hAnsi="Calibri" w:eastAsia="Calibri"/>
          <w:b w:val="0"/>
          <w:color w:val="2A2A2A"/>
          <w:sz w:val="22"/>
        </w:rPr>
        <w:t>Establish a base for future collaboration: design refinements, deeper data integration, and deployment under ECP’s domain if desired.</w:t>
      </w:r>
    </w:p>
    <w:p>
      <w:pPr>
        <w:spacing w:after="160" w:before="0" w:line="276" w:lineRule="auto"/>
        <w:jc w:val="left"/>
      </w:pPr>
      <w:r>
        <w:rPr>
          <w:rFonts w:ascii="Calibri" w:hAnsi="Calibri" w:eastAsia="Calibri"/>
          <w:b w:val="0"/>
          <w:i/>
          <w:color w:val="2A2A2A"/>
          <w:sz w:val="22"/>
        </w:rPr>
        <w:t>Audience focus: prospective individual donors, major-gift prospects doing due diligence, and partners who need a fast, memorable “why ECP” experience. Educators remain central to the mission; this pilot is intentionally optimized for funding narratives rather than classroom acquisition.</w:t>
      </w:r>
    </w:p>
    <w:p>
      <w:pPr>
        <w:spacing w:before="360" w:after="160"/>
      </w:pPr>
      <w:r>
        <w:rPr>
          <w:rFonts w:ascii="Calibri" w:hAnsi="Calibri" w:eastAsia="Calibri"/>
          <w:b/>
          <w:color w:val="081F52"/>
          <w:sz w:val="32"/>
        </w:rPr>
        <w:t>4. What This Pilot Story Tells</w:t>
      </w:r>
    </w:p>
    <w:p>
      <w:pPr>
        <w:spacing w:after="160" w:before="0" w:line="276" w:lineRule="auto"/>
        <w:jc w:val="left"/>
      </w:pPr>
      <w:r>
        <w:rPr>
          <w:rFonts w:ascii="Calibri" w:hAnsi="Calibri" w:eastAsia="Calibri"/>
          <w:b w:val="0"/>
          <w:i w:val="0"/>
          <w:color w:val="2A2A2A"/>
          <w:sz w:val="22"/>
        </w:rPr>
        <w:t>The narrative follows one idea scaled to global reach: a single food choice. Each chapter answers the funder’s unspoken questions in order — Why does this matter? How did ECP grow? Does it work? Where does my money go? What can I do?</w:t>
      </w:r>
    </w:p>
    <w:p>
      <w:pPr>
        <w:pStyle w:val="ListBullet"/>
        <w:spacing w:after="80" w:before="0"/>
      </w:pPr>
      <w:r>
        <w:rPr>
          <w:rFonts w:ascii="Calibri" w:hAnsi="Calibri" w:eastAsia="Calibri"/>
          <w:b/>
          <w:color w:val="2A2A2A"/>
          <w:sz w:val="22"/>
        </w:rPr>
        <w:t>Hero — “Every day, a student decides”.</w:t>
      </w:r>
      <w:r>
        <w:rPr>
          <w:rFonts w:ascii="Calibri" w:hAnsi="Calibri" w:eastAsia="Calibri"/>
          <w:b w:val="0"/>
          <w:color w:val="2A2A2A"/>
          <w:sz w:val="22"/>
        </w:rPr>
        <w:t xml:space="preserve"> Opens with emotional scale: a living particle field and the learner counter, establishing that one daily decision sits at the center of a worldwide education movement.</w:t>
      </w:r>
    </w:p>
    <w:p>
      <w:pPr>
        <w:pStyle w:val="ListBullet"/>
        <w:spacing w:after="80" w:before="0"/>
      </w:pPr>
      <w:r>
        <w:rPr>
          <w:rFonts w:ascii="Calibri" w:hAnsi="Calibri" w:eastAsia="Calibri"/>
          <w:b/>
          <w:color w:val="2A2A2A"/>
          <w:sz w:val="22"/>
        </w:rPr>
        <w:t>The Gap.</w:t>
      </w:r>
      <w:r>
        <w:rPr>
          <w:rFonts w:ascii="Calibri" w:hAnsi="Calibri" w:eastAsia="Calibri"/>
          <w:b w:val="0"/>
          <w:color w:val="2A2A2A"/>
          <w:sz w:val="22"/>
        </w:rPr>
        <w:t xml:space="preserve"> Names the problem: thousands of food decisions before anyone teaches young people what those choices do to health, planet, and animals.</w:t>
      </w:r>
    </w:p>
    <w:p>
      <w:pPr>
        <w:pStyle w:val="ListBullet"/>
        <w:spacing w:after="80" w:before="0"/>
      </w:pPr>
      <w:r>
        <w:rPr>
          <w:rFonts w:ascii="Calibri" w:hAnsi="Calibri" w:eastAsia="Calibri"/>
          <w:b/>
          <w:color w:val="2A2A2A"/>
          <w:sz w:val="22"/>
        </w:rPr>
        <w:t>The Spark.</w:t>
      </w:r>
      <w:r>
        <w:rPr>
          <w:rFonts w:ascii="Calibri" w:hAnsi="Calibri" w:eastAsia="Calibri"/>
          <w:b w:val="0"/>
          <w:color w:val="2A2A2A"/>
          <w:sz w:val="22"/>
        </w:rPr>
        <w:t xml:space="preserve"> Human origin: Lorena Mucke, one Atlanta classroom in 2015, then a decade of growth into millions of learners and dozens of education packages.</w:t>
      </w:r>
    </w:p>
    <w:p>
      <w:pPr>
        <w:pStyle w:val="ListBullet"/>
        <w:spacing w:after="80" w:before="0"/>
      </w:pPr>
      <w:r>
        <w:rPr>
          <w:rFonts w:ascii="Calibri" w:hAnsi="Calibri" w:eastAsia="Calibri"/>
          <w:b/>
          <w:color w:val="2A2A2A"/>
          <w:sz w:val="22"/>
        </w:rPr>
        <w:t>A World of Classrooms.</w:t>
      </w:r>
      <w:r>
        <w:rPr>
          <w:rFonts w:ascii="Calibri" w:hAnsi="Calibri" w:eastAsia="Calibri"/>
          <w:b w:val="0"/>
          <w:color w:val="2A2A2A"/>
          <w:sz w:val="22"/>
        </w:rPr>
        <w:t xml:space="preserve"> Geographic proof: an interactive map that lights up as the story expands across 77 countries and territories, with Spanish and multilingual access as strategic leverage.</w:t>
      </w:r>
    </w:p>
    <w:p>
      <w:pPr>
        <w:pStyle w:val="ListBullet"/>
        <w:spacing w:after="80" w:before="0"/>
      </w:pPr>
      <w:r>
        <w:rPr>
          <w:rFonts w:ascii="Calibri" w:hAnsi="Calibri" w:eastAsia="Calibri"/>
          <w:b/>
          <w:color w:val="2A2A2A"/>
          <w:sz w:val="22"/>
        </w:rPr>
        <w:t>But Does It Work?.</w:t>
      </w:r>
      <w:r>
        <w:rPr>
          <w:rFonts w:ascii="Calibri" w:hAnsi="Calibri" w:eastAsia="Calibri"/>
          <w:b w:val="0"/>
          <w:color w:val="2A2A2A"/>
          <w:sz w:val="22"/>
        </w:rPr>
        <w:t xml:space="preserve"> Credibility core: the Edinburgh real meal-choice experiment told step by step; Living Lab intention rates (~90%); motivators and barriers; independently tested evidence.</w:t>
      </w:r>
    </w:p>
    <w:p>
      <w:pPr>
        <w:pStyle w:val="ListBullet"/>
        <w:spacing w:after="80" w:before="0"/>
      </w:pPr>
      <w:r>
        <w:rPr>
          <w:rFonts w:ascii="Calibri" w:hAnsi="Calibri" w:eastAsia="Calibri"/>
          <w:b/>
          <w:color w:val="2A2A2A"/>
          <w:sz w:val="22"/>
        </w:rPr>
        <w:t>The Ripple.</w:t>
      </w:r>
      <w:r>
        <w:rPr>
          <w:rFonts w:ascii="Calibri" w:hAnsi="Calibri" w:eastAsia="Calibri"/>
          <w:b w:val="0"/>
          <w:color w:val="2A2A2A"/>
          <w:sz w:val="22"/>
        </w:rPr>
        <w:t xml:space="preserve"> Systemic outcome: estimated annual CO₂ prevented, translated into concrete equivalents so impact feels tangible.</w:t>
      </w:r>
    </w:p>
    <w:p>
      <w:pPr>
        <w:pStyle w:val="ListBullet"/>
        <w:spacing w:after="80" w:before="0"/>
      </w:pPr>
      <w:r>
        <w:rPr>
          <w:rFonts w:ascii="Calibri" w:hAnsi="Calibri" w:eastAsia="Calibri"/>
          <w:b/>
          <w:color w:val="2A2A2A"/>
          <w:sz w:val="22"/>
        </w:rPr>
        <w:t>Voices.</w:t>
      </w:r>
      <w:r>
        <w:rPr>
          <w:rFonts w:ascii="Calibri" w:hAnsi="Calibri" w:eastAsia="Calibri"/>
          <w:b w:val="0"/>
          <w:color w:val="2A2A2A"/>
          <w:sz w:val="22"/>
        </w:rPr>
        <w:t xml:space="preserve"> Human proof: learner and educator quotes months later — agency, options, and dignity rather than guilt.</w:t>
      </w:r>
    </w:p>
    <w:p>
      <w:pPr>
        <w:pStyle w:val="ListBullet"/>
        <w:spacing w:after="80" w:before="0"/>
      </w:pPr>
      <w:r>
        <w:rPr>
          <w:rFonts w:ascii="Calibri" w:hAnsi="Calibri" w:eastAsia="Calibri"/>
          <w:b/>
          <w:color w:val="2A2A2A"/>
          <w:sz w:val="22"/>
        </w:rPr>
        <w:t>Radical Stewardship.</w:t>
      </w:r>
      <w:r>
        <w:rPr>
          <w:rFonts w:ascii="Calibri" w:hAnsi="Calibri" w:eastAsia="Calibri"/>
          <w:b w:val="0"/>
          <w:color w:val="2A2A2A"/>
          <w:sz w:val="22"/>
        </w:rPr>
        <w:t xml:space="preserve"> Trust: where donated dollars go (program-heavy budget), lean team, cost-per-learner framing, Charity Navigator / Candid / peer recognition.</w:t>
      </w:r>
    </w:p>
    <w:p>
      <w:pPr>
        <w:pStyle w:val="ListBullet"/>
        <w:spacing w:after="80" w:before="0"/>
      </w:pPr>
      <w:r>
        <w:rPr>
          <w:rFonts w:ascii="Calibri" w:hAnsi="Calibri" w:eastAsia="Calibri"/>
          <w:b/>
          <w:color w:val="2A2A2A"/>
          <w:sz w:val="22"/>
        </w:rPr>
        <w:t>Your Chapter.</w:t>
      </w:r>
      <w:r>
        <w:rPr>
          <w:rFonts w:ascii="Calibri" w:hAnsi="Calibri" w:eastAsia="Calibri"/>
          <w:b w:val="0"/>
          <w:color w:val="2A2A2A"/>
          <w:sz w:val="22"/>
        </w:rPr>
        <w:t xml:space="preserve"> Invitation: donation tiers with tangible classroom-level meaning, links to donate and the full impact report, share action, closing call to partnership.</w:t>
      </w:r>
    </w:p>
    <w:p>
      <w:pPr>
        <w:spacing w:after="160" w:before="0" w:line="276" w:lineRule="auto"/>
        <w:jc w:val="left"/>
      </w:pPr>
      <w:r>
        <w:rPr>
          <w:rFonts w:ascii="Calibri" w:hAnsi="Calibri" w:eastAsia="Calibri"/>
          <w:b w:val="0"/>
          <w:i w:val="0"/>
          <w:color w:val="2A2A2A"/>
          <w:sz w:val="22"/>
        </w:rPr>
        <w:t>Together, the chapters form a classic fundraising story spine: protagonist (the learner) → challenge (the education gap) → response (ECP) → measurable result → invitation for the donor as partner.</w:t>
      </w:r>
    </w:p>
    <w:p>
      <w:pPr>
        <w:spacing w:before="360" w:after="160"/>
      </w:pPr>
      <w:r>
        <w:rPr>
          <w:rFonts w:ascii="Calibri" w:hAnsi="Calibri" w:eastAsia="Calibri"/>
          <w:b/>
          <w:color w:val="081F52"/>
          <w:sz w:val="32"/>
        </w:rPr>
        <w:t>5. What the Pilot Model Includes Today</w:t>
      </w:r>
    </w:p>
    <w:p>
      <w:pPr>
        <w:pStyle w:val="ListBullet"/>
        <w:spacing w:after="80" w:before="0"/>
      </w:pPr>
      <w:r>
        <w:rPr>
          <w:rFonts w:ascii="Calibri" w:hAnsi="Calibri" w:eastAsia="Calibri"/>
          <w:b w:val="0"/>
          <w:color w:val="2A2A2A"/>
          <w:sz w:val="22"/>
        </w:rPr>
        <w:t>Fully interactive single-page experience with nine chapters and chapter navigation.</w:t>
      </w:r>
    </w:p>
    <w:p>
      <w:pPr>
        <w:pStyle w:val="ListBullet"/>
        <w:spacing w:after="80" w:before="0"/>
      </w:pPr>
      <w:r>
        <w:rPr>
          <w:rFonts w:ascii="Calibri" w:hAnsi="Calibri" w:eastAsia="Calibri"/>
          <w:b w:val="0"/>
          <w:color w:val="2A2A2A"/>
          <w:sz w:val="22"/>
        </w:rPr>
        <w:t>English / Spanish language toggle with full translated copy.</w:t>
      </w:r>
    </w:p>
    <w:p>
      <w:pPr>
        <w:pStyle w:val="ListBullet"/>
        <w:spacing w:after="80" w:before="0"/>
      </w:pPr>
      <w:r>
        <w:rPr>
          <w:rFonts w:ascii="Calibri" w:hAnsi="Calibri" w:eastAsia="Calibri"/>
          <w:b w:val="0"/>
          <w:color w:val="2A2A2A"/>
          <w:sz w:val="22"/>
        </w:rPr>
        <w:t>Animated charts and map (growth curve, world map, experiment visualization, intention gauge, motivator/barrier bars, stewardship donut).</w:t>
      </w:r>
    </w:p>
    <w:p>
      <w:pPr>
        <w:pStyle w:val="ListBullet"/>
        <w:spacing w:after="80" w:before="0"/>
      </w:pPr>
      <w:r>
        <w:rPr>
          <w:rFonts w:ascii="Calibri" w:hAnsi="Calibri" w:eastAsia="Calibri"/>
          <w:b w:val="0"/>
          <w:color w:val="2A2A2A"/>
          <w:sz w:val="22"/>
        </w:rPr>
        <w:t>Visual identity adapted to ECP brand colors, type treatment, and seal motif.</w:t>
      </w:r>
    </w:p>
    <w:p>
      <w:pPr>
        <w:pStyle w:val="ListBullet"/>
        <w:spacing w:after="80" w:before="0"/>
      </w:pPr>
      <w:r>
        <w:rPr>
          <w:rFonts w:ascii="Calibri" w:hAnsi="Calibri" w:eastAsia="Calibri"/>
          <w:b w:val="0"/>
          <w:color w:val="2A2A2A"/>
          <w:sz w:val="22"/>
        </w:rPr>
        <w:t>Photos drawn from ECP public reports; metrics sourced from the 2024 Annual Report, 2025 Impact Report, Q1 2026 Report, and ecprogram.org.</w:t>
      </w:r>
    </w:p>
    <w:p>
      <w:pPr>
        <w:pStyle w:val="ListBullet"/>
        <w:spacing w:after="80" w:before="0"/>
      </w:pPr>
      <w:r>
        <w:rPr>
          <w:rFonts w:ascii="Calibri" w:hAnsi="Calibri" w:eastAsia="Calibri"/>
          <w:b w:val="0"/>
          <w:color w:val="2A2A2A"/>
          <w:sz w:val="22"/>
        </w:rPr>
        <w:t>Accessibility considerations: reduce-motion preference and footer toggle.</w:t>
      </w:r>
    </w:p>
    <w:p>
      <w:pPr>
        <w:pStyle w:val="ListBullet"/>
        <w:spacing w:after="80" w:before="0"/>
      </w:pPr>
      <w:r>
        <w:rPr>
          <w:rFonts w:ascii="Calibri" w:hAnsi="Calibri" w:eastAsia="Calibri"/>
          <w:b w:val="0"/>
          <w:color w:val="2A2A2A"/>
          <w:sz w:val="22"/>
        </w:rPr>
        <w:t>Production-ready deployment path (GitHub + Netlify), suitable as a public demo microsite.</w:t>
      </w:r>
    </w:p>
    <w:p>
      <w:pPr>
        <w:pStyle w:val="ListBullet"/>
        <w:spacing w:after="80" w:before="0"/>
      </w:pPr>
      <w:r>
        <w:rPr>
          <w:rFonts w:ascii="Calibri" w:hAnsi="Calibri" w:eastAsia="Calibri"/>
          <w:b w:val="0"/>
          <w:color w:val="2A2A2A"/>
          <w:sz w:val="22"/>
        </w:rPr>
        <w:t>Built by Ordinal Studio as a demonstration of craft and partnership potential.</w:t>
      </w:r>
    </w:p>
    <w:p>
      <w:pPr>
        <w:spacing w:before="360" w:after="160"/>
      </w:pPr>
      <w:r>
        <w:rPr>
          <w:rFonts w:ascii="Calibri" w:hAnsi="Calibri" w:eastAsia="Calibri"/>
          <w:b/>
          <w:color w:val="081F52"/>
          <w:sz w:val="32"/>
        </w:rPr>
        <w:t>6. How This Can Be Improved for ECP</w:t>
      </w:r>
    </w:p>
    <w:p>
      <w:pPr>
        <w:spacing w:after="160" w:before="0" w:line="276" w:lineRule="auto"/>
        <w:jc w:val="left"/>
      </w:pPr>
      <w:r>
        <w:rPr>
          <w:rFonts w:ascii="Calibri" w:hAnsi="Calibri" w:eastAsia="Calibri"/>
          <w:b w:val="0"/>
          <w:i w:val="0"/>
          <w:color w:val="2A2A2A"/>
          <w:sz w:val="22"/>
        </w:rPr>
        <w:t>The pilot is intentionally a strong first cut from public materials. The next phase would turn it from “an impressive demo about ECP” into “ECP’s own high-performing fundraising asset.” Recommended improvements below are ordered from quick wins to strategic upgrades.</w:t>
      </w:r>
    </w:p>
    <w:p>
      <w:pPr>
        <w:spacing w:before="240" w:after="160"/>
      </w:pPr>
      <w:r>
        <w:rPr>
          <w:rFonts w:ascii="Calibri" w:hAnsi="Calibri" w:eastAsia="Calibri"/>
          <w:b/>
          <w:color w:val="081F52"/>
          <w:sz w:val="26"/>
        </w:rPr>
        <w:t>6.1 Content &amp; narrative (high impact, moderate effort)</w:t>
      </w:r>
    </w:p>
    <w:p>
      <w:pPr>
        <w:pStyle w:val="ListBullet"/>
        <w:spacing w:after="80" w:before="0"/>
      </w:pPr>
      <w:r>
        <w:rPr>
          <w:rFonts w:ascii="Calibri" w:hAnsi="Calibri" w:eastAsia="Calibri"/>
          <w:b w:val="0"/>
          <w:color w:val="2A2A2A"/>
          <w:sz w:val="22"/>
        </w:rPr>
        <w:t>Official approval &amp; voice pass: align wording with ECP’s preferred framing (non-judgmental, science-based, free access) and remove any reconstruction notes ECP wants handled differently.</w:t>
      </w:r>
    </w:p>
    <w:p>
      <w:pPr>
        <w:pStyle w:val="ListBullet"/>
        <w:spacing w:after="80" w:before="0"/>
      </w:pPr>
      <w:r>
        <w:rPr>
          <w:rFonts w:ascii="Calibri" w:hAnsi="Calibri" w:eastAsia="Calibri"/>
          <w:b w:val="0"/>
          <w:color w:val="2A2A2A"/>
          <w:sz w:val="22"/>
        </w:rPr>
        <w:t>Exact historical learner totals by year: replace reconstructed 2015–2023 chart points with official time series if available.</w:t>
      </w:r>
    </w:p>
    <w:p>
      <w:pPr>
        <w:pStyle w:val="ListBullet"/>
        <w:spacing w:after="80" w:before="0"/>
      </w:pPr>
      <w:r>
        <w:rPr>
          <w:rFonts w:ascii="Calibri" w:hAnsi="Calibri" w:eastAsia="Calibri"/>
          <w:b w:val="0"/>
          <w:color w:val="2A2A2A"/>
          <w:sz w:val="22"/>
        </w:rPr>
        <w:t>Richer human stories: short, consented profiles of educators, learners, or partner schools (with dignity-first photography guidelines).</w:t>
      </w:r>
    </w:p>
    <w:p>
      <w:pPr>
        <w:pStyle w:val="ListBullet"/>
        <w:spacing w:after="80" w:before="0"/>
      </w:pPr>
      <w:r>
        <w:rPr>
          <w:rFonts w:ascii="Calibri" w:hAnsi="Calibri" w:eastAsia="Calibri"/>
          <w:b w:val="0"/>
          <w:color w:val="2A2A2A"/>
          <w:sz w:val="22"/>
        </w:rPr>
        <w:t>Campaign variants: shorter “major donor” and “year-end” cuts that reuse the same engine but open with different hooks.</w:t>
      </w:r>
    </w:p>
    <w:p>
      <w:pPr>
        <w:pStyle w:val="ListBullet"/>
        <w:spacing w:after="80" w:before="0"/>
      </w:pPr>
      <w:r>
        <w:rPr>
          <w:rFonts w:ascii="Calibri" w:hAnsi="Calibri" w:eastAsia="Calibri"/>
          <w:b w:val="0"/>
          <w:color w:val="2A2A2A"/>
          <w:sz w:val="22"/>
        </w:rPr>
        <w:t>Spanish localization review by a native/community reviewer for Latin America nuance beyond literal translation.</w:t>
      </w:r>
    </w:p>
    <w:p>
      <w:pPr>
        <w:spacing w:before="240" w:after="160"/>
      </w:pPr>
      <w:r>
        <w:rPr>
          <w:rFonts w:ascii="Calibri" w:hAnsi="Calibri" w:eastAsia="Calibri"/>
          <w:b/>
          <w:color w:val="081F52"/>
          <w:sz w:val="26"/>
        </w:rPr>
        <w:t>6.2 Fundraising conversion (highest ROI for the goal)</w:t>
      </w:r>
    </w:p>
    <w:p>
      <w:pPr>
        <w:pStyle w:val="ListBullet"/>
        <w:spacing w:after="80" w:before="0"/>
      </w:pPr>
      <w:r>
        <w:rPr>
          <w:rFonts w:ascii="Calibri" w:hAnsi="Calibri" w:eastAsia="Calibri"/>
          <w:b w:val="0"/>
          <w:color w:val="2A2A2A"/>
          <w:sz w:val="22"/>
        </w:rPr>
        <w:t>Embedded or deeper donation flow: not only a hop to the donate page, but thank-you continuity and suggested amounts tested with ECP’s CRM.</w:t>
      </w:r>
    </w:p>
    <w:p>
      <w:pPr>
        <w:pStyle w:val="ListBullet"/>
        <w:spacing w:after="80" w:before="0"/>
      </w:pPr>
      <w:r>
        <w:rPr>
          <w:rFonts w:ascii="Calibri" w:hAnsi="Calibri" w:eastAsia="Calibri"/>
          <w:b w:val="0"/>
          <w:color w:val="2A2A2A"/>
          <w:sz w:val="22"/>
        </w:rPr>
        <w:t>Gift-impact language validated by finance: refine $/classroom tiers with ECP’s preferred cost model so every pledge statement is defensible.</w:t>
      </w:r>
    </w:p>
    <w:p>
      <w:pPr>
        <w:pStyle w:val="ListBullet"/>
        <w:spacing w:after="80" w:before="0"/>
      </w:pPr>
      <w:r>
        <w:rPr>
          <w:rFonts w:ascii="Calibri" w:hAnsi="Calibri" w:eastAsia="Calibri"/>
          <w:b w:val="0"/>
          <w:color w:val="2A2A2A"/>
          <w:sz w:val="22"/>
        </w:rPr>
        <w:t>UTM / campaign tracking and analytics dashboard: which chapters retain attention, where people drop, which CTA they click.</w:t>
      </w:r>
    </w:p>
    <w:p>
      <w:pPr>
        <w:pStyle w:val="ListBullet"/>
        <w:spacing w:after="80" w:before="0"/>
      </w:pPr>
      <w:r>
        <w:rPr>
          <w:rFonts w:ascii="Calibri" w:hAnsi="Calibri" w:eastAsia="Calibri"/>
          <w:b w:val="0"/>
          <w:color w:val="2A2A2A"/>
          <w:sz w:val="22"/>
        </w:rPr>
        <w:t>Personalization for major prospects: optional “brief” mode (5 minutes) vs “full story”; PDF one-pager export for board packets.</w:t>
      </w:r>
    </w:p>
    <w:p>
      <w:pPr>
        <w:spacing w:before="240" w:after="160"/>
      </w:pPr>
      <w:r>
        <w:rPr>
          <w:rFonts w:ascii="Calibri" w:hAnsi="Calibri" w:eastAsia="Calibri"/>
          <w:b/>
          <w:color w:val="081F52"/>
          <w:sz w:val="26"/>
        </w:rPr>
        <w:t>6.3 Design &amp; experience upgrades</w:t>
      </w:r>
    </w:p>
    <w:p>
      <w:pPr>
        <w:pStyle w:val="ListBullet"/>
        <w:spacing w:after="80" w:before="0"/>
      </w:pPr>
      <w:r>
        <w:rPr>
          <w:rFonts w:ascii="Calibri" w:hAnsi="Calibri" w:eastAsia="Calibri"/>
          <w:b w:val="0"/>
          <w:color w:val="2A2A2A"/>
          <w:sz w:val="22"/>
        </w:rPr>
        <w:t>Original animation production: short exclusive sequences with ECP characters from Bite-Sized series, or classroom footage ECP owns.</w:t>
      </w:r>
    </w:p>
    <w:p>
      <w:pPr>
        <w:pStyle w:val="ListBullet"/>
        <w:spacing w:after="80" w:before="0"/>
      </w:pPr>
      <w:r>
        <w:rPr>
          <w:rFonts w:ascii="Calibri" w:hAnsi="Calibri" w:eastAsia="Calibri"/>
          <w:b w:val="0"/>
          <w:color w:val="2A2A2A"/>
          <w:sz w:val="22"/>
        </w:rPr>
        <w:t>Expanded interactivity: searchable country drilldowns, package explorer tied to learnecprogram.org, and “choose your chapter.”</w:t>
      </w:r>
    </w:p>
    <w:p>
      <w:pPr>
        <w:pStyle w:val="ListBullet"/>
        <w:spacing w:after="80" w:before="0"/>
      </w:pPr>
      <w:r>
        <w:rPr>
          <w:rFonts w:ascii="Calibri" w:hAnsi="Calibri" w:eastAsia="Calibri"/>
          <w:b w:val="0"/>
          <w:color w:val="2A2A2A"/>
          <w:sz w:val="22"/>
        </w:rPr>
        <w:t>Performance &amp; accessibility audit with ECP’s web team (WCAG, keyboard paths, screen readers).</w:t>
      </w:r>
    </w:p>
    <w:p>
      <w:pPr>
        <w:pStyle w:val="ListBullet"/>
        <w:spacing w:after="80" w:before="0"/>
      </w:pPr>
      <w:r>
        <w:rPr>
          <w:rFonts w:ascii="Calibri" w:hAnsi="Calibri" w:eastAsia="Calibri"/>
          <w:b w:val="0"/>
          <w:color w:val="2A2A2A"/>
          <w:sz w:val="22"/>
        </w:rPr>
        <w:t>Domain &amp; brand integration: live under a path such as stories.ecprogram.org or impact.ecprogram.org, with shared nav/footer if desired.</w:t>
      </w:r>
    </w:p>
    <w:p>
      <w:pPr>
        <w:spacing w:before="240" w:after="160"/>
      </w:pPr>
      <w:r>
        <w:rPr>
          <w:rFonts w:ascii="Calibri" w:hAnsi="Calibri" w:eastAsia="Calibri"/>
          <w:b/>
          <w:color w:val="081F52"/>
          <w:sz w:val="26"/>
        </w:rPr>
        <w:t>6.4 Data &amp; trust layer</w:t>
      </w:r>
    </w:p>
    <w:p>
      <w:pPr>
        <w:pStyle w:val="ListBullet"/>
        <w:spacing w:after="80" w:before="0"/>
      </w:pPr>
      <w:r>
        <w:rPr>
          <w:rFonts w:ascii="Calibri" w:hAnsi="Calibri" w:eastAsia="Calibri"/>
          <w:b w:val="0"/>
          <w:color w:val="2A2A2A"/>
          <w:sz w:val="22"/>
        </w:rPr>
        <w:t>Living Lab pipeline: refresh key stats from surveys without rebuilding the site (CMS or data file sync).</w:t>
      </w:r>
    </w:p>
    <w:p>
      <w:pPr>
        <w:pStyle w:val="ListBullet"/>
        <w:spacing w:after="80" w:before="0"/>
      </w:pPr>
      <w:r>
        <w:rPr>
          <w:rFonts w:ascii="Calibri" w:hAnsi="Calibri" w:eastAsia="Calibri"/>
          <w:b w:val="0"/>
          <w:color w:val="2A2A2A"/>
          <w:sz w:val="22"/>
        </w:rPr>
        <w:t>Citation &amp; methodology panel: expand Scarborough CO₂ estimate transparency and Cambridge/Edinburgh study summaries for sophisticated donors.</w:t>
      </w:r>
    </w:p>
    <w:p>
      <w:pPr>
        <w:pStyle w:val="ListBullet"/>
        <w:spacing w:after="80" w:before="0"/>
      </w:pPr>
      <w:r>
        <w:rPr>
          <w:rFonts w:ascii="Calibri" w:hAnsi="Calibri" w:eastAsia="Calibri"/>
          <w:b w:val="0"/>
          <w:color w:val="2A2A2A"/>
          <w:sz w:val="22"/>
        </w:rPr>
        <w:t>Stewardship update cycle: auto-prompt quarterly refresh after each new ECP report.</w:t>
      </w:r>
    </w:p>
    <w:p>
      <w:pPr>
        <w:spacing w:before="240" w:after="160"/>
      </w:pPr>
      <w:r>
        <w:rPr>
          <w:rFonts w:ascii="Calibri" w:hAnsi="Calibri" w:eastAsia="Calibri"/>
          <w:b/>
          <w:color w:val="081F52"/>
          <w:sz w:val="26"/>
        </w:rPr>
        <w:t>6.5 Organizational use cases beyond the donor page</w:t>
      </w:r>
    </w:p>
    <w:p>
      <w:pPr>
        <w:pStyle w:val="ListBullet"/>
        <w:spacing w:after="80" w:before="0"/>
      </w:pPr>
      <w:r>
        <w:rPr>
          <w:rFonts w:ascii="Calibri" w:hAnsi="Calibri" w:eastAsia="Calibri"/>
          <w:b w:val="0"/>
          <w:color w:val="2A2A2A"/>
          <w:sz w:val="22"/>
        </w:rPr>
        <w:t>Grant applications: link as evidence of communication capacity and clarity of theory of change.</w:t>
      </w:r>
    </w:p>
    <w:p>
      <w:pPr>
        <w:pStyle w:val="ListBullet"/>
        <w:spacing w:after="80" w:before="0"/>
      </w:pPr>
      <w:r>
        <w:rPr>
          <w:rFonts w:ascii="Calibri" w:hAnsi="Calibri" w:eastAsia="Calibri"/>
          <w:b w:val="0"/>
          <w:color w:val="2A2A2A"/>
          <w:sz w:val="22"/>
        </w:rPr>
        <w:t>Board &amp; staff onboarding: a shared narrative everyone can use consistently.</w:t>
      </w:r>
    </w:p>
    <w:p>
      <w:pPr>
        <w:pStyle w:val="ListBullet"/>
        <w:spacing w:after="80" w:before="0"/>
      </w:pPr>
      <w:r>
        <w:rPr>
          <w:rFonts w:ascii="Calibri" w:hAnsi="Calibri" w:eastAsia="Calibri"/>
          <w:b w:val="0"/>
          <w:color w:val="2A2A2A"/>
          <w:sz w:val="22"/>
        </w:rPr>
        <w:t>Partner acquisition: a “proof package” for institutions considering distributing ECP materials.</w:t>
      </w:r>
    </w:p>
    <w:p>
      <w:pPr>
        <w:spacing w:before="360" w:after="160"/>
      </w:pPr>
      <w:r>
        <w:rPr>
          <w:rFonts w:ascii="Calibri" w:hAnsi="Calibri" w:eastAsia="Calibri"/>
          <w:b/>
          <w:color w:val="081F52"/>
          <w:sz w:val="32"/>
        </w:rPr>
        <w:t>7. Suggested Success Measures</w:t>
      </w:r>
    </w:p>
    <w:p>
      <w:pPr>
        <w:spacing w:after="160" w:before="0" w:line="276" w:lineRule="auto"/>
        <w:jc w:val="left"/>
      </w:pPr>
      <w:r>
        <w:rPr>
          <w:rFonts w:ascii="Calibri" w:hAnsi="Calibri" w:eastAsia="Calibri"/>
          <w:b w:val="0"/>
          <w:i w:val="0"/>
          <w:color w:val="2A2A2A"/>
          <w:sz w:val="22"/>
        </w:rPr>
        <w:t>If ECP adopts and iterates on this model, success can be measured by:</w:t>
      </w:r>
    </w:p>
    <w:p>
      <w:pPr>
        <w:pStyle w:val="ListBullet"/>
        <w:spacing w:after="80" w:before="0"/>
      </w:pPr>
      <w:r>
        <w:rPr>
          <w:rFonts w:ascii="Calibri" w:hAnsi="Calibri" w:eastAsia="Calibri"/>
          <w:b w:val="0"/>
          <w:color w:val="2A2A2A"/>
          <w:sz w:val="22"/>
        </w:rPr>
        <w:t>Engagement: average time on page, chapter completion rate, scroll depth.</w:t>
      </w:r>
    </w:p>
    <w:p>
      <w:pPr>
        <w:pStyle w:val="ListBullet"/>
        <w:spacing w:after="80" w:before="0"/>
      </w:pPr>
      <w:r>
        <w:rPr>
          <w:rFonts w:ascii="Calibri" w:hAnsi="Calibri" w:eastAsia="Calibri"/>
          <w:b w:val="0"/>
          <w:color w:val="2A2A2A"/>
          <w:sz w:val="22"/>
        </w:rPr>
        <w:t>Conversion: donation click-through rate, gift starts, completed gifts attributed to the story link.</w:t>
      </w:r>
    </w:p>
    <w:p>
      <w:pPr>
        <w:pStyle w:val="ListBullet"/>
        <w:spacing w:after="80" w:before="0"/>
      </w:pPr>
      <w:r>
        <w:rPr>
          <w:rFonts w:ascii="Calibri" w:hAnsi="Calibri" w:eastAsia="Calibri"/>
          <w:b w:val="0"/>
          <w:color w:val="2A2A2A"/>
          <w:sz w:val="22"/>
        </w:rPr>
        <w:t>Cultivation quality: use in major-donor meetings; qualitative feedback that the page “made the case.”</w:t>
      </w:r>
    </w:p>
    <w:p>
      <w:pPr>
        <w:pStyle w:val="ListBullet"/>
        <w:spacing w:after="80" w:before="0"/>
      </w:pPr>
      <w:r>
        <w:rPr>
          <w:rFonts w:ascii="Calibri" w:hAnsi="Calibri" w:eastAsia="Calibri"/>
          <w:b w:val="0"/>
          <w:color w:val="2A2A2A"/>
          <w:sz w:val="22"/>
        </w:rPr>
        <w:t>Shareability: unique visitors from shared links and partner forwards.</w:t>
      </w:r>
    </w:p>
    <w:p>
      <w:pPr>
        <w:pStyle w:val="ListBullet"/>
        <w:spacing w:after="80" w:before="0"/>
      </w:pPr>
      <w:r>
        <w:rPr>
          <w:rFonts w:ascii="Calibri" w:hAnsi="Calibri" w:eastAsia="Calibri"/>
          <w:b w:val="0"/>
          <w:color w:val="2A2A2A"/>
          <w:sz w:val="22"/>
        </w:rPr>
        <w:t>Trust signals: fewer clarification questions about “does it work?” and “where does money go?” after exposure.</w:t>
      </w:r>
    </w:p>
    <w:p>
      <w:pPr>
        <w:spacing w:before="360" w:after="160"/>
      </w:pPr>
      <w:r>
        <w:rPr>
          <w:rFonts w:ascii="Calibri" w:hAnsi="Calibri" w:eastAsia="Calibri"/>
          <w:b/>
          <w:color w:val="081F52"/>
          <w:sz w:val="32"/>
        </w:rPr>
        <w:t>8. Proposed Next Steps</w:t>
      </w:r>
    </w:p>
    <w:p>
      <w:pPr>
        <w:spacing w:after="160" w:before="0" w:line="276" w:lineRule="auto"/>
        <w:jc w:val="left"/>
      </w:pPr>
      <w:r>
        <w:rPr>
          <w:rFonts w:ascii="Calibri" w:hAnsi="Calibri" w:eastAsia="Calibri"/>
          <w:b w:val="0"/>
          <w:i w:val="0"/>
          <w:color w:val="2A2A2A"/>
          <w:sz w:val="22"/>
        </w:rPr>
        <w:t>We recommend a short collaborative phase after this pilot review:</w:t>
      </w:r>
    </w:p>
    <w:p>
      <w:pPr>
        <w:pStyle w:val="ListBullet"/>
        <w:spacing w:after="80" w:before="0"/>
      </w:pPr>
      <w:r>
        <w:rPr>
          <w:rFonts w:ascii="Calibri" w:hAnsi="Calibri" w:eastAsia="Calibri"/>
          <w:b w:val="0"/>
          <w:color w:val="2A2A2A"/>
          <w:sz w:val="22"/>
        </w:rPr>
        <w:t>1. Walkthrough: ECP leadership and development team review the live pilot with Ordinal Studio.</w:t>
      </w:r>
    </w:p>
    <w:p>
      <w:pPr>
        <w:pStyle w:val="ListBullet"/>
        <w:spacing w:after="80" w:before="0"/>
      </w:pPr>
      <w:r>
        <w:rPr>
          <w:rFonts w:ascii="Calibri" w:hAnsi="Calibri" w:eastAsia="Calibri"/>
          <w:b w:val="0"/>
          <w:color w:val="2A2A2A"/>
          <w:sz w:val="22"/>
        </w:rPr>
        <w:t>2. Feedback workshop: prioritize narrative, data accuracy, visual assets, and CTA.</w:t>
      </w:r>
    </w:p>
    <w:p>
      <w:pPr>
        <w:pStyle w:val="ListBullet"/>
        <w:spacing w:after="80" w:before="0"/>
      </w:pPr>
      <w:r>
        <w:rPr>
          <w:rFonts w:ascii="Calibri" w:hAnsi="Calibri" w:eastAsia="Calibri"/>
          <w:b w:val="0"/>
          <w:color w:val="2A2A2A"/>
          <w:sz w:val="22"/>
        </w:rPr>
        <w:t>3. Scoped Phase 2: implement the top improvements (content lock, conversion, analytics, brand hosting).</w:t>
      </w:r>
    </w:p>
    <w:p>
      <w:pPr>
        <w:pStyle w:val="ListBullet"/>
        <w:spacing w:after="80" w:before="0"/>
      </w:pPr>
      <w:r>
        <w:rPr>
          <w:rFonts w:ascii="Calibri" w:hAnsi="Calibri" w:eastAsia="Calibri"/>
          <w:b w:val="0"/>
          <w:color w:val="2A2A2A"/>
          <w:sz w:val="22"/>
        </w:rPr>
        <w:t>4. Soft launch: share with a small donor/partner panel; measure and refine.</w:t>
      </w:r>
    </w:p>
    <w:p>
      <w:pPr>
        <w:pStyle w:val="ListBullet"/>
        <w:spacing w:after="80" w:before="0"/>
      </w:pPr>
      <w:r>
        <w:rPr>
          <w:rFonts w:ascii="Calibri" w:hAnsi="Calibri" w:eastAsia="Calibri"/>
          <w:b w:val="0"/>
          <w:color w:val="2A2A2A"/>
          <w:sz w:val="22"/>
        </w:rPr>
        <w:t>5. Public launch: campaign integration (newsletter, social, major-donor outreach).</w:t>
      </w:r>
    </w:p>
    <w:p>
      <w:pPr>
        <w:spacing w:before="360" w:after="160"/>
      </w:pPr>
      <w:r>
        <w:rPr>
          <w:rFonts w:ascii="Calibri" w:hAnsi="Calibri" w:eastAsia="Calibri"/>
          <w:b/>
          <w:color w:val="081F52"/>
          <w:sz w:val="32"/>
        </w:rPr>
        <w:t>9. Closing</w:t>
      </w:r>
    </w:p>
    <w:p>
      <w:pPr>
        <w:spacing w:after="160" w:before="0" w:line="276" w:lineRule="auto"/>
        <w:jc w:val="left"/>
      </w:pPr>
      <w:r>
        <w:rPr>
          <w:rFonts w:ascii="Calibri" w:hAnsi="Calibri" w:eastAsia="Calibri"/>
          <w:b w:val="0"/>
          <w:i w:val="0"/>
          <w:color w:val="2A2A2A"/>
          <w:sz w:val="22"/>
        </w:rPr>
        <w:t>ECP already has something rare: a clear mission, independently tested evidence, global reach, and a stewardship story worth telling. What donors often lack is a single, immersive place where those pieces arrive in the right emotional order.</w:t>
      </w:r>
    </w:p>
    <w:p>
      <w:pPr>
        <w:spacing w:after="160" w:before="0" w:line="276" w:lineRule="auto"/>
        <w:jc w:val="left"/>
      </w:pPr>
      <w:r>
        <w:rPr>
          <w:rFonts w:ascii="Calibri" w:hAnsi="Calibri" w:eastAsia="Calibri"/>
          <w:b w:val="0"/>
          <w:i w:val="0"/>
          <w:color w:val="2A2A2A"/>
          <w:sz w:val="22"/>
        </w:rPr>
        <w:t>One Choice at a Time is Ordinal Studio’s pilot answer to that need — a working model that shows how interactive storytelling can turn reports into resonance, and resonance into support.</w:t>
      </w:r>
    </w:p>
    <w:p>
      <w:pPr>
        <w:spacing w:after="160" w:before="0" w:line="276" w:lineRule="auto"/>
        <w:jc w:val="left"/>
      </w:pPr>
      <w:r>
        <w:rPr>
          <w:rFonts w:ascii="Calibri" w:hAnsi="Calibri" w:eastAsia="Calibri"/>
          <w:b w:val="0"/>
          <w:i w:val="0"/>
          <w:color w:val="2A2A2A"/>
          <w:sz w:val="22"/>
        </w:rPr>
        <w:t>We would welcome the opportunity to refine this experience with ECP so that the next version does not only represent the organization well, but actively helps fund the classrooms still waiting for their first lesson.</w:t>
      </w:r>
    </w:p>
    <w:p>
      <w:pPr>
        <w:spacing w:before="120" w:after="120"/>
        <w:pBdr>
          <w:bottom w:val="single" w:sz="12" w:space="1" w:color="F5A200"/>
        </w:pBdr>
      </w:pPr>
    </w:p>
    <w:p>
      <w:pPr>
        <w:spacing w:after="40" w:before="160" w:line="276" w:lineRule="auto"/>
        <w:jc w:val="left"/>
      </w:pPr>
      <w:r>
        <w:rPr>
          <w:rFonts w:ascii="Calibri" w:hAnsi="Calibri" w:eastAsia="Calibri"/>
          <w:b/>
          <w:i w:val="0"/>
          <w:color w:val="081F52"/>
          <w:sz w:val="22"/>
        </w:rPr>
        <w:t>Ordinal Studio</w:t>
      </w:r>
    </w:p>
    <w:p>
      <w:pPr>
        <w:spacing w:after="40" w:before="0" w:line="276" w:lineRule="auto"/>
        <w:jc w:val="left"/>
      </w:pPr>
      <w:r>
        <w:rPr>
          <w:rFonts w:ascii="Calibri" w:hAnsi="Calibri" w:eastAsia="Calibri"/>
          <w:b w:val="0"/>
          <w:i w:val="0"/>
          <w:color w:val="5A5A5A"/>
          <w:sz w:val="18"/>
        </w:rPr>
        <w:t>Interactive storytelling · data experiences · impact communication</w:t>
      </w:r>
    </w:p>
    <w:p>
      <w:pPr>
        <w:spacing w:after="160" w:before="0" w:line="276" w:lineRule="auto"/>
        <w:jc w:val="left"/>
      </w:pPr>
      <w:r>
        <w:rPr>
          <w:rFonts w:ascii="Calibri" w:hAnsi="Calibri" w:eastAsia="Calibri"/>
          <w:b w:val="0"/>
          <w:i/>
          <w:color w:val="5A5A5A"/>
          <w:sz w:val="16"/>
        </w:rPr>
        <w:t>Built with publicly available ECP impact data for demonstration purposes. All figures remain the intellectual and reporting property of the Educated Choices Program.</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