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120"/>
        <w:jc w:val="center"/>
      </w:pPr>
      <w:r>
        <w:rPr>
          <w:rFonts w:ascii="Times New Roman" w:hAnsi="Times New Roman" w:eastAsia="Times New Roman"/>
          <w:b/>
          <w:i w:val="0"/>
          <w:color w:val="6E1A1A"/>
          <w:sz w:val="48"/>
        </w:rPr>
        <w:t>RESULTS AND DISCUSSION</w:t>
      </w:r>
    </w:p>
    <w:p>
      <w:pPr>
        <w:spacing w:after="120"/>
        <w:jc w:val="center"/>
      </w:pPr>
      <w:r>
        <w:rPr>
          <w:rFonts w:ascii="Times New Roman" w:hAnsi="Times New Roman" w:eastAsia="Times New Roman"/>
          <w:b w:val="0"/>
          <w:i w:val="0"/>
          <w:color w:val="555555"/>
          <w:sz w:val="28"/>
        </w:rPr>
        <w:t>AND</w:t>
      </w:r>
    </w:p>
    <w:p>
      <w:pPr>
        <w:spacing w:before="240" w:after="240"/>
        <w:jc w:val="center"/>
      </w:pPr>
      <w:r>
        <w:rPr>
          <w:rFonts w:ascii="Times New Roman" w:hAnsi="Times New Roman" w:eastAsia="Times New Roman"/>
          <w:b/>
          <w:i w:val="0"/>
          <w:color w:val="6E1A1A"/>
          <w:sz w:val="40"/>
        </w:rPr>
        <w:t>CONCLUSIONS AND RECOMMENDATIONS</w:t>
      </w:r>
    </w:p>
    <w:p>
      <w:pPr>
        <w:spacing w:after="480"/>
        <w:jc w:val="center"/>
      </w:pPr>
      <w:r>
        <w:rPr>
          <w:rFonts w:ascii="Times New Roman" w:hAnsi="Times New Roman" w:eastAsia="Times New Roman"/>
          <w:b/>
          <w:i w:val="0"/>
          <w:color w:val="555555"/>
          <w:sz w:val="28"/>
        </w:rPr>
        <w:t>RCC Automated Payroll System (RCC-APS)</w:t>
      </w:r>
    </w:p>
    <w:p>
      <w:pPr>
        <w:spacing w:after="120"/>
        <w:jc w:val="center"/>
      </w:pPr>
      <w:r>
        <w:rPr>
          <w:rFonts w:ascii="Times New Roman" w:hAnsi="Times New Roman" w:eastAsia="Times New Roman"/>
          <w:b w:val="0"/>
          <w:i w:val="0"/>
          <w:sz w:val="24"/>
        </w:rPr>
        <w:t>Republic Central Colleges (RCC)</w:t>
      </w:r>
    </w:p>
    <w:p>
      <w:pPr>
        <w:spacing w:after="120"/>
        <w:jc w:val="center"/>
      </w:pPr>
      <w:r>
        <w:rPr>
          <w:rFonts w:ascii="Times New Roman" w:hAnsi="Times New Roman" w:eastAsia="Times New Roman"/>
          <w:b w:val="0"/>
          <w:i w:val="0"/>
          <w:color w:val="555555"/>
          <w:sz w:val="24"/>
        </w:rPr>
        <w:t>[School Address]</w:t>
        <w:br/>
        <w:t>[Course and Year]</w:t>
        <w:br/>
        <w:t>[Date]</w:t>
      </w:r>
    </w:p>
    <w:p>
      <w:r>
        <w:br w:type="page"/>
      </w:r>
    </w:p>
    <w:p>
      <w:pPr>
        <w:spacing w:before="240" w:after="120"/>
      </w:pPr>
      <w:r>
        <w:rPr>
          <w:rFonts w:ascii="Times New Roman" w:hAnsi="Times New Roman" w:eastAsia="Times New Roman"/>
          <w:b/>
          <w:i w:val="0"/>
          <w:color w:val="6E1A1A"/>
          <w:sz w:val="32"/>
        </w:rPr>
        <w:t>RESULTS AND DISCUSSION</w:t>
      </w:r>
    </w:p>
    <w:p>
      <w:pPr>
        <w:spacing w:after="120"/>
      </w:pPr>
      <w:r>
        <w:rPr>
          <w:rFonts w:ascii="Times New Roman" w:hAnsi="Times New Roman" w:eastAsia="Times New Roman"/>
          <w:b w:val="0"/>
          <w:i w:val="0"/>
          <w:sz w:val="24"/>
        </w:rPr>
        <w:t>This section presents and interprets the key outcomes of the RCC-APS based on the methodology described in the preceding chapter. It discusses how the completed system meets each of the objectives of the study, presents the sample outputs produced by the system, and highlights the insights and issues encountered during the development process. Detailed outputs, screenshots, and other supporting materials may be found in the Project Artifacts section.</w:t>
      </w:r>
    </w:p>
    <w:p>
      <w:pPr>
        <w:spacing w:before="160" w:after="80"/>
      </w:pPr>
      <w:r>
        <w:rPr>
          <w:rFonts w:ascii="Times New Roman" w:hAnsi="Times New Roman" w:eastAsia="Times New Roman"/>
          <w:b/>
          <w:i w:val="0"/>
          <w:sz w:val="26"/>
        </w:rPr>
        <w:t>System Development Results</w:t>
      </w:r>
    </w:p>
    <w:p>
      <w:pPr>
        <w:spacing w:after="120"/>
      </w:pPr>
      <w:r>
        <w:rPr>
          <w:rFonts w:ascii="Times New Roman" w:hAnsi="Times New Roman" w:eastAsia="Times New Roman"/>
          <w:b w:val="0"/>
          <w:i w:val="0"/>
          <w:sz w:val="24"/>
        </w:rPr>
        <w:t>All six modules of the RCC-APS — the Login Module (M1), User Management Module (M2), Payroll Calculation Module (M3), Employee Dashboard Module (M4), Reporting Module (M5), and Deduction Table Management Module (M6) — were successfully designed, developed, integrated, and tested within the six Agile sprints described in the methodology. The completed application runs as a single-page web application built with HTML5, CSS3, and JavaScript, supported by a Node.js and Express.js backend, a JSON-file database synchronized with browser localStorage, and role-based access control for the three user classes. Screenshots of the implemented modules are presented in the Project Artifacts section.</w:t>
      </w:r>
    </w:p>
    <w:p>
      <w:pPr>
        <w:spacing w:before="160" w:after="80"/>
      </w:pPr>
      <w:r>
        <w:rPr>
          <w:rFonts w:ascii="Times New Roman" w:hAnsi="Times New Roman" w:eastAsia="Times New Roman"/>
          <w:b/>
          <w:i w:val="0"/>
          <w:sz w:val="26"/>
        </w:rPr>
        <w:t>Payroll Computation Results</w:t>
      </w:r>
    </w:p>
    <w:p>
      <w:pPr>
        <w:spacing w:after="120"/>
      </w:pPr>
      <w:r>
        <w:rPr>
          <w:rFonts w:ascii="Times New Roman" w:hAnsi="Times New Roman" w:eastAsia="Times New Roman"/>
          <w:b w:val="0"/>
          <w:i w:val="0"/>
          <w:sz w:val="24"/>
        </w:rPr>
        <w:t>The Payroll Calculation Engine (M3) was validated against the official SSS salary credit table (Republic Act No. 11199), the 5% PhilHealth premium rate with a 2.5% employee share (Republic Act No. 11223), the Pag-IBIG contribution computed at 2% of monthly compensation and capped at ₱100.00 (Republic Act No. 9679), and the BIR withholding tax schedule under the TRAIN Law (Republic Act No. 10963). Each computation formula produced results that matched the manual computations performed using the official contribution tables.</w:t>
      </w:r>
    </w:p>
    <w:p>
      <w:pPr>
        <w:spacing w:before="160" w:after="80"/>
      </w:pPr>
      <w:r>
        <w:rPr>
          <w:rFonts w:ascii="Times New Roman" w:hAnsi="Times New Roman" w:eastAsia="Times New Roman"/>
          <w:b/>
          <w:i w:val="0"/>
          <w:color w:val="6E1A1A"/>
          <w:sz w:val="24"/>
        </w:rPr>
        <w:t>Sample Monthly Payroll Computation</w:t>
      </w:r>
    </w:p>
    <w:p>
      <w:pPr>
        <w:spacing w:after="120"/>
      </w:pPr>
      <w:r>
        <w:rPr>
          <w:rFonts w:ascii="Times New Roman" w:hAnsi="Times New Roman" w:eastAsia="Times New Roman"/>
          <w:b w:val="0"/>
          <w:i w:val="0"/>
          <w:sz w:val="24"/>
        </w:rPr>
        <w:t>Table 1 shows the monthly deductions and net pay computed by the system for the three active demo employees for the December 2026 payroll period. The BIR withholding tax was annualized on the monthly taxable income — the gross pay minus the employee’s mandatory SSS, PhilHealth, and Pag-IBIG contributions — consistent with the annualization rules under BIR Revenue Regulations No. 11-2018.</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6E1A1A"/>
          </w:tcPr>
          <w:p>
            <w:pPr>
              <w:jc w:val="center"/>
            </w:pPr>
            <w:r/>
            <w:r>
              <w:rPr>
                <w:rFonts w:ascii="Times New Roman" w:hAnsi="Times New Roman" w:eastAsia="Times New Roman"/>
                <w:b/>
                <w:i w:val="0"/>
                <w:color w:val="FFFFFF"/>
                <w:sz w:val="20"/>
              </w:rPr>
              <w:t>Employee</w:t>
            </w:r>
          </w:p>
        </w:tc>
        <w:tc>
          <w:tcPr>
            <w:tcW w:type="dxa" w:w="1080"/>
            <w:shd w:val="clear" w:color="auto" w:fill="6E1A1A"/>
          </w:tcPr>
          <w:p>
            <w:pPr>
              <w:jc w:val="center"/>
            </w:pPr>
            <w:r/>
            <w:r>
              <w:rPr>
                <w:rFonts w:ascii="Times New Roman" w:hAnsi="Times New Roman" w:eastAsia="Times New Roman"/>
                <w:b/>
                <w:i w:val="0"/>
                <w:color w:val="FFFFFF"/>
                <w:sz w:val="20"/>
              </w:rPr>
              <w:t>Monthly Salary</w:t>
            </w:r>
          </w:p>
        </w:tc>
        <w:tc>
          <w:tcPr>
            <w:tcW w:type="dxa" w:w="1080"/>
            <w:shd w:val="clear" w:color="auto" w:fill="6E1A1A"/>
          </w:tcPr>
          <w:p>
            <w:pPr>
              <w:jc w:val="center"/>
            </w:pPr>
            <w:r/>
            <w:r>
              <w:rPr>
                <w:rFonts w:ascii="Times New Roman" w:hAnsi="Times New Roman" w:eastAsia="Times New Roman"/>
                <w:b/>
                <w:i w:val="0"/>
                <w:color w:val="FFFFFF"/>
                <w:sz w:val="20"/>
              </w:rPr>
              <w:t>SSS</w:t>
            </w:r>
          </w:p>
        </w:tc>
        <w:tc>
          <w:tcPr>
            <w:tcW w:type="dxa" w:w="1080"/>
            <w:shd w:val="clear" w:color="auto" w:fill="6E1A1A"/>
          </w:tcPr>
          <w:p>
            <w:pPr>
              <w:jc w:val="center"/>
            </w:pPr>
            <w:r/>
            <w:r>
              <w:rPr>
                <w:rFonts w:ascii="Times New Roman" w:hAnsi="Times New Roman" w:eastAsia="Times New Roman"/>
                <w:b/>
                <w:i w:val="0"/>
                <w:color w:val="FFFFFF"/>
                <w:sz w:val="20"/>
              </w:rPr>
              <w:t>PhilHealth</w:t>
            </w:r>
          </w:p>
        </w:tc>
        <w:tc>
          <w:tcPr>
            <w:tcW w:type="dxa" w:w="1080"/>
            <w:shd w:val="clear" w:color="auto" w:fill="6E1A1A"/>
          </w:tcPr>
          <w:p>
            <w:pPr>
              <w:jc w:val="center"/>
            </w:pPr>
            <w:r/>
            <w:r>
              <w:rPr>
                <w:rFonts w:ascii="Times New Roman" w:hAnsi="Times New Roman" w:eastAsia="Times New Roman"/>
                <w:b/>
                <w:i w:val="0"/>
                <w:color w:val="FFFFFF"/>
                <w:sz w:val="20"/>
              </w:rPr>
              <w:t>Pag-IBIG</w:t>
            </w:r>
          </w:p>
        </w:tc>
        <w:tc>
          <w:tcPr>
            <w:tcW w:type="dxa" w:w="1080"/>
            <w:shd w:val="clear" w:color="auto" w:fill="6E1A1A"/>
          </w:tcPr>
          <w:p>
            <w:pPr>
              <w:jc w:val="center"/>
            </w:pPr>
            <w:r/>
            <w:r>
              <w:rPr>
                <w:rFonts w:ascii="Times New Roman" w:hAnsi="Times New Roman" w:eastAsia="Times New Roman"/>
                <w:b/>
                <w:i w:val="0"/>
                <w:color w:val="FFFFFF"/>
                <w:sz w:val="20"/>
              </w:rPr>
              <w:t>Taxable Income</w:t>
            </w:r>
          </w:p>
        </w:tc>
        <w:tc>
          <w:tcPr>
            <w:tcW w:type="dxa" w:w="1080"/>
            <w:shd w:val="clear" w:color="auto" w:fill="6E1A1A"/>
          </w:tcPr>
          <w:p>
            <w:pPr>
              <w:jc w:val="center"/>
            </w:pPr>
            <w:r/>
            <w:r>
              <w:rPr>
                <w:rFonts w:ascii="Times New Roman" w:hAnsi="Times New Roman" w:eastAsia="Times New Roman"/>
                <w:b/>
                <w:i w:val="0"/>
                <w:color w:val="FFFFFF"/>
                <w:sz w:val="20"/>
              </w:rPr>
              <w:t>BIR W/H</w:t>
            </w:r>
          </w:p>
        </w:tc>
        <w:tc>
          <w:tcPr>
            <w:tcW w:type="dxa" w:w="1080"/>
            <w:shd w:val="clear" w:color="auto" w:fill="6E1A1A"/>
          </w:tcPr>
          <w:p>
            <w:pPr>
              <w:jc w:val="center"/>
            </w:pPr>
            <w:r/>
            <w:r>
              <w:rPr>
                <w:rFonts w:ascii="Times New Roman" w:hAnsi="Times New Roman" w:eastAsia="Times New Roman"/>
                <w:b/>
                <w:i w:val="0"/>
                <w:color w:val="FFFFFF"/>
                <w:sz w:val="20"/>
              </w:rPr>
              <w:t>Net Pay</w:t>
            </w:r>
          </w:p>
        </w:tc>
      </w:tr>
      <w:tr>
        <w:tc>
          <w:tcPr>
            <w:tcW w:type="dxa" w:w="1080"/>
          </w:tcPr>
          <w:p>
            <w:pPr>
              <w:jc w:val="center"/>
            </w:pPr>
            <w:r/>
            <w:r>
              <w:rPr>
                <w:rFonts w:ascii="Times New Roman" w:hAnsi="Times New Roman" w:eastAsia="Times New Roman"/>
                <w:b w:val="0"/>
                <w:i w:val="0"/>
                <w:sz w:val="20"/>
              </w:rPr>
              <w:t>Nash Valencia</w:t>
            </w:r>
          </w:p>
        </w:tc>
        <w:tc>
          <w:tcPr>
            <w:tcW w:type="dxa" w:w="1080"/>
          </w:tcPr>
          <w:p>
            <w:pPr>
              <w:jc w:val="center"/>
            </w:pPr>
            <w:r/>
            <w:r>
              <w:rPr>
                <w:rFonts w:ascii="Times New Roman" w:hAnsi="Times New Roman" w:eastAsia="Times New Roman"/>
                <w:b w:val="0"/>
                <w:i w:val="0"/>
                <w:sz w:val="20"/>
              </w:rPr>
              <w:t>45,000.00</w:t>
            </w:r>
          </w:p>
        </w:tc>
        <w:tc>
          <w:tcPr>
            <w:tcW w:type="dxa" w:w="1080"/>
          </w:tcPr>
          <w:p>
            <w:pPr>
              <w:jc w:val="center"/>
            </w:pPr>
            <w:r/>
            <w:r>
              <w:rPr>
                <w:rFonts w:ascii="Times New Roman" w:hAnsi="Times New Roman" w:eastAsia="Times New Roman"/>
                <w:b w:val="0"/>
                <w:i w:val="0"/>
                <w:sz w:val="20"/>
              </w:rPr>
              <w:t>1,750.00</w:t>
            </w:r>
          </w:p>
        </w:tc>
        <w:tc>
          <w:tcPr>
            <w:tcW w:type="dxa" w:w="1080"/>
          </w:tcPr>
          <w:p>
            <w:pPr>
              <w:jc w:val="center"/>
            </w:pPr>
            <w:r/>
            <w:r>
              <w:rPr>
                <w:rFonts w:ascii="Times New Roman" w:hAnsi="Times New Roman" w:eastAsia="Times New Roman"/>
                <w:b w:val="0"/>
                <w:i w:val="0"/>
                <w:sz w:val="20"/>
              </w:rPr>
              <w:t>1,125.00</w:t>
            </w:r>
          </w:p>
        </w:tc>
        <w:tc>
          <w:tcPr>
            <w:tcW w:type="dxa" w:w="1080"/>
          </w:tcPr>
          <w:p>
            <w:pPr>
              <w:jc w:val="center"/>
            </w:pPr>
            <w:r/>
            <w:r>
              <w:rPr>
                <w:rFonts w:ascii="Times New Roman" w:hAnsi="Times New Roman" w:eastAsia="Times New Roman"/>
                <w:b w:val="0"/>
                <w:i w:val="0"/>
                <w:sz w:val="20"/>
              </w:rPr>
              <w:t>100.00</w:t>
            </w:r>
          </w:p>
        </w:tc>
        <w:tc>
          <w:tcPr>
            <w:tcW w:type="dxa" w:w="1080"/>
          </w:tcPr>
          <w:p>
            <w:pPr>
              <w:jc w:val="center"/>
            </w:pPr>
            <w:r/>
            <w:r>
              <w:rPr>
                <w:rFonts w:ascii="Times New Roman" w:hAnsi="Times New Roman" w:eastAsia="Times New Roman"/>
                <w:b w:val="0"/>
                <w:i w:val="0"/>
                <w:sz w:val="20"/>
              </w:rPr>
              <w:t>42,025.00</w:t>
            </w:r>
          </w:p>
        </w:tc>
        <w:tc>
          <w:tcPr>
            <w:tcW w:type="dxa" w:w="1080"/>
          </w:tcPr>
          <w:p>
            <w:pPr>
              <w:jc w:val="center"/>
            </w:pPr>
            <w:r/>
            <w:r>
              <w:rPr>
                <w:rFonts w:ascii="Times New Roman" w:hAnsi="Times New Roman" w:eastAsia="Times New Roman"/>
                <w:b w:val="0"/>
                <w:i w:val="0"/>
                <w:sz w:val="20"/>
              </w:rPr>
              <w:t>3,613.33</w:t>
            </w:r>
          </w:p>
        </w:tc>
        <w:tc>
          <w:tcPr>
            <w:tcW w:type="dxa" w:w="1080"/>
          </w:tcPr>
          <w:p>
            <w:pPr>
              <w:jc w:val="center"/>
            </w:pPr>
            <w:r/>
            <w:r>
              <w:rPr>
                <w:rFonts w:ascii="Times New Roman" w:hAnsi="Times New Roman" w:eastAsia="Times New Roman"/>
                <w:b w:val="0"/>
                <w:i w:val="0"/>
                <w:sz w:val="20"/>
              </w:rPr>
              <w:t>38,411.67</w:t>
            </w:r>
          </w:p>
        </w:tc>
      </w:tr>
      <w:tr>
        <w:tc>
          <w:tcPr>
            <w:tcW w:type="dxa" w:w="1080"/>
            <w:shd w:val="clear" w:color="auto" w:fill="F5F0F0"/>
          </w:tcPr>
          <w:p>
            <w:pPr>
              <w:jc w:val="center"/>
            </w:pPr>
            <w:r/>
            <w:r>
              <w:rPr>
                <w:rFonts w:ascii="Times New Roman" w:hAnsi="Times New Roman" w:eastAsia="Times New Roman"/>
                <w:b w:val="0"/>
                <w:i w:val="0"/>
                <w:sz w:val="20"/>
              </w:rPr>
              <w:t>John Cabigting</w:t>
            </w:r>
          </w:p>
        </w:tc>
        <w:tc>
          <w:tcPr>
            <w:tcW w:type="dxa" w:w="1080"/>
            <w:shd w:val="clear" w:color="auto" w:fill="F5F0F0"/>
          </w:tcPr>
          <w:p>
            <w:pPr>
              <w:jc w:val="center"/>
            </w:pPr>
            <w:r/>
            <w:r>
              <w:rPr>
                <w:rFonts w:ascii="Times New Roman" w:hAnsi="Times New Roman" w:eastAsia="Times New Roman"/>
                <w:b w:val="0"/>
                <w:i w:val="0"/>
                <w:sz w:val="20"/>
              </w:rPr>
              <w:t>38,000.00</w:t>
            </w:r>
          </w:p>
        </w:tc>
        <w:tc>
          <w:tcPr>
            <w:tcW w:type="dxa" w:w="1080"/>
            <w:shd w:val="clear" w:color="auto" w:fill="F5F0F0"/>
          </w:tcPr>
          <w:p>
            <w:pPr>
              <w:jc w:val="center"/>
            </w:pPr>
            <w:r/>
            <w:r>
              <w:rPr>
                <w:rFonts w:ascii="Times New Roman" w:hAnsi="Times New Roman" w:eastAsia="Times New Roman"/>
                <w:b w:val="0"/>
                <w:i w:val="0"/>
                <w:sz w:val="20"/>
              </w:rPr>
              <w:t>1,750.00</w:t>
            </w:r>
          </w:p>
        </w:tc>
        <w:tc>
          <w:tcPr>
            <w:tcW w:type="dxa" w:w="1080"/>
            <w:shd w:val="clear" w:color="auto" w:fill="F5F0F0"/>
          </w:tcPr>
          <w:p>
            <w:pPr>
              <w:jc w:val="center"/>
            </w:pPr>
            <w:r/>
            <w:r>
              <w:rPr>
                <w:rFonts w:ascii="Times New Roman" w:hAnsi="Times New Roman" w:eastAsia="Times New Roman"/>
                <w:b w:val="0"/>
                <w:i w:val="0"/>
                <w:sz w:val="20"/>
              </w:rPr>
              <w:t xml:space="preserve">  950.00</w:t>
            </w:r>
          </w:p>
        </w:tc>
        <w:tc>
          <w:tcPr>
            <w:tcW w:type="dxa" w:w="1080"/>
            <w:shd w:val="clear" w:color="auto" w:fill="F5F0F0"/>
          </w:tcPr>
          <w:p>
            <w:pPr>
              <w:jc w:val="center"/>
            </w:pPr>
            <w:r/>
            <w:r>
              <w:rPr>
                <w:rFonts w:ascii="Times New Roman" w:hAnsi="Times New Roman" w:eastAsia="Times New Roman"/>
                <w:b w:val="0"/>
                <w:i w:val="0"/>
                <w:sz w:val="20"/>
              </w:rPr>
              <w:t>100.00</w:t>
            </w:r>
          </w:p>
        </w:tc>
        <w:tc>
          <w:tcPr>
            <w:tcW w:type="dxa" w:w="1080"/>
            <w:shd w:val="clear" w:color="auto" w:fill="F5F0F0"/>
          </w:tcPr>
          <w:p>
            <w:pPr>
              <w:jc w:val="center"/>
            </w:pPr>
            <w:r/>
            <w:r>
              <w:rPr>
                <w:rFonts w:ascii="Times New Roman" w:hAnsi="Times New Roman" w:eastAsia="Times New Roman"/>
                <w:b w:val="0"/>
                <w:i w:val="0"/>
                <w:sz w:val="20"/>
              </w:rPr>
              <w:t>35,200.00</w:t>
            </w:r>
          </w:p>
        </w:tc>
        <w:tc>
          <w:tcPr>
            <w:tcW w:type="dxa" w:w="1080"/>
            <w:shd w:val="clear" w:color="auto" w:fill="F5F0F0"/>
          </w:tcPr>
          <w:p>
            <w:pPr>
              <w:jc w:val="center"/>
            </w:pPr>
            <w:r/>
            <w:r>
              <w:rPr>
                <w:rFonts w:ascii="Times New Roman" w:hAnsi="Times New Roman" w:eastAsia="Times New Roman"/>
                <w:b w:val="0"/>
                <w:i w:val="0"/>
                <w:sz w:val="20"/>
              </w:rPr>
              <w:t>2,248.33</w:t>
            </w:r>
          </w:p>
        </w:tc>
        <w:tc>
          <w:tcPr>
            <w:tcW w:type="dxa" w:w="1080"/>
            <w:shd w:val="clear" w:color="auto" w:fill="F5F0F0"/>
          </w:tcPr>
          <w:p>
            <w:pPr>
              <w:jc w:val="center"/>
            </w:pPr>
            <w:r/>
            <w:r>
              <w:rPr>
                <w:rFonts w:ascii="Times New Roman" w:hAnsi="Times New Roman" w:eastAsia="Times New Roman"/>
                <w:b w:val="0"/>
                <w:i w:val="0"/>
                <w:sz w:val="20"/>
              </w:rPr>
              <w:t>32,951.67</w:t>
            </w:r>
          </w:p>
        </w:tc>
      </w:tr>
      <w:tr>
        <w:tc>
          <w:tcPr>
            <w:tcW w:type="dxa" w:w="1080"/>
          </w:tcPr>
          <w:p>
            <w:pPr>
              <w:jc w:val="center"/>
            </w:pPr>
            <w:r/>
            <w:r>
              <w:rPr>
                <w:rFonts w:ascii="Times New Roman" w:hAnsi="Times New Roman" w:eastAsia="Times New Roman"/>
                <w:b w:val="0"/>
                <w:i w:val="0"/>
                <w:sz w:val="20"/>
              </w:rPr>
              <w:t>Jhon Gerald Batuaan</w:t>
            </w:r>
          </w:p>
        </w:tc>
        <w:tc>
          <w:tcPr>
            <w:tcW w:type="dxa" w:w="1080"/>
          </w:tcPr>
          <w:p>
            <w:pPr>
              <w:jc w:val="center"/>
            </w:pPr>
            <w:r/>
            <w:r>
              <w:rPr>
                <w:rFonts w:ascii="Times New Roman" w:hAnsi="Times New Roman" w:eastAsia="Times New Roman"/>
                <w:b w:val="0"/>
                <w:i w:val="0"/>
                <w:sz w:val="20"/>
              </w:rPr>
              <w:t>28,500.00</w:t>
            </w:r>
          </w:p>
        </w:tc>
        <w:tc>
          <w:tcPr>
            <w:tcW w:type="dxa" w:w="1080"/>
          </w:tcPr>
          <w:p>
            <w:pPr>
              <w:jc w:val="center"/>
            </w:pPr>
            <w:r/>
            <w:r>
              <w:rPr>
                <w:rFonts w:ascii="Times New Roman" w:hAnsi="Times New Roman" w:eastAsia="Times New Roman"/>
                <w:b w:val="0"/>
                <w:i w:val="0"/>
                <w:sz w:val="20"/>
              </w:rPr>
              <w:t>1,425.00</w:t>
            </w:r>
          </w:p>
        </w:tc>
        <w:tc>
          <w:tcPr>
            <w:tcW w:type="dxa" w:w="1080"/>
          </w:tcPr>
          <w:p>
            <w:pPr>
              <w:jc w:val="center"/>
            </w:pPr>
            <w:r/>
            <w:r>
              <w:rPr>
                <w:rFonts w:ascii="Times New Roman" w:hAnsi="Times New Roman" w:eastAsia="Times New Roman"/>
                <w:b w:val="0"/>
                <w:i w:val="0"/>
                <w:sz w:val="20"/>
              </w:rPr>
              <w:t xml:space="preserve">  712.50</w:t>
            </w:r>
          </w:p>
        </w:tc>
        <w:tc>
          <w:tcPr>
            <w:tcW w:type="dxa" w:w="1080"/>
          </w:tcPr>
          <w:p>
            <w:pPr>
              <w:jc w:val="center"/>
            </w:pPr>
            <w:r/>
            <w:r>
              <w:rPr>
                <w:rFonts w:ascii="Times New Roman" w:hAnsi="Times New Roman" w:eastAsia="Times New Roman"/>
                <w:b w:val="0"/>
                <w:i w:val="0"/>
                <w:sz w:val="20"/>
              </w:rPr>
              <w:t>100.00</w:t>
            </w:r>
          </w:p>
        </w:tc>
        <w:tc>
          <w:tcPr>
            <w:tcW w:type="dxa" w:w="1080"/>
          </w:tcPr>
          <w:p>
            <w:pPr>
              <w:jc w:val="center"/>
            </w:pPr>
            <w:r/>
            <w:r>
              <w:rPr>
                <w:rFonts w:ascii="Times New Roman" w:hAnsi="Times New Roman" w:eastAsia="Times New Roman"/>
                <w:b w:val="0"/>
                <w:i w:val="0"/>
                <w:sz w:val="20"/>
              </w:rPr>
              <w:t>26,262.50</w:t>
            </w:r>
          </w:p>
        </w:tc>
        <w:tc>
          <w:tcPr>
            <w:tcW w:type="dxa" w:w="1080"/>
          </w:tcPr>
          <w:p>
            <w:pPr>
              <w:jc w:val="center"/>
            </w:pPr>
            <w:r/>
            <w:r>
              <w:rPr>
                <w:rFonts w:ascii="Times New Roman" w:hAnsi="Times New Roman" w:eastAsia="Times New Roman"/>
                <w:b w:val="0"/>
                <w:i w:val="0"/>
                <w:sz w:val="20"/>
              </w:rPr>
              <w:t xml:space="preserve">  814.38</w:t>
            </w:r>
          </w:p>
        </w:tc>
        <w:tc>
          <w:tcPr>
            <w:tcW w:type="dxa" w:w="1080"/>
          </w:tcPr>
          <w:p>
            <w:pPr>
              <w:jc w:val="center"/>
            </w:pPr>
            <w:r/>
            <w:r>
              <w:rPr>
                <w:rFonts w:ascii="Times New Roman" w:hAnsi="Times New Roman" w:eastAsia="Times New Roman"/>
                <w:b w:val="0"/>
                <w:i w:val="0"/>
                <w:sz w:val="20"/>
              </w:rPr>
              <w:t>25,448.12</w:t>
            </w:r>
          </w:p>
        </w:tc>
      </w:tr>
    </w:tbl>
    <w:p>
      <w:pPr>
        <w:spacing w:after="120"/>
        <w:jc w:val="center"/>
      </w:pPr>
      <w:r>
        <w:rPr>
          <w:rFonts w:ascii="Times New Roman" w:hAnsi="Times New Roman" w:eastAsia="Times New Roman"/>
          <w:b w:val="0"/>
          <w:i/>
          <w:sz w:val="20"/>
        </w:rPr>
        <w:t>Table 1. Sample Monthly Payroll Computation (December 2026)</w:t>
      </w:r>
    </w:p>
    <w:p>
      <w:pPr>
        <w:spacing w:after="120"/>
      </w:pPr>
      <w:r>
        <w:rPr>
          <w:rFonts w:ascii="Times New Roman" w:hAnsi="Times New Roman" w:eastAsia="Times New Roman"/>
          <w:b w:val="0"/>
          <w:i w:val="0"/>
          <w:sz w:val="24"/>
        </w:rPr>
        <w:t>For example, Jhon Gerald Batuaan with a monthly salary of ₱28,500.00 incurs an SSS contribution of ₱1,425.00 (₱28,250.00 – ₱28,749.00 bracket), a PhilHealth premium of ₱712.50, and a Pag-IBIG contribution of ₱00.00, resulting in a monthly taxable income of ₱26,262.50. Annualized, this amounts to ₱315,150.00, which falls within the 15% withholding bracket, producing an annual withholding tax of ₱9,772.50, or ₱814.38 per month, and a final net pay of ₱25,448.12. Nash Valencia and John Cabigting, whose annual taxable incomes exceed the ₱250,000.00 exemption threshold, were correctly withheld at the applicable rates.</w:t>
      </w:r>
    </w:p>
    <w:p>
      <w:pPr>
        <w:spacing w:after="120"/>
      </w:pPr>
      <w:r>
        <w:rPr>
          <w:rFonts w:ascii="Times New Roman" w:hAnsi="Times New Roman" w:eastAsia="Times New Roman"/>
          <w:b w:val="0"/>
          <w:i w:val="0"/>
          <w:sz w:val="24"/>
        </w:rPr>
        <w:t>Every computed result was compared against the corresponding manual calculation performed using the official government tables. All figures matched to the centavo, confirming the accuracy and compliance of the Payroll Calculation Engine.</w:t>
      </w:r>
    </w:p>
    <w:p>
      <w:pPr>
        <w:spacing w:before="160" w:after="80"/>
      </w:pPr>
      <w:r>
        <w:rPr>
          <w:rFonts w:ascii="Times New Roman" w:hAnsi="Times New Roman" w:eastAsia="Times New Roman"/>
          <w:b/>
          <w:i w:val="0"/>
          <w:sz w:val="26"/>
        </w:rPr>
        <w:t>13th Month Pay and Bonus Compliance Results</w:t>
      </w:r>
    </w:p>
    <w:p>
      <w:pPr>
        <w:spacing w:after="120"/>
      </w:pPr>
      <w:r>
        <w:rPr>
          <w:rFonts w:ascii="Times New Roman" w:hAnsi="Times New Roman" w:eastAsia="Times New Roman"/>
          <w:b w:val="0"/>
          <w:i w:val="0"/>
          <w:sz w:val="24"/>
        </w:rPr>
        <w:t>The system computed the 13th month pay in accordance with Republic Act No. 8515, applying a pro-rated amount based on the months of service actually rendered during the year, and withheld the statutory excess tax on the 13th month pay and taxable bonuses in accordance with the ₱90,000.00 annual exemption provided under the TRAIN Law (Republic Act No. 10963, as amended by the CREATE Act). In the December 2026 payroll run, all demo employees remained within the ₱90,000.00 exemption, so their full 13th month pay was released tax-free. The system correctly identified any employee whose 13th month pay and taxable bonuses exceeded the exemption threshold and computed the corresponding excess withholding tax, which was applied in full to the December pay.</w:t>
      </w:r>
    </w:p>
    <w:p>
      <w:pPr>
        <w:spacing w:before="160" w:after="80"/>
      </w:pPr>
      <w:r>
        <w:rPr>
          <w:rFonts w:ascii="Times New Roman" w:hAnsi="Times New Roman" w:eastAsia="Times New Roman"/>
          <w:b/>
          <w:i w:val="0"/>
          <w:sz w:val="26"/>
        </w:rPr>
        <w:t>Employee Dashboard and Payslip Results</w:t>
      </w:r>
    </w:p>
    <w:p>
      <w:pPr>
        <w:spacing w:after="120"/>
      </w:pPr>
      <w:r>
        <w:rPr>
          <w:rFonts w:ascii="Times New Roman" w:hAnsi="Times New Roman" w:eastAsia="Times New Roman"/>
          <w:b w:val="0"/>
          <w:i w:val="0"/>
          <w:sz w:val="24"/>
        </w:rPr>
        <w:t>The Employee Dashboard Module (M4) successfully generated digital payslips containing a complete breakdown of gross pay, SSS, PhilHealth, Pag-IBIG, BIR withholding tax, 13th month pay, and net pay for each payroll period. Regular employees were able to view and download their payslips as PDF files through the Employee Dashboard and to update their personal contact information. Access to these features was restricted to the Regular Employee role, as defined by the role-based access control configuration.</w:t>
      </w:r>
    </w:p>
    <w:p>
      <w:pPr>
        <w:spacing w:before="160" w:after="80"/>
      </w:pPr>
      <w:r>
        <w:rPr>
          <w:rFonts w:ascii="Times New Roman" w:hAnsi="Times New Roman" w:eastAsia="Times New Roman"/>
          <w:b/>
          <w:i w:val="0"/>
          <w:sz w:val="26"/>
        </w:rPr>
        <w:t>Reporting Module Results</w:t>
      </w:r>
    </w:p>
    <w:p>
      <w:pPr>
        <w:spacing w:after="120"/>
      </w:pPr>
      <w:r>
        <w:rPr>
          <w:rFonts w:ascii="Times New Roman" w:hAnsi="Times New Roman" w:eastAsia="Times New Roman"/>
          <w:b w:val="0"/>
          <w:i w:val="0"/>
          <w:sz w:val="24"/>
        </w:rPr>
        <w:t>The Reporting Module (M5) enabled the Finance Officer to generate a payroll summary report and a government contribution report for a selected month and year. The reports correctly aggregated the gross pay and the SSS, PhilHealth, Pag-IBIG, and BIR withholding tax of all employees, and the column totals were verified to equal the sum of the corresponding individual payroll records. Both reports were successfully exported to PDF.</w:t>
      </w:r>
    </w:p>
    <w:p>
      <w:pPr>
        <w:spacing w:before="160" w:after="80"/>
      </w:pPr>
      <w:r>
        <w:rPr>
          <w:rFonts w:ascii="Times New Roman" w:hAnsi="Times New Roman" w:eastAsia="Times New Roman"/>
          <w:b/>
          <w:i w:val="0"/>
          <w:sz w:val="26"/>
        </w:rPr>
        <w:t>User Management and Deduction Table Management Results</w:t>
      </w:r>
    </w:p>
    <w:p>
      <w:pPr>
        <w:spacing w:after="120"/>
      </w:pPr>
      <w:r>
        <w:rPr>
          <w:rFonts w:ascii="Times New Roman" w:hAnsi="Times New Roman" w:eastAsia="Times New Roman"/>
          <w:b w:val="0"/>
          <w:i w:val="0"/>
          <w:sz w:val="24"/>
        </w:rPr>
        <w:t>Through the User Management Module (M2), the System Administrator was able to create, update, deactivate, and reactivate user accounts and assign user roles. Role-based access control prevented each user class from accessing functions outside its assigned role. Through the Deduction Table Management Module (M6), the Finance Officer was able to update the SSS, PhilHealth, Pag-IBIG, and BIR contribution tables directly through the system interface; the updated rates were applied to the payroll computations immediately without requiring any modification to the source code.</w:t>
      </w:r>
    </w:p>
    <w:p>
      <w:pPr>
        <w:spacing w:before="160" w:after="80"/>
      </w:pPr>
      <w:r>
        <w:rPr>
          <w:rFonts w:ascii="Times New Roman" w:hAnsi="Times New Roman" w:eastAsia="Times New Roman"/>
          <w:b/>
          <w:i w:val="0"/>
          <w:sz w:val="26"/>
        </w:rPr>
        <w:t>Testing Results</w:t>
      </w:r>
    </w:p>
    <w:p>
      <w:pPr>
        <w:spacing w:after="120"/>
      </w:pPr>
      <w:r>
        <w:rPr>
          <w:rFonts w:ascii="Times New Roman" w:hAnsi="Times New Roman" w:eastAsia="Times New Roman"/>
          <w:b w:val="0"/>
          <w:i w:val="0"/>
          <w:sz w:val="24"/>
        </w:rPr>
        <w:t>The testing procedures described in the methodology were executed and produced the following results. Unit testing of the Payroll Calculation Engine using Jest confirmed that each formula — the SSS bracket lookup, PhilHealth rate application, Pag-IBIG cap enforcement, BIR TRAIN Law annualization, and Net Pay derivation — matched the manually computed expected values based on the official government tables. Integration testing confirmed the data flow from the JSON-file database and browser localStorage to the calculation engine, from the calculation engine to payslip generation, and from the Reporting Module to the export functionality, and all REST API endpoints were verified using Postman. System testing confirmed the stability and correct behavior of the complete system in an operational environment. User Acceptance Testing was conducted with simulated end users representing the Finance Officer, Regular Employee, and System Administrator, and all defined acceptance criteria were met. Performance and security testing confirmed responsive payroll processing and report generation, and the protection of payroll data, employee records, and authentication tokens from unauthorized access. Regression testing was performed after every bug fix and confirmed that previously working features, particularly in the calculation engine, remained functional.</w:t>
      </w:r>
    </w:p>
    <w:p>
      <w:pPr>
        <w:spacing w:before="160" w:after="80"/>
      </w:pPr>
      <w:r>
        <w:rPr>
          <w:rFonts w:ascii="Times New Roman" w:hAnsi="Times New Roman" w:eastAsia="Times New Roman"/>
          <w:b/>
          <w:i w:val="0"/>
          <w:sz w:val="26"/>
        </w:rPr>
        <w:t>Insights and Issues Encountered</w:t>
      </w:r>
    </w:p>
    <w:p>
      <w:pPr>
        <w:spacing w:after="120"/>
      </w:pPr>
      <w:r>
        <w:rPr>
          <w:rFonts w:ascii="Times New Roman" w:hAnsi="Times New Roman" w:eastAsia="Times New Roman"/>
          <w:b w:val="0"/>
          <w:i w:val="0"/>
          <w:sz w:val="24"/>
        </w:rPr>
        <w:t>Several insights and issues were encountered during the development and testing of the system. First, the team initially computed the BIR withholding tax on the full gross monthly pay. During testing, it was identified that BIR Revenue Regulations No. 11-2018 requires the withholding tax to be computed on the monthly taxable income, which is the gross pay minus the employee’s mandatory SSS, PhilHealth, and Pag-IBIG contributions. The calculation engine was corrected accordingly, and the correction was verified across all test cases. Second, government contribution rates change periodically; this finding motivated the development of the Deduction Table Management Module so that updated rates can be applied without modifying the source code. Third, because the application persists data in a JSON-file database synchronized with the browser’s localStorage, the system remains fully functional even when the server is offline; however, this design also means that data consistency across multiple browsers depends on the server synchronization, which is recommended for further improvement.</w:t>
      </w:r>
    </w:p>
    <w:p>
      <w:pPr>
        <w:spacing w:before="160" w:after="80"/>
      </w:pPr>
      <w:r>
        <w:rPr>
          <w:rFonts w:ascii="Times New Roman" w:hAnsi="Times New Roman" w:eastAsia="Times New Roman"/>
          <w:b/>
          <w:i w:val="0"/>
          <w:sz w:val="26"/>
        </w:rPr>
        <w:t>Summary of Results against the Objectives of the Study</w:t>
      </w:r>
    </w:p>
    <w:p>
      <w:pPr>
        <w:spacing w:after="120"/>
      </w:pPr>
      <w:r>
        <w:rPr>
          <w:rFonts w:ascii="Times New Roman" w:hAnsi="Times New Roman" w:eastAsia="Times New Roman"/>
          <w:b w:val="0"/>
          <w:i w:val="0"/>
          <w:sz w:val="24"/>
        </w:rPr>
        <w:t>The results of the project satisfy all of the objectives of the study. First, the system automatically computes the Gross Pay, government deductions (SSS, PhilHealth, Pag-IBIG, and BIR withholding tax), and Net Pay of each employee in compliance with the Social Security Act of 2018, the Universal Health Care Act, the HDMF Law, and the TRAIN Law. Second, a secure role-based web application provides distinct dashboards for the Finance Officer, Regular Employee, and System Administrator. Third, digital payslip generation and PDF download are accessible through the Employee Dashboard. Fourth, the Reporting Module generates payroll summary reports and government contribution reports and exports them in PDF format. Fifth, the Deduction Table Management Module allows the Finance Officer to update government contribution rates without modifying the system’s source code. Sixth, employee records and deduction rate inputs are persisted through a JSON-file database and REST API endpoints, keeping the data consistent between the browser and the server. Finally, the accuracy, usability, and functionality of the system were evaluated through unit, integration, system, performance, security, and regression testing, as well as user acceptance testing conducted with simulated end users for each user class.</w:t>
      </w:r>
    </w:p>
    <w:p>
      <w:pPr>
        <w:spacing w:after="120"/>
      </w:pPr>
      <w:r>
        <w:rPr>
          <w:rFonts w:ascii="Times New Roman" w:hAnsi="Times New Roman" w:eastAsia="Times New Roman"/>
          <w:b w:val="0"/>
          <w:i w:val="0"/>
          <w:sz w:val="24"/>
        </w:rPr>
        <w:t>The detailed outputs, screenshots, and other supporting materials for the results discussed in this section are presented in the Project Artifacts section.</w:t>
      </w:r>
    </w:p>
    <w:p>
      <w:r>
        <w:br w:type="page"/>
      </w:r>
    </w:p>
    <w:p>
      <w:pPr>
        <w:spacing w:before="240" w:after="120"/>
      </w:pPr>
      <w:r>
        <w:rPr>
          <w:rFonts w:ascii="Times New Roman" w:hAnsi="Times New Roman" w:eastAsia="Times New Roman"/>
          <w:b/>
          <w:i w:val="0"/>
          <w:color w:val="6E1A1A"/>
          <w:sz w:val="32"/>
        </w:rPr>
        <w:t>DISCUSSIONS, CONCLUSIONS, AND RECOMMENDATIONS</w:t>
      </w:r>
    </w:p>
    <w:p>
      <w:pPr>
        <w:spacing w:after="120"/>
      </w:pPr>
      <w:r>
        <w:rPr>
          <w:rFonts w:ascii="Times New Roman" w:hAnsi="Times New Roman" w:eastAsia="Times New Roman"/>
          <w:b w:val="0"/>
          <w:i w:val="0"/>
          <w:sz w:val="24"/>
        </w:rPr>
        <w:t>This chapter presents the discussion of the results of the study, the conclusions drawn from the findings, and the recommendations for the future improvement and extension of the RCC-APS.</w:t>
      </w:r>
    </w:p>
    <w:p>
      <w:pPr>
        <w:spacing w:before="160" w:after="80"/>
      </w:pPr>
      <w:r>
        <w:rPr>
          <w:rFonts w:ascii="Times New Roman" w:hAnsi="Times New Roman" w:eastAsia="Times New Roman"/>
          <w:b/>
          <w:i w:val="0"/>
          <w:sz w:val="26"/>
        </w:rPr>
        <w:t>Discussion</w:t>
      </w:r>
    </w:p>
    <w:p>
      <w:pPr>
        <w:spacing w:after="120"/>
      </w:pPr>
      <w:r>
        <w:rPr>
          <w:rFonts w:ascii="Times New Roman" w:hAnsi="Times New Roman" w:eastAsia="Times New Roman"/>
          <w:b w:val="0"/>
          <w:i w:val="0"/>
          <w:sz w:val="24"/>
        </w:rPr>
        <w:t>The results presented in the preceding chapter demonstrate that the RCC-APS successfully fulfills the objectives of the study. The Payroll Calculation Engine produced deductions that matched the manual computations performed against the official government contribution tables, confirming the compliance of the system with the Social Security Act of 2018, the Universal Health Care Act, the HDMF Law, and the TRAIN Law. In particular, the correction of the BIR withholding tax computation from the full gross pay to the monthly taxable income — the gross pay minus the mandatory SSS, PhilHealth, and Pag-IBIG contributions — aligned the system with the annualization rules under BIR Revenue Regulations No. 11-2018, and the consistent results across all test cases validated the reliability of the calculation engine. The role-based dashboards for the three user classes, the digital payslip generation with PDF download, the payroll summary and government contribution reports, and the configurable deduction tables all functioned as designed. The results of the unit, integration, system, performance, security, and regression tests, as well as the user acceptance testing conducted with simulated end users, confirmed the accuracy, usability, and functionality of the system. These findings are consistent with the review of related literature, which emphasized that automation reduces processing time and human error and that role-based access control improves security and accountability. The system likewise addresses the gaps identified among related capstone projects by implementing full compliance with the BIR TRAIN Law tax schedule, a dedicated deduction table management module, and differentiated access controls for three user classes.</w:t>
      </w:r>
    </w:p>
    <w:p>
      <w:pPr>
        <w:spacing w:before="160" w:after="80"/>
      </w:pPr>
      <w:r>
        <w:rPr>
          <w:rFonts w:ascii="Times New Roman" w:hAnsi="Times New Roman" w:eastAsia="Times New Roman"/>
          <w:b/>
          <w:i w:val="0"/>
          <w:sz w:val="26"/>
        </w:rPr>
        <w:t>Conclusions</w:t>
      </w:r>
    </w:p>
    <w:p>
      <w:pPr>
        <w:spacing w:after="120"/>
      </w:pPr>
      <w:r>
        <w:rPr>
          <w:rFonts w:ascii="Times New Roman" w:hAnsi="Times New Roman" w:eastAsia="Times New Roman"/>
          <w:b w:val="0"/>
          <w:i w:val="0"/>
          <w:sz w:val="24"/>
        </w:rPr>
        <w:t>Based on the findings of the study, the following conclusions are drawn. The RCC-APS successfully automates the computation of the Gross Pay, the mandatory government deductions (SSS, PhilHealth, Pag-IBIG, and BIR withholding tax), and the Net Pay of each employee in compliance with the applicable Philippine labor and tax laws. The system provides a secure, role-based web application with distinct dashboards for the Finance Officer, Regular Employee, and System Administrator, effectively enforcing role-based access control across all features. The digital payslip generation and PDF download feature provides employees with transparent, self-service access to their compensation records. The Reporting Module enables the Finance Officer to generate payroll summary reports and government contribution reports and to export them in PDF format. The Deduction Table Management Module allows the Finance Officer to update government contribution rates without modifying the system’s source code. The JSON-file database and REST API endpoints keep the data consistent between the browser and the server, and the system remains fully functional even when the server is offline. The accuracy, usability, and functionality of the system were validated through unit, integration, system, performance, security, and regression testing, as well as through user acceptance testing conducted with simulated end users for each user class. Overall, the study concludes that the RCC-APS is a functional, accurate, and legally compliant payroll solution tailored to the operational context of Republic Central Colleges.</w:t>
      </w:r>
    </w:p>
    <w:p>
      <w:pPr>
        <w:spacing w:before="160" w:after="80"/>
      </w:pPr>
      <w:r>
        <w:rPr>
          <w:rFonts w:ascii="Times New Roman" w:hAnsi="Times New Roman" w:eastAsia="Times New Roman"/>
          <w:b/>
          <w:i w:val="0"/>
          <w:sz w:val="26"/>
        </w:rPr>
        <w:t>Recommendations</w:t>
      </w:r>
    </w:p>
    <w:p>
      <w:pPr>
        <w:spacing w:after="120"/>
      </w:pPr>
      <w:r>
        <w:rPr>
          <w:rFonts w:ascii="Times New Roman" w:hAnsi="Times New Roman" w:eastAsia="Times New Roman"/>
          <w:b w:val="0"/>
          <w:i w:val="0"/>
          <w:sz w:val="24"/>
        </w:rPr>
        <w:t>The following recommendations are offered for the future improvement and extension of the RCC-APS. First, the BIR withholding tax computation should be continuously monitored against amendments to the TRAIN Law and its implementing regulations, and the annualized taxable income method should be retained and periodically revalidated. Second, the integration with the partner HRIS should be extended to automate the import of attendance, overtime, and employee data, thereby reducing manual data entry. Third, the server-side JSON-file database could be upgraded to a full relational database management system to support larger data volumes, stronger concurrency, and more robust data consistency across multiple browsers. Fourth, the system could incorporate additional statutory benefits and deductions — such as SSS, PhilHealth, and Pag-IBIG loan amortizations, withholding tax on other compensation, and other government-mandated contributions — to further expand its compliance coverage. Fifth, automated testing should be expanded to cover the reporting and user management modules, and the test suite should be maintained alongside future system changes. Sixth, actual institutional deployment with the Finance Office of Republic Central Colleges is recommended to validate the system under real payroll conditions. Finally, future researchers may build upon this study by evaluating the system through formal usability studies and by exploring the integration of the RCC-APS with other institutional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