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51893" w14:textId="77777777" w:rsidR="00F7495F" w:rsidRDefault="00F7495F">
      <w:pPr>
        <w:spacing w:before="1200"/>
      </w:pPr>
    </w:p>
    <w:p w14:paraId="00151894" w14:textId="77777777" w:rsidR="00F7495F" w:rsidRDefault="001C0309">
      <w:pPr>
        <w:spacing w:after="120"/>
      </w:pPr>
      <w:r>
        <w:rPr>
          <w:b/>
          <w:bCs/>
          <w:color w:val="2563EB"/>
          <w:sz w:val="20"/>
          <w:szCs w:val="20"/>
        </w:rPr>
        <w:t>DESIGN BRIEF</w:t>
      </w:r>
    </w:p>
    <w:p w14:paraId="00151895" w14:textId="77777777" w:rsidR="00F7495F" w:rsidRDefault="001C0309">
      <w:pPr>
        <w:spacing w:after="200"/>
      </w:pPr>
      <w:r>
        <w:rPr>
          <w:b/>
          <w:bCs/>
          <w:color w:val="1B2A4A"/>
          <w:sz w:val="52"/>
          <w:szCs w:val="52"/>
        </w:rPr>
        <w:t>Universal Pharmaceutical Forecast Model</w:t>
      </w:r>
    </w:p>
    <w:p w14:paraId="00151896" w14:textId="77777777" w:rsidR="00F7495F" w:rsidRDefault="001C0309">
      <w:pPr>
        <w:spacing w:after="600"/>
      </w:pPr>
      <w:r>
        <w:rPr>
          <w:color w:val="6B7280"/>
          <w:sz w:val="26"/>
          <w:szCs w:val="26"/>
        </w:rPr>
        <w:t>UX/UI Research &amp; System Design</w:t>
      </w:r>
    </w:p>
    <w:p w14:paraId="00151897" w14:textId="77777777" w:rsidR="00F7495F" w:rsidRDefault="00F7495F">
      <w:pPr>
        <w:pBdr>
          <w:bottom w:val="single" w:sz="2" w:space="1" w:color="E5E7EB"/>
        </w:pBdr>
        <w:spacing w:before="80" w:after="80"/>
      </w:pPr>
    </w:p>
    <w:p w14:paraId="00151898" w14:textId="77777777" w:rsidR="00F7495F" w:rsidRDefault="00F7495F">
      <w:pPr>
        <w:spacing w:after="80"/>
      </w:pPr>
    </w:p>
    <w:p w14:paraId="00151899" w14:textId="77777777" w:rsidR="00F7495F" w:rsidRDefault="001C0309">
      <w:r>
        <w:rPr>
          <w:color w:val="6B7280"/>
          <w:sz w:val="20"/>
          <w:szCs w:val="20"/>
        </w:rPr>
        <w:t xml:space="preserve">Prepared by  </w:t>
      </w:r>
      <w:r>
        <w:rPr>
          <w:b/>
          <w:bCs/>
          <w:color w:val="1B2A4A"/>
          <w:sz w:val="20"/>
          <w:szCs w:val="20"/>
        </w:rPr>
        <w:t>Claude (Anthropic)</w:t>
      </w:r>
      <w:r>
        <w:rPr>
          <w:color w:val="6B7280"/>
          <w:sz w:val="20"/>
          <w:szCs w:val="20"/>
        </w:rPr>
        <w:t xml:space="preserve">   ·   June 2026</w:t>
      </w:r>
    </w:p>
    <w:p w14:paraId="0015189A" w14:textId="77777777" w:rsidR="00F7495F" w:rsidRDefault="001C0309">
      <w:pPr>
        <w:spacing w:before="40"/>
      </w:pPr>
      <w:r>
        <w:rPr>
          <w:i/>
          <w:iCs/>
          <w:color w:val="6B7280"/>
          <w:sz w:val="18"/>
          <w:szCs w:val="18"/>
        </w:rPr>
        <w:t>Source artefact: UniversalForecastModel.xlsm — reverse-engineered from full VBA, XML, and sheet analysis</w:t>
      </w:r>
    </w:p>
    <w:p w14:paraId="0015189B" w14:textId="77777777" w:rsidR="00F7495F" w:rsidRDefault="001C0309">
      <w:r>
        <w:br w:type="page"/>
      </w:r>
    </w:p>
    <w:p w14:paraId="0015189C" w14:textId="77777777" w:rsidR="00F7495F" w:rsidRDefault="001C0309">
      <w:pPr>
        <w:pStyle w:val="Heading1"/>
        <w:pBdr>
          <w:bottom w:val="single" w:sz="6" w:space="4" w:color="2563EB"/>
        </w:pBdr>
      </w:pPr>
      <w:r>
        <w:lastRenderedPageBreak/>
        <w:t>1.  What This Project Is</w:t>
      </w:r>
    </w:p>
    <w:p w14:paraId="0015189D" w14:textId="77777777" w:rsidR="00F7495F" w:rsidRDefault="001C0309">
      <w:pPr>
        <w:pStyle w:val="Heading2"/>
      </w:pPr>
      <w:r>
        <w:t>1.1  The tool in one sentence</w:t>
      </w:r>
    </w:p>
    <w:p w14:paraId="0015189E" w14:textId="77777777" w:rsidR="00F7495F" w:rsidRDefault="001C0309">
      <w:pPr>
        <w:spacing w:after="100"/>
      </w:pPr>
      <w:r>
        <w:rPr>
          <w:color w:val="374151"/>
        </w:rPr>
        <w:t>The Universal Forecast Model is an Excel-based pharmaceutical patient-flow forecasting tool that lets an analyst configure and visualise a structured patient funnel — from total disease population down to patients on a specific drug — as a presentation-ready diagram.</w:t>
      </w:r>
    </w:p>
    <w:p w14:paraId="0015189F" w14:textId="77777777" w:rsidR="00F7495F" w:rsidRDefault="00F7495F">
      <w:pPr>
        <w:spacing w:after="60"/>
      </w:pPr>
    </w:p>
    <w:p w14:paraId="001518A0" w14:textId="77777777" w:rsidR="00F7495F" w:rsidRDefault="001C0309">
      <w:pPr>
        <w:pStyle w:val="Heading2"/>
      </w:pPr>
      <w:r>
        <w:t>1.2  What it actually does</w:t>
      </w:r>
    </w:p>
    <w:p w14:paraId="001518A1" w14:textId="77777777" w:rsidR="00F7495F" w:rsidRDefault="001C0309">
      <w:pPr>
        <w:spacing w:after="100"/>
      </w:pPr>
      <w:r>
        <w:rPr>
          <w:color w:val="374151"/>
        </w:rPr>
        <w:t>The tool does two things, not one. This distinction is critical for design:</w:t>
      </w:r>
    </w:p>
    <w:p w14:paraId="001518A2" w14:textId="77777777" w:rsidR="00F7495F" w:rsidRDefault="001C0309">
      <w:pPr>
        <w:pStyle w:val="ListParagraph"/>
        <w:numPr>
          <w:ilvl w:val="0"/>
          <w:numId w:val="2"/>
        </w:numPr>
        <w:spacing w:after="80"/>
      </w:pPr>
      <w:r>
        <w:rPr>
          <w:color w:val="374151"/>
        </w:rPr>
        <w:t>It builds a visual structure — a patient funnel diagram showing the hierarchy of population filters (</w:t>
      </w:r>
      <w:r>
        <w:rPr>
          <w:color w:val="374151"/>
        </w:rPr>
        <w:t>diagnosis, treatment, line of therapy, drug class, product). This is done through dropdown controls tha</w:t>
      </w:r>
      <w:r>
        <w:rPr>
          <w:color w:val="374151"/>
        </w:rPr>
        <w:t>t show and hide named shapes on a canvas.</w:t>
      </w:r>
    </w:p>
    <w:p w14:paraId="001518A3" w14:textId="77777777" w:rsidR="00F7495F" w:rsidRDefault="001C0309">
      <w:pPr>
        <w:pStyle w:val="ListParagraph"/>
        <w:numPr>
          <w:ilvl w:val="0"/>
          <w:numId w:val="2"/>
        </w:numPr>
        <w:spacing w:after="80"/>
      </w:pPr>
      <w:r>
        <w:rPr>
          <w:color w:val="374151"/>
        </w:rPr>
        <w:t xml:space="preserve">It is a structure builder </w:t>
      </w:r>
      <w:r>
        <w:rPr>
          <w:color w:val="374151"/>
        </w:rPr>
        <w:t>only — it contains no calculations, no formulas linking population numbers to those shapes, and no quantitative output. The numbers that make it an actual forecast are computed entirely outside this tool, in a separate model, and presented alongside a screenshot of this diagram in a PowerPoint deck.</w:t>
      </w:r>
    </w:p>
    <w:p w14:paraId="001518A4" w14:textId="77777777" w:rsidR="00F7495F" w:rsidRDefault="00F7495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8A6"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EFF6FF"/>
            <w:tcMar>
              <w:top w:w="120" w:type="dxa"/>
              <w:left w:w="180" w:type="dxa"/>
              <w:bottom w:w="120" w:type="dxa"/>
              <w:right w:w="180" w:type="dxa"/>
            </w:tcMar>
          </w:tcPr>
          <w:p w14:paraId="001518A5" w14:textId="77777777" w:rsidR="00F7495F" w:rsidRDefault="001C0309">
            <w:r>
              <w:rPr>
                <w:b/>
                <w:bCs/>
                <w:color w:val="1E40AF"/>
                <w:sz w:val="20"/>
                <w:szCs w:val="20"/>
              </w:rPr>
              <w:t xml:space="preserve">Key insight:  </w:t>
            </w:r>
            <w:r>
              <w:rPr>
                <w:color w:val="1E40AF"/>
                <w:sz w:val="20"/>
                <w:szCs w:val="20"/>
              </w:rPr>
              <w:t>The current tool is a forecast structure builder, not a forecast calculator. The gap between what users call it ('the forecast model') and what it actually does (draws the shape of the forecast) is one of the most important design problems to solve.</w:t>
            </w:r>
          </w:p>
        </w:tc>
      </w:tr>
    </w:tbl>
    <w:p w14:paraId="001518A7" w14:textId="77777777" w:rsidR="00F7495F" w:rsidRDefault="00F7495F">
      <w:pPr>
        <w:spacing w:after="60"/>
      </w:pPr>
    </w:p>
    <w:p w14:paraId="001518A8" w14:textId="77777777" w:rsidR="00F7495F" w:rsidRDefault="00F7495F">
      <w:pPr>
        <w:spacing w:after="60"/>
      </w:pPr>
    </w:p>
    <w:p w14:paraId="001518A9" w14:textId="77777777" w:rsidR="00F7495F" w:rsidRDefault="001C0309">
      <w:pPr>
        <w:pStyle w:val="Heading2"/>
      </w:pPr>
      <w:r>
        <w:t>1.3  The underlying concept — the patient funnel</w:t>
      </w:r>
    </w:p>
    <w:p w14:paraId="001518AA" w14:textId="77777777" w:rsidR="00F7495F" w:rsidRDefault="001C0309">
      <w:pPr>
        <w:spacing w:after="100"/>
      </w:pPr>
      <w:r>
        <w:rPr>
          <w:color w:val="374151"/>
        </w:rPr>
        <w:t>Every pharmaceutical forecast is built on the same core logic: start with the total disease burden in a market, then apply a sequence of filters to arrive at patients on a specific product.</w:t>
      </w:r>
    </w:p>
    <w:p w14:paraId="001518AB" w14:textId="77777777" w:rsidR="00F7495F" w:rsidRDefault="00F7495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7495F" w14:paraId="001518AE"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8AC" w14:textId="77777777" w:rsidR="00F7495F" w:rsidRDefault="001C0309">
            <w:r>
              <w:rPr>
                <w:b/>
                <w:bCs/>
                <w:color w:val="FFFFFF"/>
                <w:sz w:val="20"/>
                <w:szCs w:val="20"/>
              </w:rPr>
              <w:t>Layer</w:t>
            </w:r>
          </w:p>
        </w:tc>
        <w:tc>
          <w:tcPr>
            <w:tcW w:w="684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8AD" w14:textId="77777777" w:rsidR="00F7495F" w:rsidRDefault="001C0309">
            <w:r>
              <w:rPr>
                <w:color w:val="FFFFFF"/>
                <w:sz w:val="20"/>
                <w:szCs w:val="20"/>
              </w:rPr>
              <w:t>What it represents</w:t>
            </w:r>
          </w:p>
        </w:tc>
      </w:tr>
      <w:tr w:rsidR="00F7495F" w14:paraId="001518B1"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AF" w14:textId="77777777" w:rsidR="00F7495F" w:rsidRDefault="001C0309">
            <w:r>
              <w:rPr>
                <w:b/>
                <w:bCs/>
                <w:color w:val="1B2A4A"/>
                <w:sz w:val="20"/>
                <w:szCs w:val="20"/>
              </w:rPr>
              <w:t>Total population</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B0" w14:textId="77777777" w:rsidR="00F7495F" w:rsidRDefault="001C0309">
            <w:r>
              <w:rPr>
                <w:color w:val="374151"/>
                <w:sz w:val="20"/>
                <w:szCs w:val="20"/>
              </w:rPr>
              <w:t>Everyone living with the disease (prevalence) plus new cases each year (incidence)</w:t>
            </w:r>
          </w:p>
        </w:tc>
      </w:tr>
      <w:tr w:rsidR="00F7495F" w14:paraId="001518B4"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B2" w14:textId="77777777" w:rsidR="00F7495F" w:rsidRDefault="001C0309">
            <w:r>
              <w:rPr>
                <w:b/>
                <w:bCs/>
                <w:color w:val="1B2A4A"/>
                <w:sz w:val="20"/>
                <w:szCs w:val="20"/>
              </w:rPr>
              <w:t>Diagnosed pool</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B3" w14:textId="77777777" w:rsidR="00F7495F" w:rsidRDefault="001C0309">
            <w:r>
              <w:rPr>
                <w:color w:val="374151"/>
                <w:sz w:val="20"/>
                <w:szCs w:val="20"/>
              </w:rPr>
              <w:t>Patients who have been formally identified by a clinician — many diseases have large undiagnosed populations</w:t>
            </w:r>
          </w:p>
        </w:tc>
      </w:tr>
      <w:tr w:rsidR="00F7495F" w14:paraId="001518B7"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B5" w14:textId="77777777" w:rsidR="00F7495F" w:rsidRDefault="001C0309">
            <w:r>
              <w:rPr>
                <w:b/>
                <w:bCs/>
                <w:color w:val="1B2A4A"/>
                <w:sz w:val="20"/>
                <w:szCs w:val="20"/>
              </w:rPr>
              <w:t>Treated pool</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B6" w14:textId="77777777" w:rsidR="00F7495F" w:rsidRDefault="001C0309">
            <w:r>
              <w:rPr>
                <w:color w:val="374151"/>
                <w:sz w:val="20"/>
                <w:szCs w:val="20"/>
              </w:rPr>
              <w:t>Of diagnosed patients, those who receive pharmacological treatment — watchful waiting, surgery, or lifestyle management account for the rest</w:t>
            </w:r>
          </w:p>
        </w:tc>
      </w:tr>
      <w:tr w:rsidR="00F7495F" w14:paraId="001518BA"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B8" w14:textId="77777777" w:rsidR="00F7495F" w:rsidRDefault="001C0309">
            <w:r>
              <w:rPr>
                <w:b/>
                <w:bCs/>
                <w:color w:val="1B2A4A"/>
                <w:sz w:val="20"/>
                <w:szCs w:val="20"/>
              </w:rPr>
              <w:t>By line of therapy</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B9" w14:textId="77777777" w:rsidR="00F7495F" w:rsidRDefault="001C0309">
            <w:r>
              <w:rPr>
                <w:color w:val="374151"/>
                <w:sz w:val="20"/>
                <w:szCs w:val="20"/>
              </w:rPr>
              <w:t>Of treated patients, those in the specific treatment sequence where the drug is indicated (1st line, 2nd line, etc.)</w:t>
            </w:r>
          </w:p>
        </w:tc>
      </w:tr>
      <w:tr w:rsidR="00F7495F" w14:paraId="001518BD"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BB" w14:textId="77777777" w:rsidR="00F7495F" w:rsidRDefault="001C0309">
            <w:r>
              <w:rPr>
                <w:b/>
                <w:bCs/>
                <w:color w:val="1B2A4A"/>
                <w:sz w:val="20"/>
                <w:szCs w:val="20"/>
              </w:rPr>
              <w:t>By drug class</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BC" w14:textId="77777777" w:rsidR="00F7495F" w:rsidRDefault="001C0309">
            <w:r>
              <w:rPr>
                <w:color w:val="374151"/>
                <w:sz w:val="20"/>
                <w:szCs w:val="20"/>
              </w:rPr>
              <w:t>Of patients in the right line, those treated with the same mechanism-of-action class as the drug being forecast</w:t>
            </w:r>
          </w:p>
        </w:tc>
      </w:tr>
      <w:tr w:rsidR="00F7495F" w14:paraId="001518C0"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BE" w14:textId="77777777" w:rsidR="00F7495F" w:rsidRDefault="001C0309">
            <w:r>
              <w:rPr>
                <w:b/>
                <w:bCs/>
                <w:color w:val="1B2A4A"/>
                <w:sz w:val="20"/>
                <w:szCs w:val="20"/>
              </w:rPr>
              <w:lastRenderedPageBreak/>
              <w:t>By product</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BF" w14:textId="77777777" w:rsidR="00F7495F" w:rsidRDefault="001C0309">
            <w:r>
              <w:rPr>
                <w:color w:val="374151"/>
                <w:sz w:val="20"/>
                <w:szCs w:val="20"/>
              </w:rPr>
              <w:t>The specific drug's share of patients within its class — the final commercial number</w:t>
            </w:r>
          </w:p>
        </w:tc>
      </w:tr>
    </w:tbl>
    <w:p w14:paraId="001518C1" w14:textId="77777777" w:rsidR="00F7495F" w:rsidRDefault="00F7495F">
      <w:pPr>
        <w:spacing w:after="120"/>
      </w:pPr>
    </w:p>
    <w:p w14:paraId="001518C2" w14:textId="77777777" w:rsidR="00F7495F" w:rsidRDefault="001C0309">
      <w:pPr>
        <w:spacing w:after="100"/>
      </w:pPr>
      <w:r>
        <w:rPr>
          <w:color w:val="374151"/>
        </w:rPr>
        <w:t>Each layer applies a rate that further reduces the patient count. The product of all these rates, applied to the starting population, gives the peak patient forecast — which, multiplied by price per patient per year, gives peak annual revenue.</w:t>
      </w:r>
    </w:p>
    <w:p w14:paraId="001518C3" w14:textId="77777777" w:rsidR="00F7495F" w:rsidRDefault="00F7495F">
      <w:pPr>
        <w:spacing w:after="60"/>
      </w:pPr>
    </w:p>
    <w:p w14:paraId="001518C4" w14:textId="77777777" w:rsidR="00F7495F" w:rsidRDefault="00F7495F">
      <w:pPr>
        <w:spacing w:after="60"/>
      </w:pPr>
    </w:p>
    <w:p w14:paraId="001518C5" w14:textId="77777777" w:rsidR="00F7495F" w:rsidRDefault="001C0309">
      <w:pPr>
        <w:pStyle w:val="Heading2"/>
      </w:pPr>
      <w:r>
        <w:t>1.4  Who built it and who uses it</w:t>
      </w:r>
    </w:p>
    <w:p w14:paraId="001518C6" w14:textId="77777777" w:rsidR="00F7495F" w:rsidRDefault="001C0309">
      <w:pPr>
        <w:spacing w:after="100"/>
      </w:pPr>
      <w:r>
        <w:rPr>
          <w:color w:val="374151"/>
        </w:rPr>
        <w:t>The model is a universal template — deliberately generic — so it can serve any therapeutic area, any company, and any market. The generic labels (Segment 1–5, Sub 1–5, LOT 1–5) are not a design flaw; they are an intentional feature that makes the tool adaptable. The design challenge is making that adaptability usable without sacrificing clarity.</w:t>
      </w:r>
    </w:p>
    <w:p w14:paraId="001518C7" w14:textId="77777777" w:rsidR="00F7495F" w:rsidRDefault="00F7495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gridCol w:w="3360"/>
      </w:tblGrid>
      <w:tr w:rsidR="00F7495F" w14:paraId="001518CB" w14:textId="77777777">
        <w:tblPrEx>
          <w:tblCellMar>
            <w:top w:w="0" w:type="dxa"/>
            <w:bottom w:w="0" w:type="dxa"/>
          </w:tblCellMar>
        </w:tblPrEx>
        <w:tc>
          <w:tcPr>
            <w:tcW w:w="22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01518C8" w14:textId="77777777" w:rsidR="00F7495F" w:rsidRDefault="001C0309">
            <w:r>
              <w:rPr>
                <w:b/>
                <w:bCs/>
                <w:color w:val="FFFFFF"/>
                <w:sz w:val="20"/>
                <w:szCs w:val="20"/>
              </w:rPr>
              <w:t>User type</w:t>
            </w:r>
          </w:p>
        </w:tc>
        <w:tc>
          <w:tcPr>
            <w:tcW w:w="380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01518C9" w14:textId="77777777" w:rsidR="00F7495F" w:rsidRDefault="001C0309">
            <w:r>
              <w:rPr>
                <w:b/>
                <w:bCs/>
                <w:color w:val="FFFFFF"/>
                <w:sz w:val="20"/>
                <w:szCs w:val="20"/>
              </w:rPr>
              <w:t>Role</w:t>
            </w:r>
          </w:p>
        </w:tc>
        <w:tc>
          <w:tcPr>
            <w:tcW w:w="3360" w:type="dxa"/>
            <w:tcBorders>
              <w:top w:val="single" w:sz="1" w:space="0" w:color="1B2A4A"/>
              <w:left w:val="single" w:sz="1" w:space="0" w:color="1B2A4A"/>
              <w:bottom w:val="single" w:sz="1" w:space="0" w:color="1B2A4A"/>
              <w:right w:val="single" w:sz="1" w:space="0" w:color="1B2A4A"/>
            </w:tcBorders>
            <w:shd w:val="clear" w:color="auto" w:fill="1B2A4A"/>
            <w:tcMar>
              <w:top w:w="80" w:type="dxa"/>
              <w:left w:w="120" w:type="dxa"/>
              <w:bottom w:w="80" w:type="dxa"/>
              <w:right w:w="120" w:type="dxa"/>
            </w:tcMar>
          </w:tcPr>
          <w:p w14:paraId="001518CA" w14:textId="77777777" w:rsidR="00F7495F" w:rsidRDefault="001C0309">
            <w:r>
              <w:rPr>
                <w:b/>
                <w:bCs/>
                <w:color w:val="FFFFFF"/>
                <w:sz w:val="20"/>
                <w:szCs w:val="20"/>
              </w:rPr>
              <w:t>Relationship with the tool</w:t>
            </w:r>
          </w:p>
        </w:tc>
      </w:tr>
      <w:tr w:rsidR="00F7495F" w14:paraId="001518CF"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CC" w14:textId="77777777" w:rsidR="00F7495F" w:rsidRDefault="001C0309">
            <w:r>
              <w:rPr>
                <w:color w:val="374151"/>
                <w:sz w:val="20"/>
                <w:szCs w:val="20"/>
              </w:rPr>
              <w:t>Primary: Analyst / Forecaster</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CD" w14:textId="77777777" w:rsidR="00F7495F" w:rsidRDefault="001C0309">
            <w:r>
              <w:rPr>
                <w:color w:val="374151"/>
                <w:sz w:val="20"/>
                <w:szCs w:val="20"/>
              </w:rPr>
              <w:t>Market intelligence, commercial insights, strategic planning at pharma company or consultancy</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CE" w14:textId="77777777" w:rsidR="00F7495F" w:rsidRDefault="001C0309">
            <w:r>
              <w:rPr>
                <w:color w:val="374151"/>
                <w:sz w:val="20"/>
                <w:szCs w:val="20"/>
              </w:rPr>
              <w:t>Power user. Builds the model, makes all configuration decisions, owns the output. Works under deadline pressure.</w:t>
            </w:r>
          </w:p>
        </w:tc>
      </w:tr>
      <w:tr w:rsidR="00F7495F" w14:paraId="001518D3"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D0" w14:textId="77777777" w:rsidR="00F7495F" w:rsidRDefault="001C0309">
            <w:r>
              <w:rPr>
                <w:color w:val="374151"/>
                <w:sz w:val="20"/>
                <w:szCs w:val="20"/>
              </w:rPr>
              <w:t>Secondary: Reviewer / Decision-maker</w:t>
            </w:r>
          </w:p>
        </w:tc>
        <w:tc>
          <w:tcPr>
            <w:tcW w:w="380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D1" w14:textId="77777777" w:rsidR="00F7495F" w:rsidRDefault="001C0309">
            <w:r>
              <w:rPr>
                <w:color w:val="374151"/>
                <w:sz w:val="20"/>
                <w:szCs w:val="20"/>
              </w:rPr>
              <w:t>VP Commercial, Head of Market Access, BD director</w:t>
            </w:r>
          </w:p>
        </w:tc>
        <w:tc>
          <w:tcPr>
            <w:tcW w:w="336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8D2" w14:textId="77777777" w:rsidR="00F7495F" w:rsidRDefault="001C0309">
            <w:r>
              <w:rPr>
                <w:color w:val="374151"/>
                <w:sz w:val="20"/>
                <w:szCs w:val="20"/>
              </w:rPr>
              <w:t>Never opens Excel. Receives the diagram as a screenshot in a slide deck. May request structural changes on the fly during a presentation.</w:t>
            </w:r>
          </w:p>
        </w:tc>
      </w:tr>
      <w:tr w:rsidR="00F7495F" w14:paraId="001518D7" w14:textId="77777777">
        <w:tblPrEx>
          <w:tblCellMar>
            <w:top w:w="0" w:type="dxa"/>
            <w:bottom w:w="0" w:type="dxa"/>
          </w:tblCellMar>
        </w:tblPrEx>
        <w:tc>
          <w:tcPr>
            <w:tcW w:w="22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D4" w14:textId="77777777" w:rsidR="00F7495F" w:rsidRDefault="001C0309">
            <w:r>
              <w:rPr>
                <w:color w:val="374151"/>
                <w:sz w:val="20"/>
                <w:szCs w:val="20"/>
              </w:rPr>
              <w:t>Tertiary: External audience</w:t>
            </w:r>
          </w:p>
        </w:tc>
        <w:tc>
          <w:tcPr>
            <w:tcW w:w="380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D5" w14:textId="77777777" w:rsidR="00F7495F" w:rsidRDefault="001C0309">
            <w:r>
              <w:rPr>
                <w:color w:val="374151"/>
                <w:sz w:val="20"/>
                <w:szCs w:val="20"/>
              </w:rPr>
              <w:t>Payers (NHS, insurance), regulators, investors</w:t>
            </w:r>
          </w:p>
        </w:tc>
        <w:tc>
          <w:tcPr>
            <w:tcW w:w="336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8D6" w14:textId="77777777" w:rsidR="00F7495F" w:rsidRDefault="001C0309">
            <w:r>
              <w:rPr>
                <w:color w:val="374151"/>
                <w:sz w:val="20"/>
                <w:szCs w:val="20"/>
              </w:rPr>
              <w:t>Sees the final diagram as part of a market access dossier or investor presentation. Judges the credibility of the logic chain.</w:t>
            </w:r>
          </w:p>
        </w:tc>
      </w:tr>
    </w:tbl>
    <w:p w14:paraId="001518D8" w14:textId="77777777" w:rsidR="00F7495F" w:rsidRDefault="00F7495F">
      <w:pPr>
        <w:spacing w:after="120"/>
      </w:pPr>
    </w:p>
    <w:p w14:paraId="001518D9" w14:textId="77777777" w:rsidR="00F7495F" w:rsidRDefault="001C0309">
      <w:r>
        <w:br w:type="page"/>
      </w:r>
    </w:p>
    <w:p w14:paraId="001518DA" w14:textId="77777777" w:rsidR="00F7495F" w:rsidRDefault="001C0309">
      <w:pPr>
        <w:pStyle w:val="Heading1"/>
        <w:pBdr>
          <w:bottom w:val="single" w:sz="6" w:space="4" w:color="2563EB"/>
        </w:pBdr>
      </w:pPr>
      <w:r>
        <w:lastRenderedPageBreak/>
        <w:t>2.  The User Flow</w:t>
      </w:r>
    </w:p>
    <w:p w14:paraId="001518DB" w14:textId="77777777" w:rsidR="00F7495F" w:rsidRDefault="001C0309">
      <w:pPr>
        <w:pStyle w:val="Heading2"/>
      </w:pPr>
      <w:r>
        <w:t>2.1  What users want from this model</w:t>
      </w:r>
    </w:p>
    <w:p w14:paraId="001518DC" w14:textId="77777777" w:rsidR="00F7495F" w:rsidRDefault="001C0309">
      <w:pPr>
        <w:spacing w:after="100"/>
      </w:pPr>
      <w:r>
        <w:rPr>
          <w:color w:val="374151"/>
        </w:rPr>
        <w:t>Users want one thing: a credible, clearly structured patient funnel diagram that they can put in a presentation and defend to senior stakeholders. Every interaction with the tool is in service of that output.</w:t>
      </w:r>
    </w:p>
    <w:p w14:paraId="001518DD" w14:textId="77777777" w:rsidR="00F7495F" w:rsidRDefault="00F7495F">
      <w:pPr>
        <w:spacing w:after="60"/>
      </w:pPr>
    </w:p>
    <w:p w14:paraId="001518DE" w14:textId="77777777" w:rsidR="00F7495F" w:rsidRDefault="001C0309">
      <w:pPr>
        <w:spacing w:after="100"/>
      </w:pPr>
      <w:r>
        <w:rPr>
          <w:color w:val="374151"/>
        </w:rPr>
        <w:t>More specifically, they want:</w:t>
      </w:r>
    </w:p>
    <w:p w14:paraId="001518DF" w14:textId="77777777" w:rsidR="00F7495F" w:rsidRDefault="001C0309">
      <w:pPr>
        <w:pStyle w:val="ListParagraph"/>
        <w:numPr>
          <w:ilvl w:val="0"/>
          <w:numId w:val="2"/>
        </w:numPr>
        <w:spacing w:after="80"/>
      </w:pPr>
      <w:r>
        <w:rPr>
          <w:color w:val="374151"/>
        </w:rPr>
        <w:t>A diagram that visually encodes their clinical logic — 'the disease works like this, so the market is structured like this'</w:t>
      </w:r>
    </w:p>
    <w:p w14:paraId="001518E0" w14:textId="77777777" w:rsidR="00F7495F" w:rsidRDefault="001C0309">
      <w:pPr>
        <w:pStyle w:val="ListParagraph"/>
        <w:numPr>
          <w:ilvl w:val="0"/>
          <w:numId w:val="2"/>
        </w:numPr>
        <w:spacing w:after="80"/>
      </w:pPr>
      <w:r>
        <w:rPr>
          <w:color w:val="374151"/>
        </w:rPr>
        <w:t>Structural flexibility — the tool must handle oncology, rare disease, cardiology, immunology, and any other therapy area without requiring them to build from scratch</w:t>
      </w:r>
    </w:p>
    <w:p w14:paraId="001518E1" w14:textId="77777777" w:rsidR="00F7495F" w:rsidRDefault="001C0309">
      <w:pPr>
        <w:pStyle w:val="ListParagraph"/>
        <w:numPr>
          <w:ilvl w:val="0"/>
          <w:numId w:val="2"/>
        </w:numPr>
        <w:spacing w:after="80"/>
      </w:pPr>
      <w:r>
        <w:rPr>
          <w:color w:val="374151"/>
        </w:rPr>
        <w:t>Speed — a forecast structure can be needed in hours, not days. Configuration should be fast</w:t>
      </w:r>
    </w:p>
    <w:p w14:paraId="001518E2" w14:textId="77777777" w:rsidR="00F7495F" w:rsidRDefault="001C0309">
      <w:pPr>
        <w:pStyle w:val="ListParagraph"/>
        <w:numPr>
          <w:ilvl w:val="0"/>
          <w:numId w:val="2"/>
        </w:numPr>
        <w:spacing w:after="80"/>
      </w:pPr>
      <w:r>
        <w:rPr>
          <w:color w:val="374151"/>
        </w:rPr>
        <w:t>Export-ready output — the diagram goes directly into a PowerPoint; it needs to look professional without post-processing</w:t>
      </w:r>
    </w:p>
    <w:p w14:paraId="001518E3" w14:textId="77777777" w:rsidR="00F7495F" w:rsidRDefault="001C0309">
      <w:pPr>
        <w:pStyle w:val="ListParagraph"/>
        <w:numPr>
          <w:ilvl w:val="0"/>
          <w:numId w:val="2"/>
        </w:numPr>
        <w:spacing w:after="80"/>
      </w:pPr>
      <w:r>
        <w:rPr>
          <w:color w:val="374151"/>
        </w:rPr>
        <w:t>Scenario comparison — the ability to ask 'what does this look like if we model 2L instead of 1L?' or 'what if we add a third segment?'</w:t>
      </w:r>
    </w:p>
    <w:p w14:paraId="001518E4" w14:textId="77777777" w:rsidR="00F7495F" w:rsidRDefault="00F7495F">
      <w:pPr>
        <w:spacing w:after="60"/>
      </w:pPr>
    </w:p>
    <w:p w14:paraId="001518E5" w14:textId="77777777" w:rsidR="00F7495F" w:rsidRDefault="00F7495F">
      <w:pPr>
        <w:spacing w:after="60"/>
      </w:pPr>
    </w:p>
    <w:p w14:paraId="001518E6" w14:textId="77777777" w:rsidR="00F7495F" w:rsidRDefault="001C0309">
      <w:pPr>
        <w:pStyle w:val="Heading2"/>
      </w:pPr>
      <w:r>
        <w:t>2.2  The current workflow — step by step</w:t>
      </w:r>
    </w:p>
    <w:p w14:paraId="001518E7" w14:textId="77777777" w:rsidR="00F7495F" w:rsidRDefault="001C0309">
      <w:pPr>
        <w:spacing w:after="100"/>
      </w:pPr>
      <w:r>
        <w:rPr>
          <w:color w:val="374151"/>
        </w:rPr>
        <w:t>This is what the analyst actually does today, including the work that happens outside the Excel file:</w:t>
      </w:r>
    </w:p>
    <w:p w14:paraId="001518E8" w14:textId="77777777" w:rsidR="00F7495F" w:rsidRDefault="00F7495F">
      <w:pPr>
        <w:spacing w:after="60"/>
      </w:pPr>
    </w:p>
    <w:p w14:paraId="001518E9" w14:textId="77777777" w:rsidR="00F7495F" w:rsidRDefault="001C0309">
      <w:pPr>
        <w:pStyle w:val="Heading3"/>
      </w:pPr>
      <w:r>
        <w:t>Step A — Pre-work (before opening the model)</w:t>
      </w:r>
    </w:p>
    <w:p w14:paraId="001518EA" w14:textId="77777777" w:rsidR="00F7495F" w:rsidRDefault="001C0309">
      <w:pPr>
        <w:spacing w:after="100"/>
      </w:pPr>
      <w:r>
        <w:rPr>
          <w:color w:val="374151"/>
        </w:rPr>
        <w:t>The analyst collects all input data from external sources: epidemiology (GLOBOCAN, IQVIA, academic literature), treatment guidelines (NCCN, ESMO, NICE), real-world market share data, pipeline intelligence from ClinicalTrials.gov. This takes days to weeks and lives entirely outside the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8EC"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8EB" w14:textId="77777777" w:rsidR="00F7495F" w:rsidRDefault="001C0309">
            <w:r>
              <w:rPr>
                <w:b/>
                <w:bCs/>
                <w:color w:val="92400E"/>
                <w:sz w:val="20"/>
                <w:szCs w:val="20"/>
              </w:rPr>
              <w:t xml:space="preserve">Pain point:  </w:t>
            </w:r>
            <w:r>
              <w:rPr>
                <w:color w:val="92400E"/>
                <w:sz w:val="20"/>
                <w:szCs w:val="20"/>
              </w:rPr>
              <w:t>All assumptions, data sources, and clinical rationale are documented in separate Word or Excel files — or only in the analyst's head. There is no link between the evidence base and the model configuration.</w:t>
            </w:r>
          </w:p>
        </w:tc>
      </w:tr>
    </w:tbl>
    <w:p w14:paraId="001518ED" w14:textId="77777777" w:rsidR="00F7495F" w:rsidRDefault="00F7495F">
      <w:pPr>
        <w:spacing w:after="60"/>
      </w:pPr>
    </w:p>
    <w:p w14:paraId="001518EE" w14:textId="77777777" w:rsidR="00F7495F" w:rsidRDefault="001C0309">
      <w:pPr>
        <w:pStyle w:val="Heading3"/>
      </w:pPr>
      <w:r>
        <w:t>Step B — HOME sheet: define the universe</w:t>
      </w:r>
    </w:p>
    <w:p w14:paraId="001518EF" w14:textId="77777777" w:rsidR="00F7495F" w:rsidRDefault="001C0309">
      <w:pPr>
        <w:spacing w:after="100"/>
      </w:pPr>
      <w:r>
        <w:rPr>
          <w:color w:val="374151"/>
        </w:rPr>
        <w:t>The analyst opens the HOME sheet and populates segment names, product names, and counts across specific cells. There is no form or guided input flow — the analyst must know which cells to fill and in what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8F1"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8F0" w14:textId="77777777" w:rsidR="00F7495F" w:rsidRDefault="001C0309">
            <w:r>
              <w:rPr>
                <w:b/>
                <w:bCs/>
                <w:color w:val="991B1B"/>
                <w:sz w:val="20"/>
                <w:szCs w:val="20"/>
              </w:rPr>
              <w:lastRenderedPageBreak/>
              <w:t xml:space="preserve">Critical risk:  </w:t>
            </w:r>
            <w:r>
              <w:rPr>
                <w:color w:val="991B1B"/>
                <w:sz w:val="20"/>
                <w:szCs w:val="20"/>
              </w:rPr>
              <w:t>Typos in product or segment names propagate silently to the canvas. A misspelled segment name in HOME will appear on the diagram output with no warning. There is no validation.</w:t>
            </w:r>
          </w:p>
        </w:tc>
      </w:tr>
    </w:tbl>
    <w:p w14:paraId="001518F2" w14:textId="77777777" w:rsidR="00F7495F" w:rsidRDefault="00F7495F">
      <w:pPr>
        <w:spacing w:after="60"/>
      </w:pPr>
    </w:p>
    <w:p w14:paraId="001518F3" w14:textId="77777777" w:rsidR="00F7495F" w:rsidRDefault="001C0309">
      <w:pPr>
        <w:pStyle w:val="Heading3"/>
      </w:pPr>
      <w:r>
        <w:t>Step C — FORECAST MODEL sheet: structural configuration</w:t>
      </w:r>
    </w:p>
    <w:p w14:paraId="001518F4" w14:textId="77777777" w:rsidR="00F7495F" w:rsidRDefault="001C0309">
      <w:pPr>
        <w:spacing w:after="100"/>
      </w:pPr>
      <w:r>
        <w:rPr>
          <w:color w:val="374151"/>
        </w:rPr>
        <w:t>The analyst navigates to the Forecast Model sheet and works through six decision layers using dropdown controls. Each choice triggers VBA that shows or hides shapes on the canvas. The analyst iterates — adjusts counts, toggles YES/NO, refines structure — until the diagram matches their intended model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8F6"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8F5" w14:textId="77777777" w:rsidR="00F7495F" w:rsidRDefault="001C0309">
            <w:r>
              <w:rPr>
                <w:b/>
                <w:bCs/>
                <w:color w:val="92400E"/>
                <w:sz w:val="20"/>
                <w:szCs w:val="20"/>
              </w:rPr>
              <w:t xml:space="preserve">Pain point:  </w:t>
            </w:r>
            <w:r>
              <w:rPr>
                <w:color w:val="92400E"/>
                <w:sz w:val="20"/>
                <w:szCs w:val="20"/>
              </w:rPr>
              <w:t>Each change can cascade unexpectedly. Changing a parent dropdown (e.g. setting Diagnosis to NO) silently resets all child settings — sub-segments, LOT choices, class, and product choices. There is no undo and no confirmation dialog. This is the most common source of lost work.</w:t>
            </w:r>
          </w:p>
        </w:tc>
      </w:tr>
    </w:tbl>
    <w:p w14:paraId="001518F7" w14:textId="77777777" w:rsidR="00F7495F" w:rsidRDefault="00F7495F">
      <w:pPr>
        <w:spacing w:after="60"/>
      </w:pPr>
    </w:p>
    <w:p w14:paraId="001518F8" w14:textId="77777777" w:rsidR="00F7495F" w:rsidRDefault="001C0309">
      <w:pPr>
        <w:pStyle w:val="Heading3"/>
      </w:pPr>
      <w:r>
        <w:t>Step D — Visual validation</w:t>
      </w:r>
    </w:p>
    <w:p w14:paraId="001518F9" w14:textId="77777777" w:rsidR="00F7495F" w:rsidRDefault="001C0309">
      <w:pPr>
        <w:spacing w:after="100"/>
      </w:pPr>
      <w:r>
        <w:rPr>
          <w:color w:val="374151"/>
        </w:rPr>
        <w:t>The analyst visually inspects the canvas — checks that the diagram logic matches their clinical understanding. There is no automated validation. Structural logic errors (wrong bypass routing, missing segments) are invisible. The diagram looks complete even when it is wrong.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8FB"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8FA" w14:textId="77777777" w:rsidR="00F7495F" w:rsidRDefault="001C0309">
            <w:r>
              <w:rPr>
                <w:b/>
                <w:bCs/>
                <w:color w:val="991B1B"/>
                <w:sz w:val="20"/>
                <w:szCs w:val="20"/>
              </w:rPr>
              <w:t xml:space="preserve">Critical risk:  </w:t>
            </w:r>
            <w:r>
              <w:rPr>
                <w:color w:val="991B1B"/>
                <w:sz w:val="20"/>
                <w:szCs w:val="20"/>
              </w:rPr>
              <w:t>The bypass logic — when LOT = NO or Class = NO, products route differently through the funnel — is completely invisible in the current UI. A user can toggle LOT without realising they have fundamentally changed the model's routing logic.</w:t>
            </w:r>
          </w:p>
        </w:tc>
      </w:tr>
    </w:tbl>
    <w:p w14:paraId="001518FC" w14:textId="77777777" w:rsidR="00F7495F" w:rsidRDefault="00F7495F">
      <w:pPr>
        <w:spacing w:after="60"/>
      </w:pPr>
    </w:p>
    <w:p w14:paraId="001518FD" w14:textId="77777777" w:rsidR="00F7495F" w:rsidRDefault="001C0309">
      <w:pPr>
        <w:pStyle w:val="Heading3"/>
      </w:pPr>
      <w:r>
        <w:t>Step E — Capture and export</w:t>
      </w:r>
    </w:p>
    <w:p w14:paraId="001518FE" w14:textId="77777777" w:rsidR="00F7495F" w:rsidRDefault="001C0309">
      <w:pPr>
        <w:spacing w:after="100"/>
      </w:pPr>
      <w:r>
        <w:rPr>
          <w:color w:val="374151"/>
        </w:rPr>
        <w:t>The analyst screenshots the canvas (Snip &amp; Sketch, Snagit, or Print Screen) and pastes it into PowerPoint. Titles, source citations, and assumption notes are added manually in the slide. The Excel file and the PowerPoint deck exist as separate, unlinked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00"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8FF" w14:textId="77777777" w:rsidR="00F7495F" w:rsidRDefault="001C0309">
            <w:r>
              <w:rPr>
                <w:b/>
                <w:bCs/>
                <w:color w:val="92400E"/>
                <w:sz w:val="20"/>
                <w:szCs w:val="20"/>
              </w:rPr>
              <w:t xml:space="preserve">Pain point:  </w:t>
            </w:r>
            <w:r>
              <w:rPr>
                <w:color w:val="92400E"/>
                <w:sz w:val="20"/>
                <w:szCs w:val="20"/>
              </w:rPr>
              <w:t>If assumptions change after export, the analyst must return to Excel, reconfigure, re-screenshot, and update the deck. Version drift between the file and the presentation is extremely common.</w:t>
            </w:r>
          </w:p>
        </w:tc>
      </w:tr>
    </w:tbl>
    <w:p w14:paraId="00151901" w14:textId="77777777" w:rsidR="00F7495F" w:rsidRDefault="00F7495F">
      <w:pPr>
        <w:spacing w:after="60"/>
      </w:pPr>
    </w:p>
    <w:p w14:paraId="00151902" w14:textId="77777777" w:rsidR="00F7495F" w:rsidRDefault="001C0309">
      <w:pPr>
        <w:pStyle w:val="Heading3"/>
      </w:pPr>
      <w:r>
        <w:t>Step F — Revision cycles</w:t>
      </w:r>
    </w:p>
    <w:p w14:paraId="00151903" w14:textId="77777777" w:rsidR="00F7495F" w:rsidRDefault="001C0309">
      <w:pPr>
        <w:spacing w:after="100"/>
      </w:pPr>
      <w:r>
        <w:rPr>
          <w:color w:val="374151"/>
        </w:rPr>
        <w:t>Reviewers request changes — 'Can we add a 4th line of therapy?', 'What does this look like without sub-segments?' — and the analyst repeats steps C through E. Three to eight revision cycles are normal for a major forecast.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05"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904" w14:textId="77777777" w:rsidR="00F7495F" w:rsidRDefault="001C0309">
            <w:r>
              <w:rPr>
                <w:b/>
                <w:bCs/>
                <w:color w:val="991B1B"/>
                <w:sz w:val="20"/>
                <w:szCs w:val="20"/>
              </w:rPr>
              <w:t xml:space="preserve">Critical risk:  </w:t>
            </w:r>
            <w:r>
              <w:rPr>
                <w:color w:val="991B1B"/>
                <w:sz w:val="20"/>
                <w:szCs w:val="20"/>
              </w:rPr>
              <w:t>There is no scenario saving. Each revision overwrites the current state. Comparing two configurations requires maintaining two separate files with no structural link between them.</w:t>
            </w:r>
          </w:p>
        </w:tc>
      </w:tr>
    </w:tbl>
    <w:p w14:paraId="00151906" w14:textId="77777777" w:rsidR="00F7495F" w:rsidRDefault="001C0309">
      <w:r>
        <w:br w:type="page"/>
      </w:r>
    </w:p>
    <w:p w14:paraId="00151907" w14:textId="77777777" w:rsidR="00F7495F" w:rsidRDefault="001C0309">
      <w:pPr>
        <w:pStyle w:val="Heading1"/>
        <w:pBdr>
          <w:bottom w:val="single" w:sz="6" w:space="4" w:color="2563EB"/>
        </w:pBdr>
      </w:pPr>
      <w:r>
        <w:lastRenderedPageBreak/>
        <w:t>3.  The Six Decision Layers — Concepts and Implications</w:t>
      </w:r>
    </w:p>
    <w:p w14:paraId="00151908" w14:textId="77777777" w:rsidR="00F7495F" w:rsidRDefault="001C0309">
      <w:pPr>
        <w:spacing w:after="100"/>
      </w:pPr>
      <w:r>
        <w:rPr>
          <w:color w:val="374151"/>
        </w:rPr>
        <w:t>Each dropdown control in the model represents a clinical and commercial decision with real-world implications. This section explains what each decision means, why it matters, and what can go wrong.</w:t>
      </w:r>
    </w:p>
    <w:p w14:paraId="00151909" w14:textId="77777777" w:rsidR="00F7495F" w:rsidRDefault="00F7495F">
      <w:pPr>
        <w:spacing w:after="60"/>
      </w:pPr>
    </w:p>
    <w:p w14:paraId="0015190A" w14:textId="77777777" w:rsidR="00F7495F" w:rsidRDefault="001C0309">
      <w:pPr>
        <w:pStyle w:val="Heading2"/>
      </w:pPr>
      <w:r>
        <w:t>3.1  Pool model type</w:t>
      </w:r>
    </w:p>
    <w:p w14:paraId="0015190B" w14:textId="77777777" w:rsidR="00F7495F" w:rsidRDefault="001C0309">
      <w:pPr>
        <w:spacing w:after="100"/>
      </w:pPr>
      <w:r>
        <w:rPr>
          <w:color w:val="374151"/>
        </w:rPr>
        <w:t>The single most consequential decision in the model. Sets the entire patient ceiling.</w:t>
      </w:r>
    </w:p>
    <w:p w14:paraId="0015190C" w14:textId="77777777" w:rsidR="00F7495F" w:rsidRDefault="00F749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7495F" w14:paraId="0015190F"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0D" w14:textId="77777777" w:rsidR="00F7495F" w:rsidRDefault="001C0309">
            <w:r>
              <w:rPr>
                <w:b/>
                <w:bCs/>
                <w:color w:val="FFFFFF"/>
                <w:sz w:val="20"/>
                <w:szCs w:val="20"/>
              </w:rPr>
              <w:t>Option</w:t>
            </w:r>
          </w:p>
        </w:tc>
        <w:tc>
          <w:tcPr>
            <w:tcW w:w="684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0E" w14:textId="77777777" w:rsidR="00F7495F" w:rsidRDefault="001C0309">
            <w:r>
              <w:rPr>
                <w:color w:val="FFFFFF"/>
                <w:sz w:val="20"/>
                <w:szCs w:val="20"/>
              </w:rPr>
              <w:t>What it means and when to use it</w:t>
            </w:r>
          </w:p>
        </w:tc>
      </w:tr>
      <w:tr w:rsidR="00F7495F" w14:paraId="00151912"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10" w14:textId="77777777" w:rsidR="00F7495F" w:rsidRDefault="001C0309">
            <w:r>
              <w:rPr>
                <w:b/>
                <w:bCs/>
                <w:color w:val="1B2A4A"/>
                <w:sz w:val="20"/>
                <w:szCs w:val="20"/>
              </w:rPr>
              <w:t>Prevalence Pool</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11" w14:textId="77777777" w:rsidR="00F7495F" w:rsidRDefault="001C0309">
            <w:r>
              <w:rPr>
                <w:color w:val="374151"/>
                <w:sz w:val="20"/>
                <w:szCs w:val="20"/>
              </w:rPr>
              <w:t>Use for chronic diseases where patients live with the condition for years (MS, diabetes, HIV, RA). The addressable market is everyone currently living with the disease. The pool accumulates over time and is reduced only by mortality and recovery.</w:t>
            </w:r>
          </w:p>
        </w:tc>
      </w:tr>
      <w:tr w:rsidR="00F7495F" w14:paraId="00151915"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13" w14:textId="77777777" w:rsidR="00F7495F" w:rsidRDefault="001C0309">
            <w:r>
              <w:rPr>
                <w:b/>
                <w:bCs/>
                <w:color w:val="1B2A4A"/>
                <w:sz w:val="20"/>
                <w:szCs w:val="20"/>
              </w:rPr>
              <w:t>Diagnosed Pool (Incidence)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14" w14:textId="77777777" w:rsidR="00F7495F" w:rsidRDefault="001C0309">
            <w:r>
              <w:rPr>
                <w:color w:val="374151"/>
                <w:sz w:val="20"/>
                <w:szCs w:val="20"/>
              </w:rPr>
              <w:t>Use for acute or curable conditions, or when the drug is given only at the point of first diagnosis. The addressable market replenishes each year with new patients only.</w:t>
            </w:r>
          </w:p>
        </w:tc>
      </w:tr>
      <w:tr w:rsidR="00F7495F" w14:paraId="00151918"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16" w14:textId="77777777" w:rsidR="00F7495F" w:rsidRDefault="001C0309">
            <w:r>
              <w:rPr>
                <w:b/>
                <w:bCs/>
                <w:color w:val="1B2A4A"/>
                <w:sz w:val="20"/>
                <w:szCs w:val="20"/>
              </w:rPr>
              <w:t>Prevalence + Incidence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17" w14:textId="77777777" w:rsidR="00F7495F" w:rsidRDefault="001C0309">
            <w:r>
              <w:rPr>
                <w:color w:val="374151"/>
                <w:sz w:val="20"/>
                <w:szCs w:val="20"/>
              </w:rPr>
              <w:t>Use for major chronic diseases with significant annual new diagnoses (COPD, depression, hepatitis). Both the existing population and new annual cases are modelled. Most complex but most accurate for large chronic markets.</w:t>
            </w:r>
          </w:p>
        </w:tc>
      </w:tr>
    </w:tbl>
    <w:p w14:paraId="00151919" w14:textId="77777777" w:rsidR="00F7495F" w:rsidRDefault="00F749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1B"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91A" w14:textId="77777777" w:rsidR="00F7495F" w:rsidRDefault="001C0309">
            <w:r>
              <w:rPr>
                <w:b/>
                <w:bCs/>
                <w:color w:val="991B1B"/>
                <w:sz w:val="20"/>
                <w:szCs w:val="20"/>
              </w:rPr>
              <w:t xml:space="preserve">Design risk:  </w:t>
            </w:r>
            <w:r>
              <w:rPr>
                <w:color w:val="991B1B"/>
                <w:sz w:val="20"/>
                <w:szCs w:val="20"/>
              </w:rPr>
              <w:t>This is the first decision a user makes. Choosing wrong sets the entire model on an incorrect foundation — but there is currently no guidance, tooltip, or explanation attached to this control.</w:t>
            </w:r>
          </w:p>
        </w:tc>
      </w:tr>
    </w:tbl>
    <w:p w14:paraId="0015191C" w14:textId="77777777" w:rsidR="00F7495F" w:rsidRDefault="00F7495F">
      <w:pPr>
        <w:spacing w:after="60"/>
      </w:pPr>
    </w:p>
    <w:p w14:paraId="0015191D" w14:textId="77777777" w:rsidR="00F7495F" w:rsidRDefault="00F7495F">
      <w:pPr>
        <w:spacing w:after="60"/>
      </w:pPr>
    </w:p>
    <w:p w14:paraId="0015191E" w14:textId="77777777" w:rsidR="00F7495F" w:rsidRDefault="001C0309">
      <w:pPr>
        <w:pStyle w:val="Heading2"/>
      </w:pPr>
      <w:r>
        <w:t>3.2  Diagnosis</w:t>
      </w:r>
    </w:p>
    <w:p w14:paraId="0015191F" w14:textId="77777777" w:rsidR="00F7495F" w:rsidRDefault="001C0309">
      <w:pPr>
        <w:spacing w:after="100"/>
      </w:pPr>
      <w:r>
        <w:rPr>
          <w:color w:val="374151"/>
        </w:rPr>
        <w:t>Applies a diagnosis rate filter to the population pool. In many diseases, a substantial proportion of patients are undiagnosed and therefore invisible to the treatment system.</w:t>
      </w:r>
    </w:p>
    <w:p w14:paraId="00151920" w14:textId="77777777" w:rsidR="00F7495F" w:rsidRDefault="001C0309">
      <w:pPr>
        <w:pStyle w:val="ListParagraph"/>
        <w:numPr>
          <w:ilvl w:val="0"/>
          <w:numId w:val="2"/>
        </w:numPr>
        <w:spacing w:after="80"/>
      </w:pPr>
      <w:r>
        <w:rPr>
          <w:color w:val="374151"/>
        </w:rPr>
        <w:t>YES/NO toggle: selecting YES adds a diagnosis layer to the funnel; NO treats the entire pool as diagnosed</w:t>
      </w:r>
    </w:p>
    <w:p w14:paraId="00151921" w14:textId="77777777" w:rsidR="00F7495F" w:rsidRDefault="001C0309">
      <w:pPr>
        <w:pStyle w:val="ListParagraph"/>
        <w:numPr>
          <w:ilvl w:val="0"/>
          <w:numId w:val="2"/>
        </w:numPr>
        <w:spacing w:after="80"/>
      </w:pPr>
      <w:r>
        <w:rPr>
          <w:color w:val="374151"/>
        </w:rPr>
        <w:t>Segment count (1–5): splits the diagnosed population into distinct sub-populations. Segments are typically defined by geography, disease severity/stage, biomarker subtype, patient age band, or care setting</w:t>
      </w:r>
    </w:p>
    <w:p w14:paraId="00151922" w14:textId="77777777" w:rsidR="00F7495F" w:rsidRDefault="001C0309">
      <w:pPr>
        <w:pStyle w:val="ListParagraph"/>
        <w:numPr>
          <w:ilvl w:val="0"/>
          <w:numId w:val="2"/>
        </w:numPr>
        <w:spacing w:after="80"/>
      </w:pPr>
      <w:r>
        <w:rPr>
          <w:color w:val="374151"/>
        </w:rPr>
        <w:t>Sub-segment count (1–5): a second-level split within each segment. Note: in the current model, sub-segment count applies uniformly — all segments get the same number of sub-segments. There is no way to give Segment 1 four sub-segments and Segment 2 two sub-segments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24"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923" w14:textId="77777777" w:rsidR="00F7495F" w:rsidRDefault="001C0309">
            <w:r>
              <w:rPr>
                <w:b/>
                <w:bCs/>
                <w:color w:val="92400E"/>
                <w:sz w:val="20"/>
                <w:szCs w:val="20"/>
              </w:rPr>
              <w:lastRenderedPageBreak/>
              <w:t xml:space="preserve">Key concept:  </w:t>
            </w:r>
            <w:r>
              <w:rPr>
                <w:color w:val="92400E"/>
                <w:sz w:val="20"/>
                <w:szCs w:val="20"/>
              </w:rPr>
              <w:t>Splitting prevalence by group — the choice of what dimension to segment on (geography vs stage vs biomarker) — is the most analytically significant decision at this layer. It determines what every downstream node actually represents. The current model has no step that prompts the analyst to make this choice explicitly.</w:t>
            </w:r>
          </w:p>
        </w:tc>
      </w:tr>
    </w:tbl>
    <w:p w14:paraId="00151925" w14:textId="77777777" w:rsidR="00F7495F" w:rsidRDefault="00F7495F">
      <w:pPr>
        <w:spacing w:after="60"/>
      </w:pPr>
    </w:p>
    <w:p w14:paraId="00151926" w14:textId="77777777" w:rsidR="00F7495F" w:rsidRDefault="00F7495F">
      <w:pPr>
        <w:spacing w:after="60"/>
      </w:pPr>
    </w:p>
    <w:p w14:paraId="00151927" w14:textId="77777777" w:rsidR="00F7495F" w:rsidRDefault="001C0309">
      <w:pPr>
        <w:pStyle w:val="Heading2"/>
      </w:pPr>
      <w:r>
        <w:t>3.3  Treatment</w:t>
      </w:r>
    </w:p>
    <w:p w14:paraId="00151928" w14:textId="77777777" w:rsidR="00F7495F" w:rsidRDefault="001C0309">
      <w:pPr>
        <w:spacing w:after="100"/>
      </w:pPr>
      <w:r>
        <w:rPr>
          <w:color w:val="374151"/>
        </w:rPr>
        <w:t>Applies a treatment rate filter to the diagnosed population. Not all diagnosed patients receive pharmacological therapy — some are managed with watchful waiting, surgery, lifestyle intervention, or palliative care only.</w:t>
      </w:r>
    </w:p>
    <w:p w14:paraId="00151929" w14:textId="77777777" w:rsidR="00F7495F" w:rsidRDefault="001C0309">
      <w:pPr>
        <w:spacing w:after="100"/>
      </w:pPr>
      <w:r>
        <w:rPr>
          <w:color w:val="374151"/>
        </w:rPr>
        <w:t>The segment/sub-segment structure here mirrors Diagnosis exactly, because treatment rates vary meaningfully across the same patient sub-populations.</w:t>
      </w:r>
    </w:p>
    <w:p w14:paraId="0015192A" w14:textId="77777777" w:rsidR="00F7495F" w:rsidRDefault="00F7495F">
      <w:pPr>
        <w:spacing w:after="60"/>
      </w:pPr>
    </w:p>
    <w:p w14:paraId="0015192B" w14:textId="77777777" w:rsidR="00F7495F" w:rsidRDefault="00F7495F">
      <w:pPr>
        <w:spacing w:after="60"/>
      </w:pPr>
    </w:p>
    <w:p w14:paraId="0015192C" w14:textId="77777777" w:rsidR="00F7495F" w:rsidRDefault="001C0309">
      <w:pPr>
        <w:pStyle w:val="Heading2"/>
      </w:pPr>
      <w:r>
        <w:t>3.4  Line of Therapy (LOT)</w:t>
      </w:r>
    </w:p>
    <w:p w14:paraId="0015192D" w14:textId="77777777" w:rsidR="00F7495F" w:rsidRDefault="001C0309">
      <w:pPr>
        <w:spacing w:after="100"/>
      </w:pPr>
      <w:r>
        <w:rPr>
          <w:color w:val="374151"/>
        </w:rPr>
        <w:t>One of the most commercially significant dimensions in pharmaceutical forecasting. Determines where in the treatment sequence the drug being modelled is indicated.</w:t>
      </w:r>
    </w:p>
    <w:p w14:paraId="0015192E" w14:textId="77777777" w:rsidR="00F7495F" w:rsidRDefault="001C0309">
      <w:pPr>
        <w:pStyle w:val="ListParagraph"/>
        <w:numPr>
          <w:ilvl w:val="0"/>
          <w:numId w:val="2"/>
        </w:numPr>
        <w:spacing w:after="80"/>
      </w:pPr>
      <w:r>
        <w:rPr>
          <w:color w:val="374151"/>
        </w:rPr>
        <w:t>First line (1L): the drug is given to patients at first diagnosis — the largest possible eligible population</w:t>
      </w:r>
    </w:p>
    <w:p w14:paraId="0015192F" w14:textId="77777777" w:rsidR="00F7495F" w:rsidRDefault="001C0309">
      <w:pPr>
        <w:pStyle w:val="ListParagraph"/>
        <w:numPr>
          <w:ilvl w:val="0"/>
          <w:numId w:val="2"/>
        </w:numPr>
        <w:spacing w:after="80"/>
      </w:pPr>
      <w:r>
        <w:rPr>
          <w:color w:val="374151"/>
        </w:rPr>
        <w:t>Second line (2L): the drug is given after one prior treatment has failed — roughly 40–50% fewer patients than 1L</w:t>
      </w:r>
    </w:p>
    <w:p w14:paraId="00151930" w14:textId="77777777" w:rsidR="00F7495F" w:rsidRDefault="001C0309">
      <w:pPr>
        <w:pStyle w:val="ListParagraph"/>
        <w:numPr>
          <w:ilvl w:val="0"/>
          <w:numId w:val="2"/>
        </w:numPr>
        <w:spacing w:after="80"/>
      </w:pPr>
      <w:r>
        <w:rPr>
          <w:color w:val="374151"/>
        </w:rPr>
        <w:t>Third line (3L) and beyond: progressively smaller populations due to patient attrition (death, palliative transition, loss to follow-up)</w:t>
      </w:r>
    </w:p>
    <w:p w14:paraId="00151931" w14:textId="77777777" w:rsidR="00F7495F" w:rsidRDefault="00F7495F">
      <w:pPr>
        <w:spacing w:after="60"/>
      </w:pPr>
    </w:p>
    <w:p w14:paraId="00151932" w14:textId="77777777" w:rsidR="00F7495F" w:rsidRDefault="001C0309">
      <w:pPr>
        <w:spacing w:after="100"/>
      </w:pPr>
      <w:r>
        <w:rPr>
          <w:color w:val="374151"/>
        </w:rPr>
        <w:t>YES/NO toggle controls whether this layer appears at all. Selecting NO triggers a bypass route in the VBA: drug class and products connect directly to the treatment pool, skipping LOT entirely.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34"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933" w14:textId="77777777" w:rsidR="00F7495F" w:rsidRDefault="001C0309">
            <w:r>
              <w:rPr>
                <w:b/>
                <w:bCs/>
                <w:color w:val="991B1B"/>
                <w:sz w:val="20"/>
                <w:szCs w:val="20"/>
              </w:rPr>
              <w:t xml:space="preserve">Critical design risk:  </w:t>
            </w:r>
            <w:r>
              <w:rPr>
                <w:color w:val="991B1B"/>
                <w:sz w:val="20"/>
                <w:szCs w:val="20"/>
              </w:rPr>
              <w:t>The bypass logic is completely invisible in the current interface. Toggling LOT = NO silently changes the model's routing architecture. There is no visual indicator that a bypass is active, and no summary of which bypasses are currently in effect.</w:t>
            </w:r>
          </w:p>
        </w:tc>
      </w:tr>
    </w:tbl>
    <w:p w14:paraId="00151935" w14:textId="77777777" w:rsidR="00F7495F" w:rsidRDefault="00F7495F">
      <w:pPr>
        <w:spacing w:after="60"/>
      </w:pPr>
    </w:p>
    <w:p w14:paraId="00151936" w14:textId="77777777" w:rsidR="00F7495F" w:rsidRDefault="00F7495F">
      <w:pPr>
        <w:spacing w:after="60"/>
      </w:pPr>
    </w:p>
    <w:p w14:paraId="00151937" w14:textId="77777777" w:rsidR="00F7495F" w:rsidRDefault="001C0309">
      <w:pPr>
        <w:pStyle w:val="Heading2"/>
      </w:pPr>
      <w:r>
        <w:t>3.5  Drug class</w:t>
      </w:r>
    </w:p>
    <w:p w14:paraId="00151938" w14:textId="77777777" w:rsidR="00F7495F" w:rsidRDefault="001C0309">
      <w:pPr>
        <w:spacing w:after="100"/>
      </w:pPr>
      <w:r>
        <w:rPr>
          <w:color w:val="374151"/>
        </w:rPr>
        <w:t>Groups competing products by mechanism of action (</w:t>
      </w:r>
      <w:proofErr w:type="spellStart"/>
      <w:r>
        <w:rPr>
          <w:color w:val="374151"/>
        </w:rPr>
        <w:t>MoA</w:t>
      </w:r>
      <w:proofErr w:type="spellEnd"/>
      <w:r>
        <w:rPr>
          <w:color w:val="374151"/>
        </w:rPr>
        <w:t>). A drug class forecast models market share at the class level first (what proportion of LOT patients use this class of therapy?) before going to individual products. This is more accurate because class-level data is often better supported by real-world evidence than product-level data.</w:t>
      </w:r>
    </w:p>
    <w:p w14:paraId="00151939" w14:textId="77777777" w:rsidR="00F7495F" w:rsidRDefault="001C0309">
      <w:pPr>
        <w:spacing w:after="100"/>
      </w:pPr>
      <w:r>
        <w:rPr>
          <w:color w:val="374151"/>
        </w:rPr>
        <w:t>Examples of drug classes: PD-1/PD-L1 checkpoint inhibitors, SGLT-2 inhibitors, CDK4/6 inhibitors, IL-17A inhibitors.</w:t>
      </w:r>
    </w:p>
    <w:p w14:paraId="0015193A" w14:textId="77777777" w:rsidR="00F7495F" w:rsidRDefault="001C0309">
      <w:pPr>
        <w:spacing w:after="100"/>
      </w:pPr>
      <w:r>
        <w:rPr>
          <w:color w:val="374151"/>
        </w:rPr>
        <w:lastRenderedPageBreak/>
        <w:t>YES/NO: selecting NO means products connect directly to LOT (or treatment pool if LOT is also NO). Combined with LOT = NO, this produces the simplest possible model structure: treated pool connects straight to products.</w:t>
      </w:r>
    </w:p>
    <w:p w14:paraId="0015193B" w14:textId="77777777" w:rsidR="00F7495F" w:rsidRDefault="00F7495F">
      <w:pPr>
        <w:spacing w:after="60"/>
      </w:pPr>
    </w:p>
    <w:p w14:paraId="0015193C" w14:textId="77777777" w:rsidR="00F7495F" w:rsidRDefault="00F7495F">
      <w:pPr>
        <w:spacing w:after="60"/>
      </w:pPr>
    </w:p>
    <w:p w14:paraId="0015193D" w14:textId="77777777" w:rsidR="00F7495F" w:rsidRDefault="001C0309">
      <w:pPr>
        <w:pStyle w:val="Heading2"/>
      </w:pPr>
      <w:r>
        <w:t>3.6  Products</w:t>
      </w:r>
    </w:p>
    <w:p w14:paraId="0015193E" w14:textId="77777777" w:rsidR="00F7495F" w:rsidRDefault="001C0309">
      <w:pPr>
        <w:spacing w:after="100"/>
      </w:pPr>
      <w:r>
        <w:rPr>
          <w:color w:val="374151"/>
        </w:rPr>
        <w:t>The terminal layer of the funnel. Products are split into two types with fundamentally different analytical treatment:</w:t>
      </w:r>
    </w:p>
    <w:p w14:paraId="0015193F" w14:textId="77777777" w:rsidR="00F7495F" w:rsidRDefault="00F749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7495F" w14:paraId="00151942"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40" w14:textId="77777777" w:rsidR="00F7495F" w:rsidRDefault="001C0309">
            <w:r>
              <w:rPr>
                <w:b/>
                <w:bCs/>
                <w:color w:val="FFFFFF"/>
                <w:sz w:val="20"/>
                <w:szCs w:val="20"/>
              </w:rPr>
              <w:t>Product type</w:t>
            </w:r>
          </w:p>
        </w:tc>
        <w:tc>
          <w:tcPr>
            <w:tcW w:w="684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41" w14:textId="77777777" w:rsidR="00F7495F" w:rsidRDefault="001C0309">
            <w:r>
              <w:rPr>
                <w:color w:val="FFFFFF"/>
                <w:sz w:val="20"/>
                <w:szCs w:val="20"/>
              </w:rPr>
              <w:t>What it means</w:t>
            </w:r>
          </w:p>
        </w:tc>
      </w:tr>
      <w:tr w:rsidR="00F7495F" w14:paraId="00151945"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43" w14:textId="77777777" w:rsidR="00F7495F" w:rsidRDefault="001C0309">
            <w:r>
              <w:rPr>
                <w:b/>
                <w:bCs/>
                <w:color w:val="1B2A4A"/>
                <w:sz w:val="20"/>
                <w:szCs w:val="20"/>
              </w:rPr>
              <w:t>Approved products</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44" w14:textId="77777777" w:rsidR="00F7495F" w:rsidRDefault="001C0309">
            <w:r>
              <w:rPr>
                <w:color w:val="374151"/>
                <w:sz w:val="20"/>
                <w:szCs w:val="20"/>
              </w:rPr>
              <w:t>Drugs on the market with regulatory approval. Have real-world sales data, known market share, and established prescribing patterns. Serve as the calibration baseline — if the model cannot reproduce observed shares for approved products, the assumptions are wrong.</w:t>
            </w:r>
          </w:p>
        </w:tc>
      </w:tr>
      <w:tr w:rsidR="00F7495F" w14:paraId="00151948"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46" w14:textId="77777777" w:rsidR="00F7495F" w:rsidRDefault="001C0309">
            <w:r>
              <w:rPr>
                <w:b/>
                <w:bCs/>
                <w:color w:val="1B2A4A"/>
                <w:sz w:val="20"/>
                <w:szCs w:val="20"/>
              </w:rPr>
              <w:t>Pipeline products</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47" w14:textId="77777777" w:rsidR="00F7495F" w:rsidRDefault="001C0309">
            <w:r>
              <w:rPr>
                <w:color w:val="374151"/>
                <w:sz w:val="20"/>
                <w:szCs w:val="20"/>
              </w:rPr>
              <w:t>Drugs in clinical development (Phase I, II, or III) or awaiting approval. No real-world sales data. Shares are estimated from clinical trial results, mechanism of action, expected label, and competitive landscape. Inherently uncertain — pipeline forecasting is where the highest-stakes commercial decisions are made.</w:t>
            </w:r>
          </w:p>
        </w:tc>
      </w:tr>
    </w:tbl>
    <w:p w14:paraId="00151949" w14:textId="77777777" w:rsidR="00F7495F" w:rsidRDefault="00F7495F">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4B"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94A" w14:textId="77777777" w:rsidR="00F7495F" w:rsidRDefault="001C0309">
            <w:r>
              <w:rPr>
                <w:b/>
                <w:bCs/>
                <w:color w:val="92400E"/>
                <w:sz w:val="20"/>
                <w:szCs w:val="20"/>
              </w:rPr>
              <w:t xml:space="preserve">Design note:  </w:t>
            </w:r>
            <w:r>
              <w:rPr>
                <w:color w:val="92400E"/>
                <w:sz w:val="20"/>
                <w:szCs w:val="20"/>
              </w:rPr>
              <w:t>The current model makes no distinction between a Phase I asset (highly uncertain) and a Phase III asset ready to launch (high confidence). All pipeline products are structurally identical. A redesigned system should capture confidence levels or development stage as an attribute.</w:t>
            </w:r>
          </w:p>
        </w:tc>
      </w:tr>
    </w:tbl>
    <w:p w14:paraId="0015194C" w14:textId="77777777" w:rsidR="00F7495F" w:rsidRDefault="001C0309">
      <w:r>
        <w:br w:type="page"/>
      </w:r>
    </w:p>
    <w:p w14:paraId="0015194D" w14:textId="77777777" w:rsidR="00F7495F" w:rsidRDefault="001C0309">
      <w:pPr>
        <w:pStyle w:val="Heading1"/>
        <w:pBdr>
          <w:bottom w:val="single" w:sz="6" w:space="4" w:color="2563EB"/>
        </w:pBdr>
      </w:pPr>
      <w:r>
        <w:lastRenderedPageBreak/>
        <w:t>4.  The Three-Step Design Model</w:t>
      </w:r>
    </w:p>
    <w:p w14:paraId="0015194E" w14:textId="77777777" w:rsidR="00F7495F" w:rsidRDefault="001C0309">
      <w:pPr>
        <w:spacing w:after="100"/>
      </w:pPr>
      <w:r>
        <w:rPr>
          <w:color w:val="374151"/>
        </w:rPr>
        <w:t>Based on analysis of the current tool's limitations and the analyst's actual workflow, a redesigned system should separate three distinct cognitive tasks that the current tool conflates into a single undifferentiated interaction:</w:t>
      </w:r>
    </w:p>
    <w:p w14:paraId="0015194F" w14:textId="77777777" w:rsidR="00F7495F" w:rsidRDefault="00F7495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51"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EFF6FF"/>
            <w:tcMar>
              <w:top w:w="120" w:type="dxa"/>
              <w:left w:w="180" w:type="dxa"/>
              <w:bottom w:w="120" w:type="dxa"/>
              <w:right w:w="180" w:type="dxa"/>
            </w:tcMar>
          </w:tcPr>
          <w:p w14:paraId="00151950" w14:textId="77777777" w:rsidR="00F7495F" w:rsidRDefault="001C0309">
            <w:r>
              <w:rPr>
                <w:b/>
                <w:bCs/>
                <w:color w:val="1E40AF"/>
                <w:sz w:val="20"/>
                <w:szCs w:val="20"/>
              </w:rPr>
              <w:t xml:space="preserve">Core principle:  </w:t>
            </w:r>
            <w:r>
              <w:rPr>
                <w:color w:val="1E40AF"/>
                <w:sz w:val="20"/>
                <w:szCs w:val="20"/>
              </w:rPr>
              <w:t>Structure, meaning, and numbers are three separate concerns. They require different information, different validation rules, and different users. Conflating them is what makes the current tool error-prone and revision-heavy.</w:t>
            </w:r>
          </w:p>
        </w:tc>
      </w:tr>
    </w:tbl>
    <w:p w14:paraId="00151952" w14:textId="77777777" w:rsidR="00F7495F" w:rsidRDefault="00F7495F">
      <w:pPr>
        <w:spacing w:after="60"/>
      </w:pPr>
    </w:p>
    <w:p w14:paraId="00151953" w14:textId="77777777" w:rsidR="00F7495F" w:rsidRDefault="00F7495F">
      <w:pPr>
        <w:spacing w:after="60"/>
      </w:pPr>
    </w:p>
    <w:p w14:paraId="00151954" w14:textId="77777777" w:rsidR="00F7495F" w:rsidRDefault="001C0309">
      <w:pPr>
        <w:pStyle w:val="Heading2"/>
      </w:pPr>
      <w:r>
        <w:t>Step 1 — Structural configuration (the skeleton)</w:t>
      </w:r>
    </w:p>
    <w:p w14:paraId="00151955" w14:textId="77777777" w:rsidR="00F7495F" w:rsidRDefault="001C0309">
      <w:pPr>
        <w:spacing w:after="100"/>
      </w:pPr>
      <w:r>
        <w:rPr>
          <w:color w:val="374151"/>
        </w:rPr>
        <w:t>The analyst defines the architecture of the funnel: which layers exist, in what order, and how many nodes at each level. No labels, no patient counts — only the shape.</w:t>
      </w:r>
    </w:p>
    <w:p w14:paraId="00151956" w14:textId="77777777" w:rsidR="00F7495F" w:rsidRDefault="00F7495F">
      <w:pPr>
        <w:spacing w:after="60"/>
      </w:pPr>
    </w:p>
    <w:p w14:paraId="00151957" w14:textId="77777777" w:rsidR="00F7495F" w:rsidRDefault="001C0309">
      <w:pPr>
        <w:pStyle w:val="Heading3"/>
      </w:pPr>
      <w:r>
        <w:t>Decisions made in this step</w:t>
      </w:r>
    </w:p>
    <w:p w14:paraId="00151958" w14:textId="77777777" w:rsidR="00F7495F" w:rsidRDefault="001C0309">
      <w:pPr>
        <w:pStyle w:val="ListParagraph"/>
        <w:numPr>
          <w:ilvl w:val="0"/>
          <w:numId w:val="2"/>
        </w:numPr>
        <w:spacing w:after="80"/>
      </w:pPr>
      <w:r>
        <w:rPr>
          <w:color w:val="374151"/>
        </w:rPr>
        <w:t>Pool model type: Prevalence / Incidence / Prevalence + Incidence</w:t>
      </w:r>
    </w:p>
    <w:p w14:paraId="00151959" w14:textId="77777777" w:rsidR="00F7495F" w:rsidRDefault="001C0309">
      <w:pPr>
        <w:pStyle w:val="ListParagraph"/>
        <w:numPr>
          <w:ilvl w:val="0"/>
          <w:numId w:val="2"/>
        </w:numPr>
        <w:spacing w:after="80"/>
      </w:pPr>
      <w:r>
        <w:rPr>
          <w:color w:val="374151"/>
        </w:rPr>
        <w:t>Include Diagnosis? → How many segments? → How many sub-segments per segment?</w:t>
      </w:r>
    </w:p>
    <w:p w14:paraId="0015195A" w14:textId="77777777" w:rsidR="00F7495F" w:rsidRDefault="001C0309">
      <w:pPr>
        <w:pStyle w:val="ListParagraph"/>
        <w:numPr>
          <w:ilvl w:val="0"/>
          <w:numId w:val="2"/>
        </w:numPr>
        <w:spacing w:after="80"/>
      </w:pPr>
      <w:r>
        <w:rPr>
          <w:color w:val="374151"/>
        </w:rPr>
        <w:t>Include Treatment? → Same structure</w:t>
      </w:r>
    </w:p>
    <w:p w14:paraId="0015195B" w14:textId="77777777" w:rsidR="00F7495F" w:rsidRDefault="001C0309">
      <w:pPr>
        <w:pStyle w:val="ListParagraph"/>
        <w:numPr>
          <w:ilvl w:val="0"/>
          <w:numId w:val="2"/>
        </w:numPr>
        <w:spacing w:after="80"/>
      </w:pPr>
      <w:r>
        <w:rPr>
          <w:color w:val="374151"/>
        </w:rPr>
        <w:t>Include LOT? → How many lines? → How many sub-segments per LOT?</w:t>
      </w:r>
    </w:p>
    <w:p w14:paraId="0015195C" w14:textId="77777777" w:rsidR="00F7495F" w:rsidRDefault="001C0309">
      <w:pPr>
        <w:pStyle w:val="ListParagraph"/>
        <w:numPr>
          <w:ilvl w:val="0"/>
          <w:numId w:val="2"/>
        </w:numPr>
        <w:spacing w:after="80"/>
      </w:pPr>
      <w:r>
        <w:rPr>
          <w:color w:val="374151"/>
        </w:rPr>
        <w:t>Include Drug Class? → How many classes? → How many sub-segments?</w:t>
      </w:r>
    </w:p>
    <w:p w14:paraId="0015195D" w14:textId="77777777" w:rsidR="00F7495F" w:rsidRDefault="001C0309">
      <w:pPr>
        <w:pStyle w:val="ListParagraph"/>
        <w:numPr>
          <w:ilvl w:val="0"/>
          <w:numId w:val="2"/>
        </w:numPr>
        <w:spacing w:after="80"/>
      </w:pPr>
      <w:r>
        <w:rPr>
          <w:color w:val="374151"/>
        </w:rPr>
        <w:t>Include Products? → How many approved? → How many pipeline?</w:t>
      </w:r>
    </w:p>
    <w:p w14:paraId="0015195E" w14:textId="77777777" w:rsidR="00F7495F" w:rsidRDefault="00F7495F">
      <w:pPr>
        <w:spacing w:after="60"/>
      </w:pPr>
    </w:p>
    <w:p w14:paraId="0015195F" w14:textId="77777777" w:rsidR="00F7495F" w:rsidRDefault="001C0309">
      <w:pPr>
        <w:pStyle w:val="Heading3"/>
      </w:pPr>
      <w:r>
        <w:t>Output of this step</w:t>
      </w:r>
    </w:p>
    <w:p w14:paraId="00151960" w14:textId="77777777" w:rsidR="00F7495F" w:rsidRDefault="001C0309">
      <w:pPr>
        <w:spacing w:after="100"/>
      </w:pPr>
      <w:r>
        <w:rPr>
          <w:color w:val="374151"/>
        </w:rPr>
        <w:t>An unlabelled funnel diagram showing the correct architecture — boxes with placeholder names, connected correctly, showing all active bypass routes clearly indicated.</w:t>
      </w:r>
    </w:p>
    <w:p w14:paraId="00151961" w14:textId="77777777" w:rsidR="00F7495F" w:rsidRDefault="00F7495F">
      <w:pPr>
        <w:spacing w:after="60"/>
      </w:pPr>
    </w:p>
    <w:p w14:paraId="00151962" w14:textId="77777777" w:rsidR="00F7495F" w:rsidRDefault="001C0309">
      <w:pPr>
        <w:pStyle w:val="Heading3"/>
      </w:pPr>
      <w:r>
        <w:t>Critical constraint</w:t>
      </w:r>
    </w:p>
    <w:p w14:paraId="00151963" w14:textId="77777777" w:rsidR="00F7495F" w:rsidRDefault="001C0309">
      <w:pPr>
        <w:spacing w:after="100"/>
      </w:pPr>
      <w:r>
        <w:rPr>
          <w:color w:val="374151"/>
        </w:rPr>
        <w:t>Once numeric data has been entered in Step 3, changing the structure in Step 1 must warn the user that data for affected nodes will be affected. This is the cascade problem — it does not disappear, but it becomes manageable when the steps are explicit and the scope of a change is clearly communicated before it is applied.</w:t>
      </w:r>
    </w:p>
    <w:p w14:paraId="00151964" w14:textId="77777777" w:rsidR="00F7495F" w:rsidRDefault="00F7495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66"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965" w14:textId="77777777" w:rsidR="00F7495F" w:rsidRDefault="001C0309">
            <w:r>
              <w:rPr>
                <w:b/>
                <w:bCs/>
                <w:color w:val="92400E"/>
                <w:sz w:val="20"/>
                <w:szCs w:val="20"/>
              </w:rPr>
              <w:t xml:space="preserve">Important design note on sub-segments:  </w:t>
            </w:r>
            <w:r>
              <w:rPr>
                <w:color w:val="92400E"/>
                <w:sz w:val="20"/>
                <w:szCs w:val="20"/>
              </w:rPr>
              <w:t>Segment specification — what a segment actually represents — changes the numeric assumptions (Step 3) but not the structural outline (Step 1). The dimension of segmentation (geography vs stage vs biomarker) is a Step 2 labelling decision that is the prerequisite for correctly entering rates in Step 3. Currently the model conflates all three into a single undifferentiated interaction with no guidance.</w:t>
            </w:r>
          </w:p>
        </w:tc>
      </w:tr>
    </w:tbl>
    <w:p w14:paraId="00151967" w14:textId="77777777" w:rsidR="00F7495F" w:rsidRDefault="00F7495F">
      <w:pPr>
        <w:spacing w:after="60"/>
      </w:pPr>
    </w:p>
    <w:p w14:paraId="00151968" w14:textId="77777777" w:rsidR="00F7495F" w:rsidRDefault="00F7495F">
      <w:pPr>
        <w:spacing w:after="60"/>
      </w:pPr>
    </w:p>
    <w:p w14:paraId="00151969" w14:textId="77777777" w:rsidR="00F7495F" w:rsidRDefault="001C0309">
      <w:pPr>
        <w:pStyle w:val="Heading2"/>
      </w:pPr>
      <w:r>
        <w:t>Step 2 — Definition and labelling (the meaning layer)</w:t>
      </w:r>
    </w:p>
    <w:p w14:paraId="0015196A" w14:textId="77777777" w:rsidR="00F7495F" w:rsidRDefault="001C0309">
      <w:pPr>
        <w:spacing w:after="100"/>
      </w:pPr>
      <w:r>
        <w:rPr>
          <w:color w:val="374151"/>
        </w:rPr>
        <w:t>The analyst gives every node in the skeleton a disease-specific identity. This step transforms a generic structural template into a model that is specifically about a particular disease, in a particular market, for a particular drug.</w:t>
      </w:r>
    </w:p>
    <w:p w14:paraId="0015196B" w14:textId="77777777" w:rsidR="00F7495F" w:rsidRDefault="00F7495F">
      <w:pPr>
        <w:spacing w:after="60"/>
      </w:pPr>
    </w:p>
    <w:p w14:paraId="0015196C" w14:textId="77777777" w:rsidR="00F7495F" w:rsidRDefault="001C0309">
      <w:pPr>
        <w:pStyle w:val="Heading3"/>
      </w:pPr>
      <w:r>
        <w:t>Decisions made in this step</w:t>
      </w:r>
    </w:p>
    <w:p w14:paraId="0015196D" w14:textId="77777777" w:rsidR="00F7495F" w:rsidRDefault="001C0309">
      <w:pPr>
        <w:pStyle w:val="ListParagraph"/>
        <w:numPr>
          <w:ilvl w:val="0"/>
          <w:numId w:val="2"/>
        </w:numPr>
        <w:spacing w:after="80"/>
      </w:pPr>
      <w:r>
        <w:rPr>
          <w:color w:val="374151"/>
        </w:rPr>
        <w:t>What dimension are the segments split on? (Geography / Disease stage / Biomarker / Care setting / Patient demographics / Other)</w:t>
      </w:r>
    </w:p>
    <w:p w14:paraId="0015196E" w14:textId="77777777" w:rsidR="00F7495F" w:rsidRDefault="001C0309">
      <w:pPr>
        <w:pStyle w:val="ListParagraph"/>
        <w:numPr>
          <w:ilvl w:val="0"/>
          <w:numId w:val="2"/>
        </w:numPr>
        <w:spacing w:after="80"/>
      </w:pPr>
      <w:r>
        <w:rPr>
          <w:color w:val="374151"/>
        </w:rPr>
        <w:t>Name each segment, sub-segment, LOT, drug class, and product with the actual disease-specific term</w:t>
      </w:r>
    </w:p>
    <w:p w14:paraId="0015196F" w14:textId="77777777" w:rsidR="00F7495F" w:rsidRDefault="001C0309">
      <w:pPr>
        <w:pStyle w:val="ListParagraph"/>
        <w:numPr>
          <w:ilvl w:val="0"/>
          <w:numId w:val="2"/>
        </w:numPr>
        <w:spacing w:after="80"/>
      </w:pPr>
      <w:r>
        <w:rPr>
          <w:color w:val="374151"/>
        </w:rPr>
        <w:t>Optionally: document the rationale — why was this segmentation chosen? What clinical or commercial logic justifies it?</w:t>
      </w:r>
    </w:p>
    <w:p w14:paraId="00151970" w14:textId="77777777" w:rsidR="00F7495F" w:rsidRDefault="00F7495F">
      <w:pPr>
        <w:spacing w:after="60"/>
      </w:pPr>
    </w:p>
    <w:p w14:paraId="00151971" w14:textId="77777777" w:rsidR="00F7495F" w:rsidRDefault="001C0309">
      <w:pPr>
        <w:pStyle w:val="Heading3"/>
      </w:pPr>
      <w:r>
        <w:t>Output of this step</w:t>
      </w:r>
    </w:p>
    <w:p w14:paraId="00151972" w14:textId="77777777" w:rsidR="00F7495F" w:rsidRDefault="001C0309">
      <w:pPr>
        <w:spacing w:after="100"/>
      </w:pPr>
      <w:r>
        <w:rPr>
          <w:color w:val="374151"/>
        </w:rPr>
        <w:t>The same funnel diagram, now fully labelled with disease-specific terminology. The diagram communicates what it is about, not just what shape it has.</w:t>
      </w:r>
    </w:p>
    <w:p w14:paraId="00151973" w14:textId="77777777" w:rsidR="00F7495F" w:rsidRDefault="00F7495F">
      <w:pPr>
        <w:spacing w:after="60"/>
      </w:pPr>
    </w:p>
    <w:p w14:paraId="00151974" w14:textId="77777777" w:rsidR="00F7495F" w:rsidRDefault="001C0309">
      <w:pPr>
        <w:pStyle w:val="Heading3"/>
      </w:pPr>
      <w:r>
        <w:t>Why this is analytically important, not just cosmetic</w:t>
      </w:r>
    </w:p>
    <w:p w14:paraId="00151975" w14:textId="77777777" w:rsidR="00F7495F" w:rsidRDefault="001C0309">
      <w:pPr>
        <w:spacing w:after="100"/>
      </w:pPr>
      <w:r>
        <w:rPr>
          <w:color w:val="374151"/>
        </w:rPr>
        <w:t>Naming a segment is a clinical claim. 'Segment 1 = Stage IV metastatic' asserts that this is the patient population the drug addresses. This assertion will be scrutinised by payers, regulators, and senior leadership. The current model treats naming as an afterthought (a separate HOME sheet with no free-text fields for most labels). A redesigned system should treat it as a first-class decision with documentation support.</w:t>
      </w:r>
    </w:p>
    <w:p w14:paraId="00151976" w14:textId="77777777" w:rsidR="00F7495F" w:rsidRDefault="00F7495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78"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EFF6FF"/>
            <w:tcMar>
              <w:top w:w="120" w:type="dxa"/>
              <w:left w:w="180" w:type="dxa"/>
              <w:bottom w:w="120" w:type="dxa"/>
              <w:right w:w="180" w:type="dxa"/>
            </w:tcMar>
          </w:tcPr>
          <w:p w14:paraId="00151977" w14:textId="77777777" w:rsidR="00F7495F" w:rsidRDefault="001C0309">
            <w:r>
              <w:rPr>
                <w:b/>
                <w:bCs/>
                <w:color w:val="1E40AF"/>
                <w:sz w:val="20"/>
                <w:szCs w:val="20"/>
              </w:rPr>
              <w:t xml:space="preserve">Key gap in current model:  </w:t>
            </w:r>
            <w:r>
              <w:rPr>
                <w:color w:val="1E40AF"/>
                <w:sz w:val="20"/>
                <w:szCs w:val="20"/>
              </w:rPr>
              <w:t>Sub-segment labelling is not possible at all in the current model — the reference table in HOME uses permanent generic labels ('Seg 1; Sub 2') with no free-text input. This is one of the most significant structural gaps to address in redesign.</w:t>
            </w:r>
          </w:p>
        </w:tc>
      </w:tr>
    </w:tbl>
    <w:p w14:paraId="00151979" w14:textId="77777777" w:rsidR="00F7495F" w:rsidRDefault="00F7495F">
      <w:pPr>
        <w:spacing w:after="60"/>
      </w:pPr>
    </w:p>
    <w:p w14:paraId="0015197A" w14:textId="77777777" w:rsidR="00F7495F" w:rsidRDefault="00F7495F">
      <w:pPr>
        <w:spacing w:after="60"/>
      </w:pPr>
    </w:p>
    <w:p w14:paraId="0015197B" w14:textId="77777777" w:rsidR="00F7495F" w:rsidRDefault="001C0309">
      <w:pPr>
        <w:pStyle w:val="Heading2"/>
      </w:pPr>
      <w:r>
        <w:t>Step 3 — Numeric population and export</w:t>
      </w:r>
    </w:p>
    <w:p w14:paraId="0015197C" w14:textId="77777777" w:rsidR="00F7495F" w:rsidRDefault="001C0309">
      <w:pPr>
        <w:spacing w:after="100"/>
      </w:pPr>
      <w:r>
        <w:rPr>
          <w:color w:val="374151"/>
        </w:rPr>
        <w:t>The analyst populates every node with the patient counts, rates, and market share assumptions that turn the structural diagram into an actual quantitative forecast. This is the step that the current model does not support at all.</w:t>
      </w:r>
    </w:p>
    <w:p w14:paraId="0015197D" w14:textId="77777777" w:rsidR="00F7495F" w:rsidRDefault="00F7495F">
      <w:pPr>
        <w:spacing w:after="60"/>
      </w:pPr>
    </w:p>
    <w:p w14:paraId="0015197E" w14:textId="77777777" w:rsidR="00F7495F" w:rsidRDefault="001C0309">
      <w:pPr>
        <w:pStyle w:val="Heading3"/>
      </w:pPr>
      <w:r>
        <w:t>Data entered in this step</w:t>
      </w:r>
    </w:p>
    <w:p w14:paraId="0015197F" w14:textId="77777777" w:rsidR="00F7495F" w:rsidRDefault="001C0309">
      <w:pPr>
        <w:pStyle w:val="ListParagraph"/>
        <w:numPr>
          <w:ilvl w:val="0"/>
          <w:numId w:val="2"/>
        </w:numPr>
        <w:spacing w:after="80"/>
      </w:pPr>
      <w:r>
        <w:rPr>
          <w:color w:val="374151"/>
        </w:rPr>
        <w:lastRenderedPageBreak/>
        <w:t>Total population: prevalence and/or incidence count, with source citation and year</w:t>
      </w:r>
    </w:p>
    <w:p w14:paraId="00151980" w14:textId="77777777" w:rsidR="00F7495F" w:rsidRDefault="001C0309">
      <w:pPr>
        <w:pStyle w:val="ListParagraph"/>
        <w:numPr>
          <w:ilvl w:val="0"/>
          <w:numId w:val="2"/>
        </w:numPr>
        <w:spacing w:after="80"/>
      </w:pPr>
      <w:r>
        <w:rPr>
          <w:color w:val="374151"/>
        </w:rPr>
        <w:t>Diagnosis rate per segment: what proportion of the population in each segment has a formal diagnosis</w:t>
      </w:r>
    </w:p>
    <w:p w14:paraId="00151981" w14:textId="77777777" w:rsidR="00F7495F" w:rsidRDefault="001C0309">
      <w:pPr>
        <w:pStyle w:val="ListParagraph"/>
        <w:numPr>
          <w:ilvl w:val="0"/>
          <w:numId w:val="2"/>
        </w:numPr>
        <w:spacing w:after="80"/>
      </w:pPr>
      <w:r>
        <w:rPr>
          <w:color w:val="374151"/>
        </w:rPr>
        <w:t>Treatment rate per segment: what proportion of diagnosed patients receive pharmacological therapy</w:t>
      </w:r>
    </w:p>
    <w:p w14:paraId="00151982" w14:textId="77777777" w:rsidR="00F7495F" w:rsidRDefault="001C0309">
      <w:pPr>
        <w:pStyle w:val="ListParagraph"/>
        <w:numPr>
          <w:ilvl w:val="0"/>
          <w:numId w:val="2"/>
        </w:numPr>
        <w:spacing w:after="80"/>
      </w:pPr>
      <w:r>
        <w:rPr>
          <w:color w:val="374151"/>
        </w:rPr>
        <w:t>LOT attrition rates: what proportion of patients in each line of therapy advance to the next line</w:t>
      </w:r>
    </w:p>
    <w:p w14:paraId="00151983" w14:textId="77777777" w:rsidR="00F7495F" w:rsidRDefault="001C0309">
      <w:pPr>
        <w:pStyle w:val="ListParagraph"/>
        <w:numPr>
          <w:ilvl w:val="0"/>
          <w:numId w:val="2"/>
        </w:numPr>
        <w:spacing w:after="80"/>
      </w:pPr>
      <w:r>
        <w:rPr>
          <w:color w:val="374151"/>
        </w:rPr>
        <w:t>Drug class share: what proportion of patients at each LOT are treated with each drug class</w:t>
      </w:r>
    </w:p>
    <w:p w14:paraId="00151984" w14:textId="77777777" w:rsidR="00F7495F" w:rsidRDefault="001C0309">
      <w:pPr>
        <w:pStyle w:val="ListParagraph"/>
        <w:numPr>
          <w:ilvl w:val="0"/>
          <w:numId w:val="2"/>
        </w:numPr>
        <w:spacing w:after="80"/>
      </w:pPr>
      <w:r>
        <w:rPr>
          <w:color w:val="374151"/>
        </w:rPr>
        <w:t>Product market share: current observed share (approved products) and projected peak share (pipeline products), with time-to-peak assumptions</w:t>
      </w:r>
    </w:p>
    <w:p w14:paraId="00151985" w14:textId="77777777" w:rsidR="00F7495F" w:rsidRDefault="001C0309">
      <w:pPr>
        <w:pStyle w:val="ListParagraph"/>
        <w:numPr>
          <w:ilvl w:val="0"/>
          <w:numId w:val="2"/>
        </w:numPr>
        <w:spacing w:after="80"/>
      </w:pPr>
      <w:r>
        <w:rPr>
          <w:color w:val="374151"/>
        </w:rPr>
        <w:t>Time horizon: forecast period (typically 1–10 years, sometimes to loss of exclusivity)</w:t>
      </w:r>
    </w:p>
    <w:p w14:paraId="00151986" w14:textId="77777777" w:rsidR="00F7495F" w:rsidRDefault="00F7495F">
      <w:pPr>
        <w:spacing w:after="60"/>
      </w:pPr>
    </w:p>
    <w:p w14:paraId="00151987" w14:textId="77777777" w:rsidR="00F7495F" w:rsidRDefault="001C0309">
      <w:pPr>
        <w:pStyle w:val="Heading3"/>
      </w:pPr>
      <w:r>
        <w:t>Output of this step</w:t>
      </w:r>
    </w:p>
    <w:p w14:paraId="00151988" w14:textId="77777777" w:rsidR="00F7495F" w:rsidRDefault="001C0309">
      <w:pPr>
        <w:spacing w:after="100"/>
      </w:pPr>
      <w:r>
        <w:rPr>
          <w:color w:val="374151"/>
        </w:rPr>
        <w:t>The fully populated funnel with patient counts at every node, exportable as a diagram with numbers embedded, a supporting data table, and a linked assumptions log that documents every rate and share with its source and confidence level.</w:t>
      </w:r>
    </w:p>
    <w:p w14:paraId="00151989" w14:textId="77777777" w:rsidR="00F7495F" w:rsidRDefault="00F7495F">
      <w:pPr>
        <w:spacing w:after="60"/>
      </w:pPr>
    </w:p>
    <w:p w14:paraId="0015198A" w14:textId="77777777" w:rsidR="00F7495F" w:rsidRDefault="001C0309">
      <w:pPr>
        <w:pStyle w:val="Heading3"/>
      </w:pPr>
      <w:r>
        <w:t>The live connection that does not exist today</w:t>
      </w:r>
    </w:p>
    <w:p w14:paraId="0015198B" w14:textId="77777777" w:rsidR="00F7495F" w:rsidRDefault="001C0309">
      <w:pPr>
        <w:spacing w:after="100"/>
      </w:pPr>
      <w:r>
        <w:rPr>
          <w:color w:val="374151"/>
        </w:rPr>
        <w:t>In a well-designed system, changing an assumption in Step 3 would automatically update all downstream patient counts and the diagram simultaneously. Today, the diagram (Excel), the calculation model (separate Excel), and the presentation (PowerPoint) are three unlinked artefacts. Any assumption change requires manual updates to all three.</w:t>
      </w:r>
    </w:p>
    <w:p w14:paraId="0015198C" w14:textId="77777777" w:rsidR="00F7495F" w:rsidRDefault="00F7495F">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8E" w14:textId="77777777">
        <w:tblPrEx>
          <w:tblCellMar>
            <w:top w:w="0" w:type="dxa"/>
            <w:bottom w:w="0" w:type="dxa"/>
          </w:tblCellMar>
        </w:tblPrEx>
        <w:tc>
          <w:tcPr>
            <w:tcW w:w="9360" w:type="dxa"/>
            <w:tcBorders>
              <w:top w:val="single" w:sz="1" w:space="0" w:color="2563EB"/>
              <w:left w:val="single" w:sz="12" w:space="0" w:color="2563EB"/>
              <w:bottom w:val="single" w:sz="1" w:space="0" w:color="2563EB"/>
              <w:right w:val="single" w:sz="1" w:space="0" w:color="2563EB"/>
            </w:tcBorders>
            <w:shd w:val="clear" w:color="auto" w:fill="EFF6FF"/>
            <w:tcMar>
              <w:top w:w="120" w:type="dxa"/>
              <w:left w:w="180" w:type="dxa"/>
              <w:bottom w:w="120" w:type="dxa"/>
              <w:right w:w="180" w:type="dxa"/>
            </w:tcMar>
          </w:tcPr>
          <w:p w14:paraId="0015198D" w14:textId="77777777" w:rsidR="00F7495F" w:rsidRDefault="001C0309">
            <w:r>
              <w:rPr>
                <w:b/>
                <w:bCs/>
                <w:color w:val="1E40AF"/>
                <w:sz w:val="20"/>
                <w:szCs w:val="20"/>
              </w:rPr>
              <w:t xml:space="preserve">Scope note:  </w:t>
            </w:r>
            <w:r>
              <w:rPr>
                <w:color w:val="1E40AF"/>
                <w:sz w:val="20"/>
                <w:szCs w:val="20"/>
              </w:rPr>
              <w:t>Step 3 contains the highest commercial sensitivity. Population numbers and market share assumptions are often confidential. Access control at the node level — where structural collaborators can see the diagram but not the underlying numbers — may be a requirement for enterprise deployment.</w:t>
            </w:r>
          </w:p>
        </w:tc>
      </w:tr>
    </w:tbl>
    <w:p w14:paraId="0015198F" w14:textId="77777777" w:rsidR="00F7495F" w:rsidRDefault="001C0309">
      <w:r>
        <w:br w:type="page"/>
      </w:r>
    </w:p>
    <w:p w14:paraId="00151990" w14:textId="77777777" w:rsidR="00F7495F" w:rsidRDefault="001C0309">
      <w:pPr>
        <w:pStyle w:val="Heading1"/>
        <w:pBdr>
          <w:bottom w:val="single" w:sz="6" w:space="4" w:color="2563EB"/>
        </w:pBdr>
      </w:pPr>
      <w:r>
        <w:lastRenderedPageBreak/>
        <w:t>5.  Critical Pain Points and Design Risks</w:t>
      </w:r>
    </w:p>
    <w:p w14:paraId="00151991" w14:textId="77777777" w:rsidR="00F7495F" w:rsidRDefault="001C0309">
      <w:pPr>
        <w:spacing w:after="100"/>
      </w:pPr>
      <w:r>
        <w:rPr>
          <w:color w:val="374151"/>
        </w:rPr>
        <w:t>The following issues were identified through full reverse-engineering of the model's VBA, XML, and sheet structure. They are listed in approximate order of severity.</w:t>
      </w:r>
    </w:p>
    <w:p w14:paraId="00151992" w14:textId="77777777" w:rsidR="00F7495F" w:rsidRDefault="00F7495F">
      <w:pPr>
        <w:spacing w:after="60"/>
      </w:pPr>
    </w:p>
    <w:p w14:paraId="00151993" w14:textId="77777777" w:rsidR="00F7495F" w:rsidRDefault="001C0309">
      <w:pPr>
        <w:pStyle w:val="Heading2"/>
      </w:pPr>
      <w:r>
        <w:t>5.1  Silent cascade resets — highest severity</w:t>
      </w:r>
    </w:p>
    <w:p w14:paraId="00151994" w14:textId="77777777" w:rsidR="00F7495F" w:rsidRDefault="001C0309">
      <w:pPr>
        <w:spacing w:after="100"/>
      </w:pPr>
      <w:r>
        <w:rPr>
          <w:color w:val="374151"/>
        </w:rPr>
        <w:t>Changing a parent dropdown (e.g. Diagnosis from YES to NO, or reducing segment count from 3 to 2) silently wipes all child settings — sub-segments, LOT choices, class choices, product choices — with no warning, no undo, and no record of what was lost. This is the single most common source of lost work in the current tool.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96"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995" w14:textId="77777777" w:rsidR="00F7495F" w:rsidRDefault="001C0309">
            <w:r>
              <w:rPr>
                <w:b/>
                <w:bCs/>
                <w:color w:val="991B1B"/>
                <w:sz w:val="20"/>
                <w:szCs w:val="20"/>
              </w:rPr>
              <w:t xml:space="preserve">Design requirement:  </w:t>
            </w:r>
            <w:r>
              <w:rPr>
                <w:color w:val="991B1B"/>
                <w:sz w:val="20"/>
                <w:szCs w:val="20"/>
              </w:rPr>
              <w:t>Any structural change that would destroy downstream configuration must show a clear warning describing exactly what will be affected, require explicit confirmation, and ideally offer the option to preserve the data if the structure is restored.</w:t>
            </w:r>
          </w:p>
        </w:tc>
      </w:tr>
    </w:tbl>
    <w:p w14:paraId="00151997" w14:textId="77777777" w:rsidR="00F7495F" w:rsidRDefault="00F7495F">
      <w:pPr>
        <w:spacing w:after="60"/>
      </w:pPr>
    </w:p>
    <w:p w14:paraId="00151998" w14:textId="77777777" w:rsidR="00F7495F" w:rsidRDefault="00F7495F">
      <w:pPr>
        <w:spacing w:after="60"/>
      </w:pPr>
    </w:p>
    <w:p w14:paraId="00151999" w14:textId="77777777" w:rsidR="00F7495F" w:rsidRDefault="001C0309">
      <w:pPr>
        <w:pStyle w:val="Heading2"/>
      </w:pPr>
      <w:r>
        <w:t>5.2  Invisible bypass routing</w:t>
      </w:r>
    </w:p>
    <w:p w14:paraId="0015199A" w14:textId="77777777" w:rsidR="00F7495F" w:rsidRDefault="001C0309">
      <w:pPr>
        <w:spacing w:after="100"/>
      </w:pPr>
      <w:r>
        <w:rPr>
          <w:color w:val="374151"/>
        </w:rPr>
        <w:t>When LOT = NO, products connect to the treatment pool bypassing all LOT nodes. When LOT = NO and Class = NO, products connect directly. When Class = NO (but LOT = YES), products connect after LOT bypassing class nodes. These are fundamentally different model architectures, but in the current UI they are produced by the same YES/NO toggles with no visual distinction and no summary of which routing is active.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9C"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99B" w14:textId="77777777" w:rsidR="00F7495F" w:rsidRDefault="001C0309">
            <w:r>
              <w:rPr>
                <w:b/>
                <w:bCs/>
                <w:color w:val="991B1B"/>
                <w:sz w:val="20"/>
                <w:szCs w:val="20"/>
              </w:rPr>
              <w:t xml:space="preserve">Design requirement:  </w:t>
            </w:r>
            <w:r>
              <w:rPr>
                <w:color w:val="991B1B"/>
                <w:sz w:val="20"/>
                <w:szCs w:val="20"/>
              </w:rPr>
              <w:t>The active routing configuration must be persistently visible — ideally as a summary panel or diagram overlay that updates as toggles are changed. A user should never be uncertain about which bypass paths are active.</w:t>
            </w:r>
          </w:p>
        </w:tc>
      </w:tr>
    </w:tbl>
    <w:p w14:paraId="0015199D" w14:textId="77777777" w:rsidR="00F7495F" w:rsidRDefault="00F7495F">
      <w:pPr>
        <w:spacing w:after="60"/>
      </w:pPr>
    </w:p>
    <w:p w14:paraId="0015199E" w14:textId="77777777" w:rsidR="00F7495F" w:rsidRDefault="00F7495F">
      <w:pPr>
        <w:spacing w:after="60"/>
      </w:pPr>
    </w:p>
    <w:p w14:paraId="0015199F" w14:textId="77777777" w:rsidR="00F7495F" w:rsidRDefault="001C0309">
      <w:pPr>
        <w:pStyle w:val="Heading2"/>
      </w:pPr>
      <w:r>
        <w:t>5.3  No scenario management</w:t>
      </w:r>
    </w:p>
    <w:p w14:paraId="001519A0" w14:textId="77777777" w:rsidR="00F7495F" w:rsidRDefault="001C0309">
      <w:pPr>
        <w:spacing w:after="100"/>
      </w:pPr>
      <w:r>
        <w:rPr>
          <w:color w:val="374151"/>
        </w:rPr>
        <w:t>The model holds a single configuration. Comparing base vs upside vs downside, or modelling 1L vs 2L positioning, requires copying the entire file. These copies drift apart immediately — segment names updated in one file do not propagate, and there is no way to diff two configurations.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A2"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9A1" w14:textId="77777777" w:rsidR="00F7495F" w:rsidRDefault="001C0309">
            <w:r>
              <w:rPr>
                <w:b/>
                <w:bCs/>
                <w:color w:val="991B1B"/>
                <w:sz w:val="20"/>
                <w:szCs w:val="20"/>
              </w:rPr>
              <w:t xml:space="preserve">Design requirement:  </w:t>
            </w:r>
            <w:r>
              <w:rPr>
                <w:color w:val="991B1B"/>
                <w:sz w:val="20"/>
                <w:szCs w:val="20"/>
              </w:rPr>
              <w:t>Named scenario management is essential. Users must be able to save a named configuration snapshot, switch between scenarios without data loss, and compare two scenarios side by side.</w:t>
            </w:r>
          </w:p>
        </w:tc>
      </w:tr>
    </w:tbl>
    <w:p w14:paraId="001519A3" w14:textId="77777777" w:rsidR="00F7495F" w:rsidRDefault="00F7495F">
      <w:pPr>
        <w:spacing w:after="60"/>
      </w:pPr>
    </w:p>
    <w:p w14:paraId="001519A4" w14:textId="77777777" w:rsidR="00F7495F" w:rsidRDefault="00F7495F">
      <w:pPr>
        <w:spacing w:after="60"/>
      </w:pPr>
    </w:p>
    <w:p w14:paraId="001519A5" w14:textId="77777777" w:rsidR="00F7495F" w:rsidRDefault="001C0309">
      <w:pPr>
        <w:pStyle w:val="Heading2"/>
      </w:pPr>
      <w:r>
        <w:t>5.4  No assumption documentation</w:t>
      </w:r>
    </w:p>
    <w:p w14:paraId="001519A6" w14:textId="77777777" w:rsidR="00F7495F" w:rsidRDefault="001C0309">
      <w:pPr>
        <w:spacing w:after="100"/>
      </w:pPr>
      <w:r>
        <w:rPr>
          <w:color w:val="374151"/>
        </w:rPr>
        <w:lastRenderedPageBreak/>
        <w:t>The model captures zero information about where inputs came from — no source citations, no dates, no analyst names, no confidence levels. For regulatory submissions and payer dossiers, every assumption must be cited and defensible. This documentation is currently done entirely in a separate Word or PowerPoint document with no structural link to the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A8"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9A7" w14:textId="77777777" w:rsidR="00F7495F" w:rsidRDefault="001C0309">
            <w:r>
              <w:rPr>
                <w:b/>
                <w:bCs/>
                <w:color w:val="92400E"/>
                <w:sz w:val="20"/>
                <w:szCs w:val="20"/>
              </w:rPr>
              <w:t xml:space="preserve">Design requirement:  </w:t>
            </w:r>
            <w:r>
              <w:rPr>
                <w:color w:val="92400E"/>
                <w:sz w:val="20"/>
                <w:szCs w:val="20"/>
              </w:rPr>
              <w:t>Every data entry field in Step 3 should have an associated source field, date stamp, and optional confidence rating. The assumptions log should be exportable as a standalone document.</w:t>
            </w:r>
          </w:p>
        </w:tc>
      </w:tr>
    </w:tbl>
    <w:p w14:paraId="001519A9" w14:textId="77777777" w:rsidR="00F7495F" w:rsidRDefault="00F7495F">
      <w:pPr>
        <w:spacing w:after="60"/>
      </w:pPr>
    </w:p>
    <w:p w14:paraId="001519AA" w14:textId="77777777" w:rsidR="00F7495F" w:rsidRDefault="00F7495F">
      <w:pPr>
        <w:spacing w:after="60"/>
      </w:pPr>
    </w:p>
    <w:p w14:paraId="001519AB" w14:textId="77777777" w:rsidR="00F7495F" w:rsidRDefault="001C0309">
      <w:pPr>
        <w:pStyle w:val="Heading2"/>
      </w:pPr>
      <w:r>
        <w:t>5.5  Uniform sub-segment count</w:t>
      </w:r>
    </w:p>
    <w:p w14:paraId="001519AC" w14:textId="77777777" w:rsidR="00F7495F" w:rsidRDefault="001C0309">
      <w:pPr>
        <w:spacing w:after="100"/>
      </w:pPr>
      <w:r>
        <w:rPr>
          <w:color w:val="374151"/>
        </w:rPr>
        <w:t>The current model applies the same number of sub-segments to all segments. It is not possible to give Segment 1 (e.g. EGFR mutant) four sub-segments while Segment 2 (e.g. ALK+) has only two. This forces analysts to either over-segment some populations or under-segment others.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AE"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9AD" w14:textId="77777777" w:rsidR="00F7495F" w:rsidRDefault="001C0309">
            <w:r>
              <w:rPr>
                <w:b/>
                <w:bCs/>
                <w:color w:val="92400E"/>
                <w:sz w:val="20"/>
                <w:szCs w:val="20"/>
              </w:rPr>
              <w:t xml:space="preserve">Design requirement:  </w:t>
            </w:r>
            <w:r>
              <w:rPr>
                <w:color w:val="92400E"/>
                <w:sz w:val="20"/>
                <w:szCs w:val="20"/>
              </w:rPr>
              <w:t>Sub-segment count should be configurable per segment, not globally uniform.</w:t>
            </w:r>
          </w:p>
        </w:tc>
      </w:tr>
    </w:tbl>
    <w:p w14:paraId="001519AF" w14:textId="77777777" w:rsidR="00F7495F" w:rsidRDefault="00F7495F">
      <w:pPr>
        <w:spacing w:after="60"/>
      </w:pPr>
    </w:p>
    <w:p w14:paraId="001519B0" w14:textId="77777777" w:rsidR="00F7495F" w:rsidRDefault="00F7495F">
      <w:pPr>
        <w:spacing w:after="60"/>
      </w:pPr>
    </w:p>
    <w:p w14:paraId="001519B1" w14:textId="77777777" w:rsidR="00F7495F" w:rsidRDefault="001C0309">
      <w:pPr>
        <w:pStyle w:val="Heading2"/>
      </w:pPr>
      <w:r>
        <w:t>5.6  Sub-segment labelling does not exist</w:t>
      </w:r>
    </w:p>
    <w:p w14:paraId="001519B2" w14:textId="77777777" w:rsidR="00F7495F" w:rsidRDefault="001C0309">
      <w:pPr>
        <w:spacing w:after="100"/>
      </w:pPr>
      <w:r>
        <w:rPr>
          <w:color w:val="374151"/>
        </w:rPr>
        <w:t>There is no input field to name sub-segments in the current model. The reference table in HOME uses permanent generic labels ('Seg 1; Sub 2'). Sub-segments on the canvas always display generic placeholder names regardless of the disease being modelled.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B4" w14:textId="77777777">
        <w:tblPrEx>
          <w:tblCellMar>
            <w:top w:w="0" w:type="dxa"/>
            <w:bottom w:w="0" w:type="dxa"/>
          </w:tblCellMar>
        </w:tblPrEx>
        <w:tc>
          <w:tcPr>
            <w:tcW w:w="9360" w:type="dxa"/>
            <w:tcBorders>
              <w:top w:val="single" w:sz="1" w:space="0" w:color="DC2626"/>
              <w:left w:val="single" w:sz="12" w:space="0" w:color="DC2626"/>
              <w:bottom w:val="single" w:sz="1" w:space="0" w:color="DC2626"/>
              <w:right w:val="single" w:sz="1" w:space="0" w:color="DC2626"/>
            </w:tcBorders>
            <w:shd w:val="clear" w:color="auto" w:fill="FEF2F2"/>
            <w:tcMar>
              <w:top w:w="120" w:type="dxa"/>
              <w:left w:w="180" w:type="dxa"/>
              <w:bottom w:w="120" w:type="dxa"/>
              <w:right w:w="180" w:type="dxa"/>
            </w:tcMar>
          </w:tcPr>
          <w:p w14:paraId="001519B3" w14:textId="77777777" w:rsidR="00F7495F" w:rsidRDefault="001C0309">
            <w:r>
              <w:rPr>
                <w:b/>
                <w:bCs/>
                <w:color w:val="991B1B"/>
                <w:sz w:val="20"/>
                <w:szCs w:val="20"/>
              </w:rPr>
              <w:t xml:space="preserve">Design requirement:  </w:t>
            </w:r>
            <w:r>
              <w:rPr>
                <w:color w:val="991B1B"/>
                <w:sz w:val="20"/>
                <w:szCs w:val="20"/>
              </w:rPr>
              <w:t>Full labelling support at every hierarchy level — segment, sub-segment, LOT, class, product — is required before the output is presentation-ready. This must be a Step 2 interaction, not an afterthought.</w:t>
            </w:r>
          </w:p>
        </w:tc>
      </w:tr>
    </w:tbl>
    <w:p w14:paraId="001519B5" w14:textId="77777777" w:rsidR="00F7495F" w:rsidRDefault="00F7495F">
      <w:pPr>
        <w:spacing w:after="60"/>
      </w:pPr>
    </w:p>
    <w:p w14:paraId="001519B6" w14:textId="77777777" w:rsidR="00F7495F" w:rsidRDefault="00F7495F">
      <w:pPr>
        <w:spacing w:after="60"/>
      </w:pPr>
    </w:p>
    <w:p w14:paraId="001519B7" w14:textId="77777777" w:rsidR="00F7495F" w:rsidRDefault="001C0309">
      <w:pPr>
        <w:pStyle w:val="Heading2"/>
      </w:pPr>
      <w:r>
        <w:t>5.7  HOME and Forecast Model are decoupled</w:t>
      </w:r>
    </w:p>
    <w:p w14:paraId="001519B8" w14:textId="77777777" w:rsidR="00F7495F" w:rsidRDefault="001C0309">
      <w:pPr>
        <w:spacing w:after="100"/>
      </w:pPr>
      <w:r>
        <w:rPr>
          <w:color w:val="374151"/>
        </w:rPr>
        <w:t>Population inputs and structural configuration live on separate sheets with no visual link. A user can change the number of segments defined in HOME and then configure a different number of segments in Forecast Model — creating a mismatch that produces incorrect output with no error or warning.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BA"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9B9" w14:textId="77777777" w:rsidR="00F7495F" w:rsidRDefault="001C0309">
            <w:r>
              <w:rPr>
                <w:b/>
                <w:bCs/>
                <w:color w:val="92400E"/>
                <w:sz w:val="20"/>
                <w:szCs w:val="20"/>
              </w:rPr>
              <w:t xml:space="preserve">Design requirement:  </w:t>
            </w:r>
            <w:r>
              <w:rPr>
                <w:color w:val="92400E"/>
                <w:sz w:val="20"/>
                <w:szCs w:val="20"/>
              </w:rPr>
              <w:t>The number of segments, sub-segments, and products defined in the data layer (HOME equivalent) and in the structural layer (Forecast Model equivalent) must be kept in sync, with any discrepancy surfaced as an explicit conflict for the user to resolve.</w:t>
            </w:r>
          </w:p>
        </w:tc>
      </w:tr>
    </w:tbl>
    <w:p w14:paraId="001519BB" w14:textId="77777777" w:rsidR="00F7495F" w:rsidRDefault="00F7495F">
      <w:pPr>
        <w:spacing w:after="60"/>
      </w:pPr>
    </w:p>
    <w:p w14:paraId="001519BC" w14:textId="77777777" w:rsidR="00F7495F" w:rsidRDefault="00F7495F">
      <w:pPr>
        <w:spacing w:after="60"/>
      </w:pPr>
    </w:p>
    <w:p w14:paraId="001519BD" w14:textId="77777777" w:rsidR="00F7495F" w:rsidRDefault="001C0309">
      <w:pPr>
        <w:pStyle w:val="Heading2"/>
      </w:pPr>
      <w:r>
        <w:t>5.8  No pipeline confidence differentiation</w:t>
      </w:r>
    </w:p>
    <w:p w14:paraId="001519BE" w14:textId="77777777" w:rsidR="00F7495F" w:rsidRDefault="001C0309">
      <w:pPr>
        <w:spacing w:after="100"/>
      </w:pPr>
      <w:r>
        <w:rPr>
          <w:color w:val="374151"/>
        </w:rPr>
        <w:lastRenderedPageBreak/>
        <w:t>A Phase I asset (5–10% probability of approval, highly uncertain efficacy) and a Phase III asset about to launch are structurally identical in the model. The forecast output looks equally certain for both.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7495F" w14:paraId="001519C0" w14:textId="77777777">
        <w:tblPrEx>
          <w:tblCellMar>
            <w:top w:w="0" w:type="dxa"/>
            <w:bottom w:w="0" w:type="dxa"/>
          </w:tblCellMar>
        </w:tblPrEx>
        <w:tc>
          <w:tcPr>
            <w:tcW w:w="9360" w:type="dxa"/>
            <w:tcBorders>
              <w:top w:val="single" w:sz="1" w:space="0" w:color="F59E0B"/>
              <w:left w:val="single" w:sz="12" w:space="0" w:color="F59E0B"/>
              <w:bottom w:val="single" w:sz="1" w:space="0" w:color="F59E0B"/>
              <w:right w:val="single" w:sz="1" w:space="0" w:color="F59E0B"/>
            </w:tcBorders>
            <w:shd w:val="clear" w:color="auto" w:fill="FFFBEB"/>
            <w:tcMar>
              <w:top w:w="120" w:type="dxa"/>
              <w:left w:w="180" w:type="dxa"/>
              <w:bottom w:w="120" w:type="dxa"/>
              <w:right w:w="180" w:type="dxa"/>
            </w:tcMar>
          </w:tcPr>
          <w:p w14:paraId="001519BF" w14:textId="77777777" w:rsidR="00F7495F" w:rsidRDefault="001C0309">
            <w:r>
              <w:rPr>
                <w:b/>
                <w:bCs/>
                <w:color w:val="92400E"/>
                <w:sz w:val="20"/>
                <w:szCs w:val="20"/>
              </w:rPr>
              <w:t xml:space="preserve">Design requirement:  </w:t>
            </w:r>
            <w:r>
              <w:rPr>
                <w:color w:val="92400E"/>
                <w:sz w:val="20"/>
                <w:szCs w:val="20"/>
              </w:rPr>
              <w:t>Pipeline products should carry a development stage attribute (Phase I/II/III/Pre-registration) and optionally a probability of success and confidence range. The diagram and numeric output should reflect uncertainty visually where pipeline products are involved.</w:t>
            </w:r>
          </w:p>
        </w:tc>
      </w:tr>
    </w:tbl>
    <w:p w14:paraId="001519C1" w14:textId="77777777" w:rsidR="00F7495F" w:rsidRDefault="001C0309">
      <w:r>
        <w:br w:type="page"/>
      </w:r>
    </w:p>
    <w:p w14:paraId="001519C2" w14:textId="77777777" w:rsidR="00F7495F" w:rsidRDefault="001C0309">
      <w:pPr>
        <w:pStyle w:val="Heading1"/>
        <w:pBdr>
          <w:bottom w:val="single" w:sz="6" w:space="4" w:color="2563EB"/>
        </w:pBdr>
      </w:pPr>
      <w:r>
        <w:lastRenderedPageBreak/>
        <w:t>6.  Technical Architecture of the Current Tool</w:t>
      </w:r>
    </w:p>
    <w:p w14:paraId="001519C3" w14:textId="77777777" w:rsidR="00F7495F" w:rsidRDefault="001C0309">
      <w:pPr>
        <w:spacing w:after="100"/>
      </w:pPr>
      <w:r>
        <w:rPr>
          <w:color w:val="374151"/>
        </w:rPr>
        <w:t>Understanding the current technical implementation is important for the design team — the constraints and fragilities of the existing system inform what must be redesigned from first principles versus what can be adapted.</w:t>
      </w:r>
    </w:p>
    <w:p w14:paraId="001519C4" w14:textId="77777777" w:rsidR="00F7495F" w:rsidRDefault="00F7495F">
      <w:pPr>
        <w:spacing w:after="60"/>
      </w:pPr>
    </w:p>
    <w:p w14:paraId="001519C5" w14:textId="77777777" w:rsidR="00F7495F" w:rsidRDefault="001C0309">
      <w:pPr>
        <w:pStyle w:val="Heading2"/>
      </w:pPr>
      <w:r>
        <w:t>6.1  Sheet structure</w:t>
      </w:r>
    </w:p>
    <w:p w14:paraId="001519C6" w14:textId="77777777" w:rsidR="00F7495F" w:rsidRDefault="001C0309">
      <w:pPr>
        <w:pStyle w:val="ListParagraph"/>
        <w:numPr>
          <w:ilvl w:val="0"/>
          <w:numId w:val="2"/>
        </w:numPr>
        <w:spacing w:after="80"/>
      </w:pPr>
      <w:r>
        <w:rPr>
          <w:color w:val="374151"/>
        </w:rPr>
        <w:t>HOME sheet: configuration layer — segment taxonomy, product registry, hidden dropdown lookup tables (rows 499–701). No formulas. No calculated outputs.</w:t>
      </w:r>
    </w:p>
    <w:p w14:paraId="001519C7" w14:textId="77777777" w:rsidR="00F7495F" w:rsidRDefault="001C0309">
      <w:pPr>
        <w:pStyle w:val="ListParagraph"/>
        <w:numPr>
          <w:ilvl w:val="0"/>
          <w:numId w:val="2"/>
        </w:numPr>
        <w:spacing w:after="80"/>
      </w:pPr>
      <w:r>
        <w:rPr>
          <w:color w:val="374151"/>
        </w:rPr>
        <w:t xml:space="preserve">Forecast Model sheet: visual canvas — approximately 2,400+ named shapes (Rounded Rectangles and connectors). 19 ActiveX </w:t>
      </w:r>
      <w:proofErr w:type="spellStart"/>
      <w:r>
        <w:rPr>
          <w:color w:val="374151"/>
        </w:rPr>
        <w:t>ComboBox</w:t>
      </w:r>
      <w:proofErr w:type="spellEnd"/>
      <w:r>
        <w:rPr>
          <w:color w:val="374151"/>
        </w:rPr>
        <w:t xml:space="preserve"> controls. Almost no cell data — the sheet is a drawing canvas, not a spreadsheet.</w:t>
      </w:r>
    </w:p>
    <w:p w14:paraId="001519C8" w14:textId="77777777" w:rsidR="00F7495F" w:rsidRDefault="00F7495F">
      <w:pPr>
        <w:spacing w:after="60"/>
      </w:pPr>
    </w:p>
    <w:p w14:paraId="001519C9" w14:textId="77777777" w:rsidR="00F7495F" w:rsidRDefault="00F7495F">
      <w:pPr>
        <w:spacing w:after="60"/>
      </w:pPr>
    </w:p>
    <w:p w14:paraId="001519CA" w14:textId="77777777" w:rsidR="00F7495F" w:rsidRDefault="001C0309">
      <w:pPr>
        <w:pStyle w:val="Heading2"/>
      </w:pPr>
      <w:r>
        <w:t>6.2  How the VBA works</w:t>
      </w:r>
    </w:p>
    <w:p w14:paraId="001519CB" w14:textId="77777777" w:rsidR="00F7495F" w:rsidRDefault="001C0309">
      <w:pPr>
        <w:spacing w:after="100"/>
      </w:pPr>
      <w:r>
        <w:rPr>
          <w:color w:val="374151"/>
        </w:rPr>
        <w:t>Every dropdown control fires a _Change() event that calls one or more shared helper functions. The pattern is consistent across all six layers:</w:t>
      </w:r>
    </w:p>
    <w:p w14:paraId="001519CC" w14:textId="77777777" w:rsidR="00F7495F" w:rsidRDefault="001C0309">
      <w:pPr>
        <w:pStyle w:val="ListParagraph"/>
        <w:numPr>
          <w:ilvl w:val="0"/>
          <w:numId w:val="3"/>
        </w:numPr>
        <w:spacing w:after="60"/>
      </w:pPr>
      <w:r>
        <w:rPr>
          <w:color w:val="6B7280"/>
          <w:sz w:val="20"/>
          <w:szCs w:val="20"/>
        </w:rPr>
        <w:t>Reset: hide all shapes in the current layer</w:t>
      </w:r>
    </w:p>
    <w:p w14:paraId="001519CD" w14:textId="77777777" w:rsidR="00F7495F" w:rsidRDefault="001C0309">
      <w:pPr>
        <w:pStyle w:val="ListParagraph"/>
        <w:numPr>
          <w:ilvl w:val="0"/>
          <w:numId w:val="3"/>
        </w:numPr>
        <w:spacing w:after="60"/>
      </w:pPr>
      <w:r>
        <w:rPr>
          <w:color w:val="6B7280"/>
          <w:sz w:val="20"/>
          <w:szCs w:val="20"/>
        </w:rPr>
        <w:t>Read context: check the current value of all parent dropdowns</w:t>
      </w:r>
    </w:p>
    <w:p w14:paraId="001519CE" w14:textId="77777777" w:rsidR="00F7495F" w:rsidRDefault="001C0309">
      <w:pPr>
        <w:pStyle w:val="ListParagraph"/>
        <w:numPr>
          <w:ilvl w:val="0"/>
          <w:numId w:val="3"/>
        </w:numPr>
        <w:spacing w:after="60"/>
      </w:pPr>
      <w:r>
        <w:rPr>
          <w:color w:val="6B7280"/>
          <w:sz w:val="20"/>
          <w:szCs w:val="20"/>
        </w:rPr>
        <w:t>Show: progressively reveal shapes 1 through N based on the count selection</w:t>
      </w:r>
    </w:p>
    <w:p w14:paraId="001519CF" w14:textId="77777777" w:rsidR="00F7495F" w:rsidRDefault="001C0309">
      <w:pPr>
        <w:spacing w:after="100"/>
      </w:pPr>
      <w:r>
        <w:rPr>
          <w:color w:val="374151"/>
        </w:rPr>
        <w:t xml:space="preserve">Cascade logic: changing a parent also resets all child dropdowns (sets </w:t>
      </w:r>
      <w:proofErr w:type="spellStart"/>
      <w:r>
        <w:rPr>
          <w:color w:val="374151"/>
        </w:rPr>
        <w:t>ListIndex</w:t>
      </w:r>
      <w:proofErr w:type="spellEnd"/>
      <w:r>
        <w:rPr>
          <w:color w:val="374151"/>
        </w:rPr>
        <w:t xml:space="preserve"> to -1) and hides all child shapes. This is why the silent reset problem is structurally baked into the current implementation — it is not a bug but an architectural choice.</w:t>
      </w:r>
    </w:p>
    <w:p w14:paraId="001519D0" w14:textId="77777777" w:rsidR="00F7495F" w:rsidRDefault="00F7495F">
      <w:pPr>
        <w:spacing w:after="60"/>
      </w:pPr>
    </w:p>
    <w:p w14:paraId="001519D1" w14:textId="77777777" w:rsidR="00F7495F" w:rsidRDefault="00F7495F">
      <w:pPr>
        <w:spacing w:after="60"/>
      </w:pPr>
    </w:p>
    <w:p w14:paraId="001519D2" w14:textId="77777777" w:rsidR="00F7495F" w:rsidRDefault="001C0309">
      <w:pPr>
        <w:pStyle w:val="Heading2"/>
      </w:pPr>
      <w:r>
        <w:t>6.3  The bypass routing logic</w:t>
      </w:r>
    </w:p>
    <w:p w14:paraId="001519D3" w14:textId="77777777" w:rsidR="00F7495F" w:rsidRDefault="001C0309">
      <w:pPr>
        <w:spacing w:after="100"/>
      </w:pPr>
      <w:r>
        <w:rPr>
          <w:color w:val="374151"/>
        </w:rPr>
        <w:t>The VBA implements four distinct routing configurations depending on the combination of LOT and Class toggles. None of these are documented in the UI:</w:t>
      </w:r>
    </w:p>
    <w:p w14:paraId="001519D4" w14:textId="77777777" w:rsidR="00F7495F" w:rsidRDefault="00F7495F">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7495F" w14:paraId="001519D7"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D5" w14:textId="77777777" w:rsidR="00F7495F" w:rsidRDefault="001C0309">
            <w:r>
              <w:rPr>
                <w:b/>
                <w:bCs/>
                <w:color w:val="FFFFFF"/>
                <w:sz w:val="20"/>
                <w:szCs w:val="20"/>
              </w:rPr>
              <w:t>Configuration</w:t>
            </w:r>
          </w:p>
        </w:tc>
        <w:tc>
          <w:tcPr>
            <w:tcW w:w="684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D6" w14:textId="77777777" w:rsidR="00F7495F" w:rsidRDefault="001C0309">
            <w:r>
              <w:rPr>
                <w:color w:val="FFFFFF"/>
                <w:sz w:val="20"/>
                <w:szCs w:val="20"/>
              </w:rPr>
              <w:t>Routing behaviour</w:t>
            </w:r>
          </w:p>
        </w:tc>
      </w:tr>
      <w:tr w:rsidR="00F7495F" w14:paraId="001519DA"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D8" w14:textId="77777777" w:rsidR="00F7495F" w:rsidRDefault="001C0309">
            <w:r>
              <w:rPr>
                <w:b/>
                <w:bCs/>
                <w:color w:val="1B2A4A"/>
                <w:sz w:val="20"/>
                <w:szCs w:val="20"/>
              </w:rPr>
              <w:t>LOT = YES, Class = YES</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D9" w14:textId="77777777" w:rsidR="00F7495F" w:rsidRDefault="001C0309">
            <w:r>
              <w:rPr>
                <w:color w:val="374151"/>
                <w:sz w:val="20"/>
                <w:szCs w:val="20"/>
              </w:rPr>
              <w:t>Standard full-depth model. Products connect to class, class connects to LOT.</w:t>
            </w:r>
          </w:p>
        </w:tc>
      </w:tr>
      <w:tr w:rsidR="00F7495F" w14:paraId="001519DD"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DB" w14:textId="77777777" w:rsidR="00F7495F" w:rsidRDefault="001C0309">
            <w:r>
              <w:rPr>
                <w:b/>
                <w:bCs/>
                <w:color w:val="1B2A4A"/>
                <w:sz w:val="20"/>
                <w:szCs w:val="20"/>
              </w:rPr>
              <w:t>LOT = YES, Class = NO</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DC" w14:textId="77777777" w:rsidR="00F7495F" w:rsidRDefault="001C0309">
            <w:r>
              <w:rPr>
                <w:color w:val="374151"/>
                <w:sz w:val="20"/>
                <w:szCs w:val="20"/>
              </w:rPr>
              <w:t>Products connect directly after LOT, bypassing class boxes.</w:t>
            </w:r>
          </w:p>
        </w:tc>
      </w:tr>
      <w:tr w:rsidR="00F7495F" w14:paraId="001519E0"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DE" w14:textId="77777777" w:rsidR="00F7495F" w:rsidRDefault="001C0309">
            <w:r>
              <w:rPr>
                <w:b/>
                <w:bCs/>
                <w:color w:val="1B2A4A"/>
                <w:sz w:val="20"/>
                <w:szCs w:val="20"/>
              </w:rPr>
              <w:t>LOT = NO, Class = YES</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DF" w14:textId="77777777" w:rsidR="00F7495F" w:rsidRDefault="001C0309">
            <w:r>
              <w:rPr>
                <w:color w:val="374151"/>
                <w:sz w:val="20"/>
                <w:szCs w:val="20"/>
              </w:rPr>
              <w:t>Class connects directly to treatment pool, bypassing LOT entirely.</w:t>
            </w:r>
          </w:p>
        </w:tc>
      </w:tr>
      <w:tr w:rsidR="00F7495F" w14:paraId="001519E3"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E1" w14:textId="77777777" w:rsidR="00F7495F" w:rsidRDefault="001C0309">
            <w:r>
              <w:rPr>
                <w:b/>
                <w:bCs/>
                <w:color w:val="1B2A4A"/>
                <w:sz w:val="20"/>
                <w:szCs w:val="20"/>
              </w:rPr>
              <w:t>LOT = NO, Class = NO</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E2" w14:textId="77777777" w:rsidR="00F7495F" w:rsidRDefault="001C0309">
            <w:r>
              <w:rPr>
                <w:color w:val="374151"/>
                <w:sz w:val="20"/>
                <w:szCs w:val="20"/>
              </w:rPr>
              <w:t>Products connect directly to treatment pool. Simplest possible model.</w:t>
            </w:r>
          </w:p>
        </w:tc>
      </w:tr>
    </w:tbl>
    <w:p w14:paraId="001519E4" w14:textId="77777777" w:rsidR="00F7495F" w:rsidRDefault="00F7495F">
      <w:pPr>
        <w:spacing w:after="120"/>
      </w:pPr>
    </w:p>
    <w:p w14:paraId="001519E5" w14:textId="77777777" w:rsidR="00F7495F" w:rsidRDefault="00F7495F">
      <w:pPr>
        <w:spacing w:after="60"/>
      </w:pPr>
    </w:p>
    <w:p w14:paraId="001519E6" w14:textId="77777777" w:rsidR="00F7495F" w:rsidRDefault="00F7495F">
      <w:pPr>
        <w:spacing w:after="60"/>
      </w:pPr>
    </w:p>
    <w:p w14:paraId="001519E7" w14:textId="77777777" w:rsidR="00F7495F" w:rsidRDefault="001C0309">
      <w:pPr>
        <w:pStyle w:val="Heading2"/>
      </w:pPr>
      <w:r>
        <w:t>6.4  What the model does not contain</w:t>
      </w:r>
    </w:p>
    <w:p w14:paraId="001519E8" w14:textId="77777777" w:rsidR="00F7495F" w:rsidRDefault="001C0309">
      <w:pPr>
        <w:spacing w:after="100"/>
      </w:pPr>
      <w:r>
        <w:rPr>
          <w:color w:val="374151"/>
        </w:rPr>
        <w:t>To be completely clear about what is and is not in the current tool:</w:t>
      </w:r>
    </w:p>
    <w:p w14:paraId="001519E9" w14:textId="77777777" w:rsidR="00F7495F" w:rsidRDefault="001C0309">
      <w:pPr>
        <w:pStyle w:val="ListParagraph"/>
        <w:numPr>
          <w:ilvl w:val="0"/>
          <w:numId w:val="2"/>
        </w:numPr>
        <w:spacing w:after="80"/>
      </w:pPr>
      <w:r>
        <w:rPr>
          <w:color w:val="374151"/>
        </w:rPr>
        <w:t>No formulas calculating patient counts from rates</w:t>
      </w:r>
    </w:p>
    <w:p w14:paraId="001519EA" w14:textId="77777777" w:rsidR="00F7495F" w:rsidRDefault="001C0309">
      <w:pPr>
        <w:pStyle w:val="ListParagraph"/>
        <w:numPr>
          <w:ilvl w:val="0"/>
          <w:numId w:val="2"/>
        </w:numPr>
        <w:spacing w:after="80"/>
      </w:pPr>
      <w:r>
        <w:rPr>
          <w:color w:val="374151"/>
        </w:rPr>
        <w:t>No input fields for epidemiology numbers, diagnosis rates, or treatment rates</w:t>
      </w:r>
    </w:p>
    <w:p w14:paraId="001519EB" w14:textId="77777777" w:rsidR="00F7495F" w:rsidRDefault="001C0309">
      <w:pPr>
        <w:pStyle w:val="ListParagraph"/>
        <w:numPr>
          <w:ilvl w:val="0"/>
          <w:numId w:val="2"/>
        </w:numPr>
        <w:spacing w:after="80"/>
      </w:pPr>
      <w:r>
        <w:rPr>
          <w:color w:val="374151"/>
        </w:rPr>
        <w:t>No data validation on any input</w:t>
      </w:r>
    </w:p>
    <w:p w14:paraId="001519EC" w14:textId="77777777" w:rsidR="00F7495F" w:rsidRDefault="001C0309">
      <w:pPr>
        <w:pStyle w:val="ListParagraph"/>
        <w:numPr>
          <w:ilvl w:val="0"/>
          <w:numId w:val="2"/>
        </w:numPr>
        <w:spacing w:after="80"/>
      </w:pPr>
      <w:r>
        <w:rPr>
          <w:color w:val="374151"/>
        </w:rPr>
        <w:t>No undo functionality</w:t>
      </w:r>
    </w:p>
    <w:p w14:paraId="001519ED" w14:textId="77777777" w:rsidR="00F7495F" w:rsidRDefault="001C0309">
      <w:pPr>
        <w:pStyle w:val="ListParagraph"/>
        <w:numPr>
          <w:ilvl w:val="0"/>
          <w:numId w:val="2"/>
        </w:numPr>
        <w:spacing w:after="80"/>
      </w:pPr>
      <w:r>
        <w:rPr>
          <w:color w:val="374151"/>
        </w:rPr>
        <w:t>No save state or version history</w:t>
      </w:r>
    </w:p>
    <w:p w14:paraId="001519EE" w14:textId="77777777" w:rsidR="00F7495F" w:rsidRDefault="001C0309">
      <w:pPr>
        <w:pStyle w:val="ListParagraph"/>
        <w:numPr>
          <w:ilvl w:val="0"/>
          <w:numId w:val="2"/>
        </w:numPr>
        <w:spacing w:after="80"/>
      </w:pPr>
      <w:r>
        <w:rPr>
          <w:color w:val="374151"/>
        </w:rPr>
        <w:t>No export functionality (screenshots only)</w:t>
      </w:r>
    </w:p>
    <w:p w14:paraId="001519EF" w14:textId="77777777" w:rsidR="00F7495F" w:rsidRDefault="001C0309">
      <w:pPr>
        <w:pStyle w:val="ListParagraph"/>
        <w:numPr>
          <w:ilvl w:val="0"/>
          <w:numId w:val="2"/>
        </w:numPr>
        <w:spacing w:after="80"/>
      </w:pPr>
      <w:r>
        <w:rPr>
          <w:color w:val="374151"/>
        </w:rPr>
        <w:t>No assumption documentation</w:t>
      </w:r>
    </w:p>
    <w:p w14:paraId="001519F0" w14:textId="77777777" w:rsidR="00F7495F" w:rsidRDefault="001C0309">
      <w:pPr>
        <w:pStyle w:val="ListParagraph"/>
        <w:numPr>
          <w:ilvl w:val="0"/>
          <w:numId w:val="2"/>
        </w:numPr>
        <w:spacing w:after="80"/>
      </w:pPr>
      <w:r>
        <w:rPr>
          <w:color w:val="374151"/>
        </w:rPr>
        <w:t>No scenario comparison</w:t>
      </w:r>
    </w:p>
    <w:p w14:paraId="001519F1" w14:textId="77777777" w:rsidR="00F7495F" w:rsidRDefault="001C0309">
      <w:pPr>
        <w:pStyle w:val="ListParagraph"/>
        <w:numPr>
          <w:ilvl w:val="0"/>
          <w:numId w:val="2"/>
        </w:numPr>
        <w:spacing w:after="80"/>
      </w:pPr>
      <w:r>
        <w:rPr>
          <w:color w:val="374151"/>
        </w:rPr>
        <w:t>No sub-segment labelling</w:t>
      </w:r>
    </w:p>
    <w:p w14:paraId="001519F2" w14:textId="77777777" w:rsidR="00F7495F" w:rsidRDefault="001C0309">
      <w:pPr>
        <w:pStyle w:val="ListParagraph"/>
        <w:numPr>
          <w:ilvl w:val="0"/>
          <w:numId w:val="2"/>
        </w:numPr>
        <w:spacing w:after="80"/>
      </w:pPr>
      <w:r>
        <w:rPr>
          <w:color w:val="374151"/>
        </w:rPr>
        <w:t>No per-segment sub-segment count control</w:t>
      </w:r>
    </w:p>
    <w:p w14:paraId="001519F3" w14:textId="77777777" w:rsidR="00F7495F" w:rsidRDefault="001C0309">
      <w:r>
        <w:br w:type="page"/>
      </w:r>
    </w:p>
    <w:p w14:paraId="001519F4" w14:textId="77777777" w:rsidR="00F7495F" w:rsidRDefault="001C0309">
      <w:pPr>
        <w:pStyle w:val="Heading1"/>
        <w:pBdr>
          <w:bottom w:val="single" w:sz="6" w:space="4" w:color="2563EB"/>
        </w:pBdr>
      </w:pPr>
      <w:r>
        <w:lastRenderedPageBreak/>
        <w:t>7.  Glossary of Key Terms</w:t>
      </w:r>
    </w:p>
    <w:p w14:paraId="001519F5" w14:textId="77777777" w:rsidR="00F7495F" w:rsidRDefault="001C0309">
      <w:pPr>
        <w:spacing w:after="100"/>
      </w:pPr>
      <w:r>
        <w:rPr>
          <w:color w:val="374151"/>
        </w:rPr>
        <w:t>Reference for team members unfamiliar with pharmaceutical forecasting terminology.</w:t>
      </w:r>
    </w:p>
    <w:p w14:paraId="001519F6" w14:textId="77777777" w:rsidR="00F7495F" w:rsidRDefault="00F7495F">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F7495F" w14:paraId="001519F9"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F7" w14:textId="77777777" w:rsidR="00F7495F" w:rsidRDefault="001C0309">
            <w:r>
              <w:rPr>
                <w:b/>
                <w:bCs/>
                <w:color w:val="FFFFFF"/>
                <w:sz w:val="20"/>
                <w:szCs w:val="20"/>
              </w:rPr>
              <w:t>Term</w:t>
            </w:r>
          </w:p>
        </w:tc>
        <w:tc>
          <w:tcPr>
            <w:tcW w:w="6840" w:type="dxa"/>
            <w:tcBorders>
              <w:top w:val="single" w:sz="1" w:space="0" w:color="E5E7EB"/>
              <w:left w:val="single" w:sz="1" w:space="0" w:color="E5E7EB"/>
              <w:bottom w:val="single" w:sz="1" w:space="0" w:color="E5E7EB"/>
              <w:right w:val="single" w:sz="1" w:space="0" w:color="E5E7EB"/>
            </w:tcBorders>
            <w:shd w:val="clear" w:color="auto" w:fill="1B2A4A"/>
            <w:tcMar>
              <w:top w:w="80" w:type="dxa"/>
              <w:left w:w="120" w:type="dxa"/>
              <w:bottom w:w="80" w:type="dxa"/>
              <w:right w:w="120" w:type="dxa"/>
            </w:tcMar>
          </w:tcPr>
          <w:p w14:paraId="001519F8" w14:textId="77777777" w:rsidR="00F7495F" w:rsidRDefault="001C0309">
            <w:r>
              <w:rPr>
                <w:color w:val="FFFFFF"/>
                <w:sz w:val="20"/>
                <w:szCs w:val="20"/>
              </w:rPr>
              <w:t>Definition</w:t>
            </w:r>
          </w:p>
        </w:tc>
      </w:tr>
      <w:tr w:rsidR="00F7495F" w14:paraId="001519FC"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FA" w14:textId="77777777" w:rsidR="00F7495F" w:rsidRDefault="001C0309">
            <w:r>
              <w:rPr>
                <w:b/>
                <w:bCs/>
                <w:color w:val="1B2A4A"/>
                <w:sz w:val="20"/>
                <w:szCs w:val="20"/>
              </w:rPr>
              <w:t>Prevalence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FB" w14:textId="77777777" w:rsidR="00F7495F" w:rsidRDefault="001C0309">
            <w:r>
              <w:rPr>
                <w:color w:val="374151"/>
                <w:sz w:val="20"/>
                <w:szCs w:val="20"/>
              </w:rPr>
              <w:t>Total number of people currently living with a disease at a given point in time. Includes both new and established patients who have not died or recovered.</w:t>
            </w:r>
          </w:p>
        </w:tc>
      </w:tr>
      <w:tr w:rsidR="00F7495F" w14:paraId="001519FF"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9FD" w14:textId="77777777" w:rsidR="00F7495F" w:rsidRDefault="001C0309">
            <w:r>
              <w:rPr>
                <w:b/>
                <w:bCs/>
                <w:color w:val="1B2A4A"/>
                <w:sz w:val="20"/>
                <w:szCs w:val="20"/>
              </w:rPr>
              <w:t>Incidence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9FE" w14:textId="77777777" w:rsidR="00F7495F" w:rsidRDefault="001C0309">
            <w:r>
              <w:rPr>
                <w:color w:val="374151"/>
                <w:sz w:val="20"/>
                <w:szCs w:val="20"/>
              </w:rPr>
              <w:t>Number of new disease cases developing in a given year. The annual 'flow' into the patient pool.</w:t>
            </w:r>
          </w:p>
        </w:tc>
      </w:tr>
      <w:tr w:rsidR="00F7495F" w14:paraId="00151A02"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00" w14:textId="77777777" w:rsidR="00F7495F" w:rsidRDefault="001C0309">
            <w:r>
              <w:rPr>
                <w:b/>
                <w:bCs/>
                <w:color w:val="1B2A4A"/>
                <w:sz w:val="20"/>
                <w:szCs w:val="20"/>
              </w:rPr>
              <w:t>Mortality rate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01" w14:textId="77777777" w:rsidR="00F7495F" w:rsidRDefault="001C0309">
            <w:r>
              <w:rPr>
                <w:color w:val="374151"/>
                <w:sz w:val="20"/>
                <w:szCs w:val="20"/>
              </w:rPr>
              <w:t>Proportion of the patient pool who die from the disease each year. Applied as an annual reduction to the prevalence pool.</w:t>
            </w:r>
          </w:p>
        </w:tc>
      </w:tr>
      <w:tr w:rsidR="00F7495F" w14:paraId="00151A05"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03" w14:textId="77777777" w:rsidR="00F7495F" w:rsidRDefault="001C0309">
            <w:r>
              <w:rPr>
                <w:b/>
                <w:bCs/>
                <w:color w:val="1B2A4A"/>
                <w:sz w:val="20"/>
                <w:szCs w:val="20"/>
              </w:rPr>
              <w:t>Diagnosis rate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04" w14:textId="77777777" w:rsidR="00F7495F" w:rsidRDefault="001C0309">
            <w:r>
              <w:rPr>
                <w:color w:val="374151"/>
                <w:sz w:val="20"/>
                <w:szCs w:val="20"/>
              </w:rPr>
              <w:t>Proportion of the prevalent population who have received a formal clinical diagnosis. Many diseases have large undiagnosed populations.</w:t>
            </w:r>
          </w:p>
        </w:tc>
      </w:tr>
      <w:tr w:rsidR="00F7495F" w14:paraId="00151A08"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06" w14:textId="77777777" w:rsidR="00F7495F" w:rsidRDefault="001C0309">
            <w:r>
              <w:rPr>
                <w:b/>
                <w:bCs/>
                <w:color w:val="1B2A4A"/>
                <w:sz w:val="20"/>
                <w:szCs w:val="20"/>
              </w:rPr>
              <w:t>Treatment rate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07" w14:textId="77777777" w:rsidR="00F7495F" w:rsidRDefault="001C0309">
            <w:r>
              <w:rPr>
                <w:color w:val="374151"/>
                <w:sz w:val="20"/>
                <w:szCs w:val="20"/>
              </w:rPr>
              <w:t>Proportion of diagnosed patients who receive pharmacological therapy. The remainder are managed by non-drug means.</w:t>
            </w:r>
          </w:p>
        </w:tc>
      </w:tr>
      <w:tr w:rsidR="00F7495F" w14:paraId="00151A0B"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09" w14:textId="77777777" w:rsidR="00F7495F" w:rsidRDefault="001C0309">
            <w:r>
              <w:rPr>
                <w:b/>
                <w:bCs/>
                <w:color w:val="1B2A4A"/>
                <w:sz w:val="20"/>
                <w:szCs w:val="20"/>
              </w:rPr>
              <w:t>Line of Therapy (LOT)</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0A" w14:textId="77777777" w:rsidR="00F7495F" w:rsidRDefault="001C0309">
            <w:r>
              <w:rPr>
                <w:color w:val="374151"/>
                <w:sz w:val="20"/>
                <w:szCs w:val="20"/>
              </w:rPr>
              <w:t>Position in the treatment sequence. 1L = first treatment received after diagnosis. 2L = second treatment after first has failed. Each subsequent line has roughly 40–50% fewer eligible patients due to attrition.</w:t>
            </w:r>
          </w:p>
        </w:tc>
      </w:tr>
      <w:tr w:rsidR="00F7495F" w14:paraId="00151A0E"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0C" w14:textId="77777777" w:rsidR="00F7495F" w:rsidRDefault="001C0309">
            <w:r>
              <w:rPr>
                <w:b/>
                <w:bCs/>
                <w:color w:val="1B2A4A"/>
                <w:sz w:val="20"/>
                <w:szCs w:val="20"/>
              </w:rPr>
              <w:t>LOT attrition</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0D" w14:textId="77777777" w:rsidR="00F7495F" w:rsidRDefault="001C0309">
            <w:r>
              <w:rPr>
                <w:color w:val="374151"/>
                <w:sz w:val="20"/>
                <w:szCs w:val="20"/>
              </w:rPr>
              <w:t>The patient drop-off between lines of therapy due to death, transition to palliative care, loss to follow-up, or patient choice.</w:t>
            </w:r>
          </w:p>
        </w:tc>
      </w:tr>
      <w:tr w:rsidR="00F7495F" w14:paraId="00151A11"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0F" w14:textId="77777777" w:rsidR="00F7495F" w:rsidRDefault="001C0309">
            <w:r>
              <w:rPr>
                <w:b/>
                <w:bCs/>
                <w:color w:val="1B2A4A"/>
                <w:sz w:val="20"/>
                <w:szCs w:val="20"/>
              </w:rPr>
              <w:t xml:space="preserve">Drug class / </w:t>
            </w:r>
            <w:proofErr w:type="spellStart"/>
            <w:r>
              <w:rPr>
                <w:b/>
                <w:bCs/>
                <w:color w:val="1B2A4A"/>
                <w:sz w:val="20"/>
                <w:szCs w:val="20"/>
              </w:rPr>
              <w:t>MoA</w:t>
            </w:r>
            <w:proofErr w:type="spellEnd"/>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10" w14:textId="77777777" w:rsidR="00F7495F" w:rsidRDefault="001C0309">
            <w:r>
              <w:rPr>
                <w:color w:val="374151"/>
                <w:sz w:val="20"/>
                <w:szCs w:val="20"/>
              </w:rPr>
              <w:t>Mechanism of action class — a grouping of drugs that work via the same biological pathway or receptor. Drugs within a class are direct competitors and are often clinically substitutable.</w:t>
            </w:r>
          </w:p>
        </w:tc>
      </w:tr>
      <w:tr w:rsidR="00F7495F" w14:paraId="00151A14"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12" w14:textId="77777777" w:rsidR="00F7495F" w:rsidRDefault="001C0309">
            <w:r>
              <w:rPr>
                <w:b/>
                <w:bCs/>
                <w:color w:val="1B2A4A"/>
                <w:sz w:val="20"/>
                <w:szCs w:val="20"/>
              </w:rPr>
              <w:t>Approved product</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13" w14:textId="77777777" w:rsidR="00F7495F" w:rsidRDefault="001C0309">
            <w:r>
              <w:rPr>
                <w:color w:val="374151"/>
                <w:sz w:val="20"/>
                <w:szCs w:val="20"/>
              </w:rPr>
              <w:t>A drug with full regulatory approval (FDA, EMA, MHRA, etc.) currently available on the market. Has real-world sales data and known market share.</w:t>
            </w:r>
          </w:p>
        </w:tc>
      </w:tr>
      <w:tr w:rsidR="00F7495F" w14:paraId="00151A17"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15" w14:textId="77777777" w:rsidR="00F7495F" w:rsidRDefault="001C0309">
            <w:r>
              <w:rPr>
                <w:b/>
                <w:bCs/>
                <w:color w:val="1B2A4A"/>
                <w:sz w:val="20"/>
                <w:szCs w:val="20"/>
              </w:rPr>
              <w:t>Pipeline product</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16" w14:textId="77777777" w:rsidR="00F7495F" w:rsidRDefault="001C0309">
            <w:r>
              <w:rPr>
                <w:color w:val="374151"/>
                <w:sz w:val="20"/>
                <w:szCs w:val="20"/>
              </w:rPr>
              <w:t>A drug in clinical development (Phase I, II, or III) or awaiting regulatory approval. Market share is projected based on clinical data and competitive analysis. Inherently uncertain.</w:t>
            </w:r>
          </w:p>
        </w:tc>
      </w:tr>
      <w:tr w:rsidR="00F7495F" w14:paraId="00151A1A"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18" w14:textId="77777777" w:rsidR="00F7495F" w:rsidRDefault="001C0309">
            <w:r>
              <w:rPr>
                <w:b/>
                <w:bCs/>
                <w:color w:val="1B2A4A"/>
                <w:sz w:val="20"/>
                <w:szCs w:val="20"/>
              </w:rPr>
              <w:t>Market share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19" w14:textId="77777777" w:rsidR="00F7495F" w:rsidRDefault="001C0309">
            <w:r>
              <w:rPr>
                <w:color w:val="374151"/>
                <w:sz w:val="20"/>
                <w:szCs w:val="20"/>
              </w:rPr>
              <w:t>Proportion of eligible patients (within a given segment, LOT, and class) who are treated with a specific drug.</w:t>
            </w:r>
          </w:p>
        </w:tc>
      </w:tr>
      <w:tr w:rsidR="00F7495F" w14:paraId="00151A1D"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1B" w14:textId="77777777" w:rsidR="00F7495F" w:rsidRDefault="001C0309">
            <w:r>
              <w:rPr>
                <w:b/>
                <w:bCs/>
                <w:color w:val="1B2A4A"/>
                <w:sz w:val="20"/>
                <w:szCs w:val="20"/>
              </w:rPr>
              <w:t>Peak patient forecast</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1C" w14:textId="77777777" w:rsidR="00F7495F" w:rsidRDefault="001C0309">
            <w:r>
              <w:rPr>
                <w:color w:val="374151"/>
                <w:sz w:val="20"/>
                <w:szCs w:val="20"/>
              </w:rPr>
              <w:t>The maximum number of patients projected to be on a drug at any point in the forecast horizon. The primary commercial output of the model.</w:t>
            </w:r>
          </w:p>
        </w:tc>
      </w:tr>
      <w:tr w:rsidR="00F7495F" w14:paraId="00151A20"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1E" w14:textId="77777777" w:rsidR="00F7495F" w:rsidRDefault="001C0309">
            <w:r>
              <w:rPr>
                <w:b/>
                <w:bCs/>
                <w:color w:val="1B2A4A"/>
                <w:sz w:val="20"/>
                <w:szCs w:val="20"/>
              </w:rPr>
              <w:t>Patient funnel</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1F" w14:textId="77777777" w:rsidR="00F7495F" w:rsidRDefault="001C0309">
            <w:r>
              <w:rPr>
                <w:color w:val="374151"/>
                <w:sz w:val="20"/>
                <w:szCs w:val="20"/>
              </w:rPr>
              <w:t>The visual representation of how the total disease population filters down through each layer to patients on a specific product. The core output diagram of this tool.</w:t>
            </w:r>
          </w:p>
        </w:tc>
      </w:tr>
      <w:tr w:rsidR="00F7495F" w14:paraId="00151A23"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21" w14:textId="77777777" w:rsidR="00F7495F" w:rsidRDefault="001C0309">
            <w:r>
              <w:rPr>
                <w:b/>
                <w:bCs/>
                <w:color w:val="1B2A4A"/>
                <w:sz w:val="20"/>
                <w:szCs w:val="20"/>
              </w:rPr>
              <w:t>Bypass routing</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22" w14:textId="77777777" w:rsidR="00F7495F" w:rsidRDefault="001C0309">
            <w:r>
              <w:rPr>
                <w:color w:val="374151"/>
                <w:sz w:val="20"/>
                <w:szCs w:val="20"/>
              </w:rPr>
              <w:t>The alternative connection paths in the model when LOT and/or Class layers are excluded (set to NO). Products connect to higher-level nodes in the funnel, skipping the excluded layers.</w:t>
            </w:r>
          </w:p>
        </w:tc>
      </w:tr>
      <w:tr w:rsidR="00F7495F" w14:paraId="00151A26"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24" w14:textId="77777777" w:rsidR="00F7495F" w:rsidRDefault="001C0309">
            <w:r>
              <w:rPr>
                <w:b/>
                <w:bCs/>
                <w:color w:val="1B2A4A"/>
                <w:sz w:val="20"/>
                <w:szCs w:val="20"/>
              </w:rPr>
              <w:t>Scenario</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25" w14:textId="77777777" w:rsidR="00F7495F" w:rsidRDefault="001C0309">
            <w:r>
              <w:rPr>
                <w:color w:val="374151"/>
                <w:sz w:val="20"/>
                <w:szCs w:val="20"/>
              </w:rPr>
              <w:t>A specific combination of structural configuration and numeric assumptions representing one forecast case (e.g. base case, upside, downside, 1L positioning vs 2L positioning).</w:t>
            </w:r>
          </w:p>
        </w:tc>
      </w:tr>
      <w:tr w:rsidR="00F7495F" w14:paraId="00151A29"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27" w14:textId="77777777" w:rsidR="00F7495F" w:rsidRDefault="001C0309">
            <w:r>
              <w:rPr>
                <w:b/>
                <w:bCs/>
                <w:color w:val="1B2A4A"/>
                <w:sz w:val="20"/>
                <w:szCs w:val="20"/>
              </w:rPr>
              <w:lastRenderedPageBreak/>
              <w:t>Market access</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28" w14:textId="77777777" w:rsidR="00F7495F" w:rsidRDefault="001C0309">
            <w:r>
              <w:rPr>
                <w:color w:val="374151"/>
                <w:sz w:val="20"/>
                <w:szCs w:val="20"/>
              </w:rPr>
              <w:t>The field concerned with securing reimbursement and formulary access for drugs from payers (NHS, insurance, national health systems). Patient flow forecasts are a key input to market access dossiers.</w:t>
            </w:r>
          </w:p>
        </w:tc>
      </w:tr>
      <w:tr w:rsidR="00F7495F" w14:paraId="00151A2C"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2A" w14:textId="77777777" w:rsidR="00F7495F" w:rsidRDefault="001C0309">
            <w:r>
              <w:rPr>
                <w:b/>
                <w:bCs/>
                <w:color w:val="1B2A4A"/>
                <w:sz w:val="20"/>
                <w:szCs w:val="20"/>
              </w:rPr>
              <w:t>IQVIA / GLOBOCAN</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2B" w14:textId="77777777" w:rsidR="00F7495F" w:rsidRDefault="001C0309">
            <w:r>
              <w:rPr>
                <w:color w:val="374151"/>
                <w:sz w:val="20"/>
                <w:szCs w:val="20"/>
              </w:rPr>
              <w:t>Primary data sources for epidemiology and market share data. IQVIA provides commercial pharma sales and patient data; GLOBOCAN provides global cancer incidence and mortality statistics.</w:t>
            </w:r>
          </w:p>
        </w:tc>
      </w:tr>
      <w:tr w:rsidR="00F7495F" w14:paraId="00151A2F" w14:textId="77777777">
        <w:tblPrEx>
          <w:tblCellMar>
            <w:top w:w="0" w:type="dxa"/>
            <w:bottom w:w="0" w:type="dxa"/>
          </w:tblCellMar>
        </w:tblPrEx>
        <w:tc>
          <w:tcPr>
            <w:tcW w:w="2520" w:type="dxa"/>
            <w:tcBorders>
              <w:top w:val="single" w:sz="1" w:space="0" w:color="E5E7EB"/>
              <w:left w:val="single" w:sz="1" w:space="0" w:color="E5E7EB"/>
              <w:bottom w:val="single" w:sz="1" w:space="0" w:color="E5E7EB"/>
              <w:right w:val="single" w:sz="1" w:space="0" w:color="E5E7EB"/>
            </w:tcBorders>
            <w:shd w:val="clear" w:color="auto" w:fill="F9FAFB"/>
            <w:tcMar>
              <w:top w:w="80" w:type="dxa"/>
              <w:left w:w="120" w:type="dxa"/>
              <w:bottom w:w="80" w:type="dxa"/>
              <w:right w:w="120" w:type="dxa"/>
            </w:tcMar>
          </w:tcPr>
          <w:p w14:paraId="00151A2D" w14:textId="77777777" w:rsidR="00F7495F" w:rsidRDefault="001C0309">
            <w:r>
              <w:rPr>
                <w:b/>
                <w:bCs/>
                <w:color w:val="1B2A4A"/>
                <w:sz w:val="20"/>
                <w:szCs w:val="20"/>
              </w:rPr>
              <w:t>NCCN / ESMO / NICE</w:t>
            </w:r>
          </w:p>
        </w:tc>
        <w:tc>
          <w:tcPr>
            <w:tcW w:w="6840" w:type="dxa"/>
            <w:tcBorders>
              <w:top w:val="single" w:sz="1" w:space="0" w:color="E5E7EB"/>
              <w:left w:val="single" w:sz="1" w:space="0" w:color="E5E7EB"/>
              <w:bottom w:val="single" w:sz="1" w:space="0" w:color="E5E7EB"/>
              <w:right w:val="single" w:sz="1" w:space="0" w:color="E5E7EB"/>
            </w:tcBorders>
            <w:shd w:val="clear" w:color="auto" w:fill="FFFFFF"/>
            <w:tcMar>
              <w:top w:w="80" w:type="dxa"/>
              <w:left w:w="120" w:type="dxa"/>
              <w:bottom w:w="80" w:type="dxa"/>
              <w:right w:w="120" w:type="dxa"/>
            </w:tcMar>
          </w:tcPr>
          <w:p w14:paraId="00151A2E" w14:textId="77777777" w:rsidR="00F7495F" w:rsidRDefault="001C0309">
            <w:r>
              <w:rPr>
                <w:color w:val="374151"/>
                <w:sz w:val="20"/>
                <w:szCs w:val="20"/>
              </w:rPr>
              <w:t>Treatment guideline bodies. NCCN and ESMO issue clinical treatment guidelines for oncology; NICE issues clinical and cost-effectiveness guidance for NHS England. These define standard of care and determine which LOTs are clinically valid.</w:t>
            </w:r>
          </w:p>
        </w:tc>
      </w:tr>
    </w:tbl>
    <w:p w14:paraId="00151A30" w14:textId="77777777" w:rsidR="00F7495F" w:rsidRDefault="00F7495F">
      <w:pPr>
        <w:spacing w:after="120"/>
      </w:pPr>
    </w:p>
    <w:p w14:paraId="00151A31" w14:textId="77777777" w:rsidR="00F7495F" w:rsidRDefault="00F7495F">
      <w:pPr>
        <w:spacing w:after="60"/>
      </w:pPr>
    </w:p>
    <w:p w14:paraId="00151A32" w14:textId="77777777" w:rsidR="00F7495F" w:rsidRDefault="00F7495F">
      <w:pPr>
        <w:spacing w:after="60"/>
      </w:pPr>
    </w:p>
    <w:p w14:paraId="00151A33" w14:textId="77777777" w:rsidR="00F7495F" w:rsidRDefault="00F7495F">
      <w:pPr>
        <w:pBdr>
          <w:bottom w:val="single" w:sz="2" w:space="1" w:color="E5E7EB"/>
        </w:pBdr>
        <w:spacing w:before="80" w:after="80"/>
      </w:pPr>
    </w:p>
    <w:p w14:paraId="00151A34" w14:textId="77777777" w:rsidR="00F7495F" w:rsidRDefault="001C0309">
      <w:pPr>
        <w:spacing w:before="80"/>
      </w:pPr>
      <w:r>
        <w:rPr>
          <w:color w:val="6B7280"/>
          <w:sz w:val="18"/>
          <w:szCs w:val="18"/>
        </w:rPr>
        <w:t xml:space="preserve">This brief was prepared by Claude (Anthropic) based on full reverse-engineering of UniversalForecastModel.xlsm, including VBA code extraction, XML analysis, and shared strings parsing. All clinical and commercial context was verified against primary pharmaceutical forecasting literature. </w:t>
      </w:r>
    </w:p>
    <w:sectPr w:rsidR="00F7495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B5232"/>
    <w:multiLevelType w:val="hybridMultilevel"/>
    <w:tmpl w:val="063C6876"/>
    <w:lvl w:ilvl="0" w:tplc="04269A78">
      <w:start w:val="1"/>
      <w:numFmt w:val="bullet"/>
      <w:lvlText w:val="•"/>
      <w:lvlJc w:val="left"/>
      <w:pPr>
        <w:ind w:left="480" w:hanging="280"/>
      </w:pPr>
      <w:rPr>
        <w:rFonts w:ascii="Arial" w:eastAsia="Arial" w:hAnsi="Arial" w:cs="Arial"/>
        <w:color w:val="2563EB"/>
        <w:sz w:val="22"/>
        <w:szCs w:val="22"/>
      </w:rPr>
    </w:lvl>
    <w:lvl w:ilvl="1" w:tplc="99B8D5CC">
      <w:numFmt w:val="decimal"/>
      <w:lvlText w:val=""/>
      <w:lvlJc w:val="left"/>
    </w:lvl>
    <w:lvl w:ilvl="2" w:tplc="6DE45F7A">
      <w:numFmt w:val="decimal"/>
      <w:lvlText w:val=""/>
      <w:lvlJc w:val="left"/>
    </w:lvl>
    <w:lvl w:ilvl="3" w:tplc="2624A686">
      <w:numFmt w:val="decimal"/>
      <w:lvlText w:val=""/>
      <w:lvlJc w:val="left"/>
    </w:lvl>
    <w:lvl w:ilvl="4" w:tplc="F34AF898">
      <w:numFmt w:val="decimal"/>
      <w:lvlText w:val=""/>
      <w:lvlJc w:val="left"/>
    </w:lvl>
    <w:lvl w:ilvl="5" w:tplc="8DAA5EDC">
      <w:numFmt w:val="decimal"/>
      <w:lvlText w:val=""/>
      <w:lvlJc w:val="left"/>
    </w:lvl>
    <w:lvl w:ilvl="6" w:tplc="B22249F6">
      <w:numFmt w:val="decimal"/>
      <w:lvlText w:val=""/>
      <w:lvlJc w:val="left"/>
    </w:lvl>
    <w:lvl w:ilvl="7" w:tplc="EA24FA7E">
      <w:numFmt w:val="decimal"/>
      <w:lvlText w:val=""/>
      <w:lvlJc w:val="left"/>
    </w:lvl>
    <w:lvl w:ilvl="8" w:tplc="50309FB2">
      <w:numFmt w:val="decimal"/>
      <w:lvlText w:val=""/>
      <w:lvlJc w:val="left"/>
    </w:lvl>
  </w:abstractNum>
  <w:abstractNum w:abstractNumId="1" w15:restartNumberingAfterBreak="0">
    <w:nsid w:val="445B29AC"/>
    <w:multiLevelType w:val="hybridMultilevel"/>
    <w:tmpl w:val="35404ED0"/>
    <w:lvl w:ilvl="0" w:tplc="16B44D24">
      <w:start w:val="1"/>
      <w:numFmt w:val="bullet"/>
      <w:lvlText w:val="●"/>
      <w:lvlJc w:val="left"/>
      <w:pPr>
        <w:ind w:left="720" w:hanging="360"/>
      </w:pPr>
    </w:lvl>
    <w:lvl w:ilvl="1" w:tplc="B43CD22C">
      <w:start w:val="1"/>
      <w:numFmt w:val="bullet"/>
      <w:lvlText w:val="○"/>
      <w:lvlJc w:val="left"/>
      <w:pPr>
        <w:ind w:left="1440" w:hanging="360"/>
      </w:pPr>
    </w:lvl>
    <w:lvl w:ilvl="2" w:tplc="8E76E482">
      <w:start w:val="1"/>
      <w:numFmt w:val="bullet"/>
      <w:lvlText w:val="■"/>
      <w:lvlJc w:val="left"/>
      <w:pPr>
        <w:ind w:left="2160" w:hanging="360"/>
      </w:pPr>
    </w:lvl>
    <w:lvl w:ilvl="3" w:tplc="0854E05A">
      <w:start w:val="1"/>
      <w:numFmt w:val="bullet"/>
      <w:lvlText w:val="●"/>
      <w:lvlJc w:val="left"/>
      <w:pPr>
        <w:ind w:left="2880" w:hanging="360"/>
      </w:pPr>
    </w:lvl>
    <w:lvl w:ilvl="4" w:tplc="9098800A">
      <w:start w:val="1"/>
      <w:numFmt w:val="bullet"/>
      <w:lvlText w:val="○"/>
      <w:lvlJc w:val="left"/>
      <w:pPr>
        <w:ind w:left="3600" w:hanging="360"/>
      </w:pPr>
    </w:lvl>
    <w:lvl w:ilvl="5" w:tplc="8BACDCDA">
      <w:start w:val="1"/>
      <w:numFmt w:val="bullet"/>
      <w:lvlText w:val="■"/>
      <w:lvlJc w:val="left"/>
      <w:pPr>
        <w:ind w:left="4320" w:hanging="360"/>
      </w:pPr>
    </w:lvl>
    <w:lvl w:ilvl="6" w:tplc="5B50A414">
      <w:start w:val="1"/>
      <w:numFmt w:val="bullet"/>
      <w:lvlText w:val="●"/>
      <w:lvlJc w:val="left"/>
      <w:pPr>
        <w:ind w:left="5040" w:hanging="360"/>
      </w:pPr>
    </w:lvl>
    <w:lvl w:ilvl="7" w:tplc="342E29D4">
      <w:start w:val="1"/>
      <w:numFmt w:val="bullet"/>
      <w:lvlText w:val="●"/>
      <w:lvlJc w:val="left"/>
      <w:pPr>
        <w:ind w:left="5760" w:hanging="360"/>
      </w:pPr>
    </w:lvl>
    <w:lvl w:ilvl="8" w:tplc="16C04AAE">
      <w:start w:val="1"/>
      <w:numFmt w:val="bullet"/>
      <w:lvlText w:val="●"/>
      <w:lvlJc w:val="left"/>
      <w:pPr>
        <w:ind w:left="6480" w:hanging="360"/>
      </w:pPr>
    </w:lvl>
  </w:abstractNum>
  <w:abstractNum w:abstractNumId="2" w15:restartNumberingAfterBreak="0">
    <w:nsid w:val="58370D93"/>
    <w:multiLevelType w:val="hybridMultilevel"/>
    <w:tmpl w:val="D3CCC664"/>
    <w:lvl w:ilvl="0" w:tplc="8D707D22">
      <w:start w:val="1"/>
      <w:numFmt w:val="bullet"/>
      <w:lvlText w:val="–"/>
      <w:lvlJc w:val="left"/>
      <w:pPr>
        <w:ind w:left="760" w:hanging="280"/>
      </w:pPr>
      <w:rPr>
        <w:rFonts w:ascii="Arial" w:eastAsia="Arial" w:hAnsi="Arial" w:cs="Arial"/>
        <w:color w:val="6B7280"/>
        <w:sz w:val="20"/>
        <w:szCs w:val="20"/>
      </w:rPr>
    </w:lvl>
    <w:lvl w:ilvl="1" w:tplc="DD0E1B2E">
      <w:numFmt w:val="decimal"/>
      <w:lvlText w:val=""/>
      <w:lvlJc w:val="left"/>
    </w:lvl>
    <w:lvl w:ilvl="2" w:tplc="0C627726">
      <w:numFmt w:val="decimal"/>
      <w:lvlText w:val=""/>
      <w:lvlJc w:val="left"/>
    </w:lvl>
    <w:lvl w:ilvl="3" w:tplc="53565C4C">
      <w:numFmt w:val="decimal"/>
      <w:lvlText w:val=""/>
      <w:lvlJc w:val="left"/>
    </w:lvl>
    <w:lvl w:ilvl="4" w:tplc="556A5FEA">
      <w:numFmt w:val="decimal"/>
      <w:lvlText w:val=""/>
      <w:lvlJc w:val="left"/>
    </w:lvl>
    <w:lvl w:ilvl="5" w:tplc="138A1260">
      <w:numFmt w:val="decimal"/>
      <w:lvlText w:val=""/>
      <w:lvlJc w:val="left"/>
    </w:lvl>
    <w:lvl w:ilvl="6" w:tplc="4052F2DA">
      <w:numFmt w:val="decimal"/>
      <w:lvlText w:val=""/>
      <w:lvlJc w:val="left"/>
    </w:lvl>
    <w:lvl w:ilvl="7" w:tplc="35020C1E">
      <w:numFmt w:val="decimal"/>
      <w:lvlText w:val=""/>
      <w:lvlJc w:val="left"/>
    </w:lvl>
    <w:lvl w:ilvl="8" w:tplc="611CFF7C">
      <w:numFmt w:val="decimal"/>
      <w:lvlText w:val=""/>
      <w:lvlJc w:val="left"/>
    </w:lvl>
  </w:abstractNum>
  <w:num w:numId="1" w16cid:durableId="840051012">
    <w:abstractNumId w:val="1"/>
    <w:lvlOverride w:ilvl="0">
      <w:startOverride w:val="1"/>
    </w:lvlOverride>
  </w:num>
  <w:num w:numId="2" w16cid:durableId="178157211">
    <w:abstractNumId w:val="0"/>
    <w:lvlOverride w:ilvl="0">
      <w:startOverride w:val="1"/>
    </w:lvlOverride>
  </w:num>
  <w:num w:numId="3" w16cid:durableId="69704414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495F"/>
    <w:rsid w:val="00007486"/>
    <w:rsid w:val="003E49AC"/>
    <w:rsid w:val="00F749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0151893"/>
  <w15:docId w15:val="{A0DAC178-A0D4-5E4F-9299-B6C2B30D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color w:val="1B2A4A"/>
      <w:sz w:val="36"/>
      <w:szCs w:val="36"/>
    </w:rPr>
  </w:style>
  <w:style w:type="paragraph" w:styleId="Heading2">
    <w:name w:val="heading 2"/>
    <w:uiPriority w:val="9"/>
    <w:unhideWhenUsed/>
    <w:qFormat/>
    <w:pPr>
      <w:spacing w:before="360" w:after="120"/>
      <w:outlineLvl w:val="1"/>
    </w:pPr>
    <w:rPr>
      <w:b/>
      <w:bCs/>
      <w:color w:val="1B2A4A"/>
      <w:sz w:val="28"/>
      <w:szCs w:val="28"/>
    </w:rPr>
  </w:style>
  <w:style w:type="paragraph" w:styleId="Heading3">
    <w:name w:val="heading 3"/>
    <w:uiPriority w:val="9"/>
    <w:unhideWhenUsed/>
    <w:qFormat/>
    <w:pPr>
      <w:spacing w:before="240" w:after="80"/>
      <w:outlineLvl w:val="2"/>
    </w:pPr>
    <w:rPr>
      <w:b/>
      <w:bCs/>
      <w:color w:val="2563E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4539</Words>
  <Characters>25244</Characters>
  <Application>Microsoft Office Word</Application>
  <DocSecurity>0</DocSecurity>
  <Lines>596</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Darshan Mathew</cp:lastModifiedBy>
  <cp:revision>2</cp:revision>
  <dcterms:created xsi:type="dcterms:W3CDTF">2026-06-11T08:57:00Z</dcterms:created>
  <dcterms:modified xsi:type="dcterms:W3CDTF">2026-06-11T08:57:00Z</dcterms:modified>
</cp:coreProperties>
</file>