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b/>
          <w:bCs/>
          <w:sz w:val="44"/>
          <w:szCs w:val="44"/>
        </w:rPr>
        <w:t xml:space="preserve">AGREEMENT OF WORK</w:t>
      </w:r>
    </w:p>
    <w:p>
      <w:pPr>
        <w:spacing w:after="480"/>
        <w:jc w:val="center"/>
      </w:pPr>
      <w:r>
        <w:rPr>
          <w:sz w:val="22"/>
          <w:szCs w:val="22"/>
        </w:rPr>
        <w:t xml:space="preserve">Effective Date: [DATE]</w:t>
      </w:r>
    </w:p>
    <w:p>
      <w:pPr>
        <w:spacing w:after="160"/>
      </w:pPr>
      <w:r>
        <w:rPr>
          <w:sz w:val="22"/>
          <w:szCs w:val="22"/>
        </w:rPr>
        <w:t xml:space="preserve">This Agreement of Work (the “Agreement”) is entered into as of the Effective Date by and between:</w:t>
      </w:r>
    </w:p>
    <w:p>
      <w:pPr>
        <w:spacing w:after="100"/>
        <w:ind w:left="360"/>
      </w:pPr>
      <w:r>
        <w:rPr>
          <w:b/>
          <w:bCs/>
          <w:sz w:val="22"/>
          <w:szCs w:val="22"/>
        </w:rPr>
        <w:t xml:space="preserve">TSD Ventures, LLC</w:t>
      </w:r>
      <w:r>
        <w:rPr>
          <w:sz w:val="22"/>
          <w:szCs w:val="22"/>
        </w:rPr>
        <w:t xml:space="preserve">, a North Carolina limited liability company operating the TSD Modernization Solutions brand (“TSD”), and</w:t>
      </w:r>
    </w:p>
    <w:p>
      <w:pPr>
        <w:spacing w:after="280"/>
        <w:ind w:left="360"/>
      </w:pPr>
      <w:r>
        <w:rPr>
          <w:b/>
          <w:bCs/>
          <w:sz w:val="22"/>
          <w:szCs w:val="22"/>
        </w:rPr>
        <w:t xml:space="preserve">[CLIENT BUSINESS NAME]</w:t>
      </w:r>
      <w:r>
        <w:rPr>
          <w:sz w:val="22"/>
          <w:szCs w:val="22"/>
        </w:rPr>
        <w:t xml:space="preserve"> (the “Client”).</w:t>
      </w:r>
    </w:p>
    <w:p>
      <w:pPr>
        <w:spacing w:after="240"/>
      </w:pPr>
      <w:r>
        <w:rPr>
          <w:i/>
          <w:iCs/>
          <w:sz w:val="22"/>
          <w:szCs w:val="22"/>
        </w:rPr>
        <w:t xml:space="preserve">TSD and Client may be referred to individually as a “Party” and collectively as the “Parties.”</w:t>
      </w:r>
    </w:p>
    <w:p>
      <w:pPr>
        <w:spacing w:after="140" w:before="320"/>
      </w:pPr>
      <w:r>
        <w:rPr>
          <w:b/>
          <w:bCs/>
          <w:sz w:val="26"/>
          <w:szCs w:val="26"/>
        </w:rPr>
        <w:t xml:space="preserve">1. Scope of Work</w:t>
      </w:r>
    </w:p>
    <w:p>
      <w:pPr>
        <w:spacing w:after="160"/>
      </w:pPr>
      <w:r>
        <w:rPr>
          <w:sz w:val="22"/>
          <w:szCs w:val="22"/>
        </w:rPr>
        <w:t xml:space="preserve">TSD agrees to deliver the following scope of work for Client:</w:t>
      </w:r>
    </w:p>
    <w:p>
      <w:pPr>
        <w:spacing w:after="160"/>
      </w:pPr>
      <w:r>
        <w:rPr>
          <w:sz w:val="22"/>
          <w:szCs w:val="22"/>
        </w:rPr>
        <w:t xml:space="preserve">[Insert specific deliverables here. Examples: 5-page custom React/Next.js website; AI chatbot integration trained on Client’s services and FAQs; on-page SEO and analytics wiring; written and video handoff documentation.]</w:t>
      </w:r>
    </w:p>
    <w:p>
      <w:pPr>
        <w:spacing w:after="160"/>
      </w:pPr>
      <w:r>
        <w:rPr>
          <w:sz w:val="22"/>
          <w:szCs w:val="22"/>
        </w:rPr>
        <w:t xml:space="preserve">The full scope of work is described in this Section and may be supplemented only by a written addendum signed by both Parties.</w:t>
      </w:r>
    </w:p>
    <w:p>
      <w:pPr>
        <w:spacing w:after="140" w:before="320"/>
      </w:pPr>
      <w:r>
        <w:rPr>
          <w:b/>
          <w:bCs/>
          <w:sz w:val="26"/>
          <w:szCs w:val="26"/>
        </w:rPr>
        <w:t xml:space="preserve">2. Timeline</w:t>
      </w:r>
    </w:p>
    <w:p>
      <w:pPr>
        <w:spacing w:after="160"/>
      </w:pPr>
      <w:r>
        <w:rPr>
          <w:sz w:val="22"/>
          <w:szCs w:val="22"/>
        </w:rPr>
        <w:t xml:space="preserve">Kickoff Date: [DATE]</w:t>
      </w:r>
    </w:p>
    <w:p>
      <w:pPr>
        <w:spacing w:after="160"/>
      </w:pPr>
      <w:r>
        <w:rPr>
          <w:sz w:val="22"/>
          <w:szCs w:val="22"/>
        </w:rPr>
        <w:t xml:space="preserve">Estimated Handoff Date: [DATE]</w:t>
      </w:r>
    </w:p>
    <w:p>
      <w:pPr>
        <w:spacing w:after="160"/>
      </w:pPr>
      <w:r>
        <w:rPr>
          <w:sz w:val="22"/>
          <w:szCs w:val="22"/>
        </w:rPr>
        <w:t xml:space="preserve">All project work shall be completed and handed off no later than August 10, 2026 — the end of TSD’s 2026 summer operating window. Post-handoff support is described in Section 6.</w:t>
      </w:r>
    </w:p>
    <w:p>
      <w:pPr>
        <w:spacing w:after="140" w:before="320"/>
      </w:pPr>
      <w:r>
        <w:rPr>
          <w:b/>
          <w:bCs/>
          <w:sz w:val="26"/>
          <w:szCs w:val="26"/>
        </w:rPr>
        <w:t xml:space="preserve">3. Fees &amp; Payment</w:t>
      </w:r>
    </w:p>
    <w:p>
      <w:pPr>
        <w:spacing w:after="160"/>
      </w:pPr>
      <w:r>
        <w:rPr>
          <w:b/>
          <w:bCs/>
          <w:sz w:val="22"/>
          <w:szCs w:val="22"/>
        </w:rPr>
        <w:t xml:space="preserve">Total Project Fee: </w:t>
      </w:r>
      <w:r>
        <w:rPr>
          <w:sz w:val="22"/>
          <w:szCs w:val="22"/>
        </w:rPr>
        <w:t xml:space="preserve">$[AMOUNT]</w:t>
      </w:r>
    </w:p>
    <w:p>
      <w:pPr>
        <w:pStyle w:val="ListParagraph"/>
        <w:numPr>
          <w:ilvl w:val="0"/>
          <w:numId w:val="2"/>
        </w:numPr>
        <w:spacing w:after="80"/>
      </w:pPr>
      <w:r>
        <w:rPr>
          <w:sz w:val="22"/>
          <w:szCs w:val="22"/>
        </w:rPr>
        <w:t xml:space="preserve">Deposit (30%): $[X], due upon execution of this Agreement.</w:t>
      </w:r>
    </w:p>
    <w:p>
      <w:pPr>
        <w:pStyle w:val="ListParagraph"/>
        <w:numPr>
          <w:ilvl w:val="0"/>
          <w:numId w:val="2"/>
        </w:numPr>
        <w:spacing w:after="80"/>
      </w:pPr>
      <w:r>
        <w:rPr>
          <w:sz w:val="22"/>
          <w:szCs w:val="22"/>
        </w:rPr>
        <w:t xml:space="preserve">Balance (70%): $[Y], due upon Handoff.</w:t>
      </w:r>
    </w:p>
    <w:p>
      <w:pPr>
        <w:spacing w:after="160"/>
      </w:pPr>
      <w:r>
        <w:rPr>
          <w:sz w:val="22"/>
          <w:szCs w:val="22"/>
        </w:rPr>
        <w:t xml:space="preserve">Accepted payment methods: check, ACH transfer, Zelle, or Venmo. Other methods may be accepted at TSD’s discretion.</w:t>
      </w:r>
    </w:p>
    <w:p>
      <w:pPr>
        <w:spacing w:after="160"/>
      </w:pPr>
      <w:r>
        <w:rPr>
          <w:sz w:val="22"/>
          <w:szCs w:val="22"/>
        </w:rPr>
        <w:t xml:space="preserve">Amounts unpaid more than fourteen (14) days after the due date accrue a late fee of [1.5%] per month or the maximum rate allowed under North Carolina law, whichever is lower.</w:t>
      </w:r>
    </w:p>
    <w:p>
      <w:pPr>
        <w:spacing w:after="140" w:before="320"/>
      </w:pPr>
      <w:r>
        <w:rPr>
          <w:b/>
          <w:bCs/>
          <w:sz w:val="26"/>
          <w:szCs w:val="26"/>
        </w:rPr>
        <w:t xml:space="preserve">4. Deliverables</w:t>
      </w:r>
    </w:p>
    <w:p>
      <w:pPr>
        <w:spacing w:after="160"/>
      </w:pPr>
      <w:r>
        <w:rPr>
          <w:sz w:val="22"/>
          <w:szCs w:val="22"/>
        </w:rPr>
        <w:t xml:space="preserve">Upon Handoff, TSD will deliver to Client:</w:t>
      </w:r>
    </w:p>
    <w:p>
      <w:pPr>
        <w:pStyle w:val="ListParagraph"/>
        <w:numPr>
          <w:ilvl w:val="0"/>
          <w:numId w:val="2"/>
        </w:numPr>
        <w:spacing w:after="80"/>
      </w:pPr>
      <w:r>
        <w:rPr>
          <w:sz w:val="22"/>
          <w:szCs w:val="22"/>
        </w:rPr>
        <w:t xml:space="preserve">All source code and design files for the Scope of Work</w:t>
      </w:r>
    </w:p>
    <w:p>
      <w:pPr>
        <w:pStyle w:val="ListParagraph"/>
        <w:numPr>
          <w:ilvl w:val="0"/>
          <w:numId w:val="2"/>
        </w:numPr>
        <w:spacing w:after="80"/>
      </w:pPr>
      <w:r>
        <w:rPr>
          <w:sz w:val="22"/>
          <w:szCs w:val="22"/>
        </w:rPr>
        <w:t xml:space="preserve">Written and video handoff documentation</w:t>
      </w:r>
    </w:p>
    <w:p>
      <w:pPr>
        <w:pStyle w:val="ListParagraph"/>
        <w:numPr>
          <w:ilvl w:val="0"/>
          <w:numId w:val="2"/>
        </w:numPr>
        <w:spacing w:after="80"/>
      </w:pPr>
      <w:r>
        <w:rPr>
          <w:sz w:val="22"/>
          <w:szCs w:val="22"/>
        </w:rPr>
        <w:t xml:space="preserve">Access credentials for any third-party services provisioned for Client</w:t>
      </w:r>
    </w:p>
    <w:p>
      <w:pPr>
        <w:pStyle w:val="ListParagraph"/>
        <w:numPr>
          <w:ilvl w:val="0"/>
          <w:numId w:val="2"/>
        </w:numPr>
        <w:spacing w:after="80"/>
      </w:pPr>
      <w:r>
        <w:rPr>
          <w:sz w:val="22"/>
          <w:szCs w:val="22"/>
        </w:rPr>
        <w:t xml:space="preserve">A live training session for Client or Client’s designated representative</w:t>
      </w:r>
    </w:p>
    <w:p>
      <w:pPr>
        <w:spacing w:after="160"/>
      </w:pPr>
      <w:r>
        <w:rPr>
          <w:sz w:val="22"/>
          <w:szCs w:val="22"/>
        </w:rPr>
        <w:t xml:space="preserve">The specific items above are governed by the Scope of Work in Section 1.</w:t>
      </w:r>
    </w:p>
    <w:p>
      <w:pPr>
        <w:spacing w:after="140" w:before="320"/>
      </w:pPr>
      <w:r>
        <w:rPr>
          <w:b/>
          <w:bCs/>
          <w:sz w:val="26"/>
          <w:szCs w:val="26"/>
        </w:rPr>
        <w:t xml:space="preserve">5. Source Code &amp; Ownership</w:t>
      </w:r>
    </w:p>
    <w:p>
      <w:pPr>
        <w:spacing w:after="160"/>
      </w:pPr>
      <w:r>
        <w:rPr>
          <w:sz w:val="22"/>
          <w:szCs w:val="22"/>
        </w:rPr>
        <w:t xml:space="preserve">At Handoff, and upon Client’s payment of the full Total Project Fee, all source code, design files, written content, and access credentials produced under this Agreement transfer to Client. The deployment infrastructure (GitHub repository and Vercel project) is provisioned in Client’s name or transferred to Client at Handoff. Client owns and is responsible for the project domain.</w:t>
      </w:r>
    </w:p>
    <w:p>
      <w:pPr>
        <w:spacing w:after="160"/>
      </w:pPr>
      <w:r>
        <w:rPr>
          <w:sz w:val="22"/>
          <w:szCs w:val="22"/>
        </w:rPr>
        <w:t xml:space="preserve">TSD retains the right to reference the engagement in its portfolio and case studies, subject to Client’s reasonable approval of any specific public-facing description.</w:t>
      </w:r>
    </w:p>
    <w:p>
      <w:pPr>
        <w:spacing w:after="140" w:before="320"/>
      </w:pPr>
      <w:r>
        <w:rPr>
          <w:b/>
          <w:bCs/>
          <w:sz w:val="26"/>
          <w:szCs w:val="26"/>
        </w:rPr>
        <w:t xml:space="preserve">6. Post-Handoff Support</w:t>
      </w:r>
    </w:p>
    <w:p>
      <w:pPr>
        <w:spacing w:after="160"/>
      </w:pPr>
      <w:r>
        <w:rPr>
          <w:sz w:val="22"/>
          <w:szCs w:val="22"/>
        </w:rPr>
        <w:t xml:space="preserve">One TSD founder will remain on call for bugs and fixes through August 31, 2026, at no additional cost to Client beyond the Total Project Fee.</w:t>
      </w:r>
    </w:p>
    <w:p>
      <w:pPr>
        <w:spacing w:after="160"/>
      </w:pPr>
      <w:r>
        <w:rPr>
          <w:sz w:val="22"/>
          <w:szCs w:val="22"/>
        </w:rPr>
        <w:t xml:space="preserve">TSD will conduct a live training session at Handoff and link Client’s Claude account to Client’s GitHub repository, enabling Client (or Client’s designee) to perform self-service updates by sharing screenshots and instructions with Claude.</w:t>
      </w:r>
    </w:p>
    <w:p>
      <w:pPr>
        <w:spacing w:after="160"/>
      </w:pPr>
      <w:r>
        <w:rPr>
          <w:sz w:val="22"/>
          <w:szCs w:val="22"/>
        </w:rPr>
        <w:t xml:space="preserve">After August 31, 2026, TSD’s operational engagement under this Agreement concludes. Subsequent engagements may be arranged separately.</w:t>
      </w:r>
    </w:p>
    <w:p>
      <w:pPr>
        <w:spacing w:after="140" w:before="320"/>
      </w:pPr>
      <w:r>
        <w:rPr>
          <w:b/>
          <w:bCs/>
          <w:sz w:val="26"/>
          <w:szCs w:val="26"/>
        </w:rPr>
        <w:t xml:space="preserve">7. Money-Back Guarantees</w:t>
      </w:r>
    </w:p>
    <w:p>
      <w:pPr>
        <w:spacing w:after="120" w:before="160"/>
      </w:pPr>
      <w:r>
        <w:rPr>
          <w:b/>
          <w:bCs/>
          <w:sz w:val="22"/>
          <w:szCs w:val="22"/>
        </w:rPr>
        <w:t xml:space="preserve">7.1 General Money-Back Guarantee (all engagements)</w:t>
      </w:r>
    </w:p>
    <w:p>
      <w:pPr>
        <w:spacing w:after="160"/>
      </w:pPr>
      <w:r>
        <w:rPr>
          <w:sz w:val="22"/>
          <w:szCs w:val="22"/>
        </w:rPr>
        <w:t xml:space="preserve">If TSD does not deliver the Scope of Work deliverables, or delivers them materially non-functional, Client may request a full refund in writing within seven (7) days of Handoff. TSD will issue any approved refund within seven (7) days of acknowledging Client’s request.</w:t>
      </w:r>
    </w:p>
    <w:p>
      <w:pPr>
        <w:spacing w:after="160"/>
      </w:pPr>
      <w:r>
        <w:rPr>
          <w:sz w:val="22"/>
          <w:szCs w:val="22"/>
        </w:rPr>
        <w:t xml:space="preserve">Stylistic preferences or change requests expressed after Client’s written sign-off on milestone deliverables do not constitute “failure to deliver” for purposes of this Section. Such requests may be addressed under Section 8 (Revisions).</w:t>
      </w:r>
    </w:p>
    <w:p>
      <w:pPr>
        <w:spacing w:after="120" w:before="240"/>
      </w:pPr>
      <w:r>
        <w:rPr>
          <w:b/>
          <w:bCs/>
          <w:sz w:val="22"/>
          <w:szCs w:val="22"/>
        </w:rPr>
        <w:t xml:space="preserve">7.2 Delivery Speed Guarantee (Phase II Website + AI Bundle engagements only)</w:t>
      </w:r>
    </w:p>
    <w:p>
      <w:pPr>
        <w:spacing w:after="160"/>
      </w:pPr>
      <w:r>
        <w:rPr>
          <w:b/>
          <w:bCs/>
          <w:sz w:val="22"/>
          <w:szCs w:val="22"/>
        </w:rPr>
        <w:t xml:space="preserve">The promise.</w:t>
      </w:r>
      <w:r>
        <w:rPr>
          <w:sz w:val="22"/>
          <w:szCs w:val="22"/>
        </w:rPr>
        <w:t xml:space="preserve"> TSD will publish Client’s website to its production domain within fourteen (14) calendar days of contract signature. The fourteen-day clock starts on the date both Parties have signed this Agreement of Work and TSD has received from Client all of the following: (a) brand assets requested in the Phase II Onboarding Checklist (logo files, brand colors, photography), (b) any third-party platform credentials required for the AI integration scope (Google Calendar, scheduling system, CRM), and (c) initial copy or content brief for the homepage. If TSD has not received items (a)–(c) within seven (7) days of contract signature, the fourteen-day clock pauses until the materials are received in full, and re-starts the day after.</w:t>
      </w:r>
    </w:p>
    <w:p>
      <w:pPr>
        <w:spacing w:after="160"/>
      </w:pPr>
      <w:r>
        <w:rPr>
          <w:b/>
          <w:bCs/>
          <w:sz w:val="22"/>
          <w:szCs w:val="22"/>
        </w:rPr>
        <w:t xml:space="preserve">The trigger.</w:t>
      </w:r>
      <w:r>
        <w:rPr>
          <w:sz w:val="22"/>
          <w:szCs w:val="22"/>
        </w:rPr>
        <w:t xml:space="preserve"> If Client’s website is not published to its production domain by the end of day fourteen (14) under the conditions above, TSD will refund 25% of the Phase II fee — one thousand two hundred and fifty dollars ($1,250) at the founding-cohort rate — within seven (7) calendar days of the missed deadline. The refund is automatic on the missed deadline; Client does not need to request it.</w:t>
      </w:r>
    </w:p>
    <w:p>
      <w:pPr>
        <w:spacing w:after="160"/>
      </w:pPr>
      <w:r>
        <w:rPr>
          <w:b/>
          <w:bCs/>
          <w:sz w:val="22"/>
          <w:szCs w:val="22"/>
        </w:rPr>
        <w:t xml:space="preserve">No double-refund.</w:t>
      </w:r>
      <w:r>
        <w:rPr>
          <w:sz w:val="22"/>
          <w:szCs w:val="22"/>
        </w:rPr>
        <w:t xml:space="preserve"> The 25% delivery-speed refund is independent of the AI Outcome Guarantee in Section 7.3. If both triggers fire, both refunds apply.</w:t>
      </w:r>
    </w:p>
    <w:p>
      <w:pPr>
        <w:spacing w:after="120" w:before="240"/>
      </w:pPr>
      <w:r>
        <w:rPr>
          <w:b/>
          <w:bCs/>
          <w:sz w:val="22"/>
          <w:szCs w:val="22"/>
        </w:rPr>
        <w:t xml:space="preserve">7.3 AI Outcome Guarantee (Phase II Website + AI Bundle engagements only)</w:t>
      </w:r>
    </w:p>
    <w:p>
      <w:pPr>
        <w:spacing w:after="160"/>
      </w:pPr>
      <w:r>
        <w:rPr>
          <w:b/>
          <w:bCs/>
          <w:sz w:val="22"/>
          <w:szCs w:val="22"/>
        </w:rPr>
        <w:t xml:space="preserve">The promise.</w:t>
      </w:r>
      <w:r>
        <w:rPr>
          <w:sz w:val="22"/>
          <w:szCs w:val="22"/>
        </w:rPr>
        <w:t xml:space="preserve"> TSD will deliver an AI integration (chatbot, workflow automation, or AI receptionist setup, per the agreed Phase II scope) that captures, for Client’s business, at least three (3) qualified leads during the first thirty (30) calendar days after the website goes live and the AI integration is active.</w:t>
      </w:r>
    </w:p>
    <w:p>
      <w:pPr>
        <w:spacing w:after="160"/>
      </w:pPr>
      <w:r>
        <w:rPr>
          <w:b/>
          <w:bCs/>
          <w:sz w:val="22"/>
          <w:szCs w:val="22"/>
        </w:rPr>
        <w:t xml:space="preserve">Definition of “qualified lead.”</w:t>
      </w:r>
      <w:r>
        <w:rPr>
          <w:sz w:val="22"/>
          <w:szCs w:val="22"/>
        </w:rPr>
        <w:t xml:space="preserve"> A “qualified lead” is any inbound contact captured by the AI integration that includes all three of the following: (a) the prospect’s name, (b) a stated service request or specific business need, and (c) at least one piece of contact information (phone number or email address) that allows Client to follow up. Leads captured by other channels (direct phone calls answered by Client, walk-ins, in-person referrals, or contact-form submissions handled outside the AI integration) do not count toward the three-lead threshold.</w:t>
      </w:r>
    </w:p>
    <w:p>
      <w:pPr>
        <w:spacing w:after="160"/>
      </w:pPr>
      <w:r>
        <w:rPr>
          <w:b/>
          <w:bCs/>
          <w:sz w:val="22"/>
          <w:szCs w:val="22"/>
        </w:rPr>
        <w:t xml:space="preserve">The trigger.</w:t>
      </w:r>
      <w:r>
        <w:rPr>
          <w:sz w:val="22"/>
          <w:szCs w:val="22"/>
        </w:rPr>
        <w:t xml:space="preserve"> If fewer than three (3) qualified leads are captured by the AI integration during the first thirty (30) calendar days post-launch, TSD will, at TSD’s election: (a) refund the AI portion of the Phase II fee — the dollar amount to be agreed between TSD and Client based on the actual scope of the AI integration delivered, with both Parties acting in good faith — and (b) rebuild the AI integration free of additional charge, with Client retaining ownership of the existing build during the rebuild. Client must notify TSD in writing within fourteen (14) days after the end of the thirty-day post-launch window to invoke this clause.</w:t>
      </w:r>
    </w:p>
    <w:p>
      <w:pPr>
        <w:spacing w:after="160"/>
      </w:pPr>
      <w:r>
        <w:rPr>
          <w:b/>
          <w:bCs/>
          <w:sz w:val="22"/>
          <w:szCs w:val="22"/>
        </w:rPr>
        <w:t xml:space="preserve">Verification.</w:t>
      </w:r>
      <w:r>
        <w:rPr>
          <w:sz w:val="22"/>
          <w:szCs w:val="22"/>
        </w:rPr>
        <w:t xml:space="preserve"> Lead counts will be sourced from the AI integration’s call log or chat transcript export, which TSD will provide to Client on request. Disputes over what counts as a qualified lead are resolved in Client’s favor where reasonable doubt exists.</w:t>
      </w:r>
    </w:p>
    <w:p>
      <w:pPr>
        <w:spacing w:after="160" w:before="240"/>
      </w:pPr>
      <w:r>
        <w:rPr>
          <w:sz w:val="22"/>
          <w:szCs w:val="22"/>
        </w:rPr>
        <w:t xml:space="preserve">The guarantees in Sections 7.1, 7.2, and 7.3 operate in parallel. If multiple triggers fire on a single engagement, all applicable refunds are due. Section 7.1 (General Money-Back Guarantee) applies to all engagements regardless of whether Sections 7.2 or 7.3 are also operative.</w:t>
      </w:r>
    </w:p>
    <w:p>
      <w:pPr>
        <w:spacing w:after="140" w:before="320"/>
      </w:pPr>
      <w:r>
        <w:rPr>
          <w:b/>
          <w:bCs/>
          <w:sz w:val="26"/>
          <w:szCs w:val="26"/>
        </w:rPr>
        <w:t xml:space="preserve">8. Revisions</w:t>
      </w:r>
    </w:p>
    <w:p>
      <w:pPr>
        <w:spacing w:after="160"/>
      </w:pPr>
      <w:r>
        <w:rPr>
          <w:sz w:val="22"/>
          <w:szCs w:val="22"/>
        </w:rPr>
        <w:t xml:space="preserve">Two (2) rounds of revisions per major deliverable are included in the Total Project Fee. A “round of revisions” means a consolidated set of changes requested by Client following review of a milestone deliverable.</w:t>
      </w:r>
    </w:p>
    <w:p>
      <w:pPr>
        <w:spacing w:after="160"/>
      </w:pPr>
      <w:r>
        <w:rPr>
          <w:sz w:val="22"/>
          <w:szCs w:val="22"/>
        </w:rPr>
        <w:t xml:space="preserve">Additional revisions beyond the included rounds will be billed at $[XX]/hour. TSD will provide a written estimate before performing such work.</w:t>
      </w:r>
    </w:p>
    <w:p>
      <w:pPr>
        <w:spacing w:after="140" w:before="320"/>
      </w:pPr>
      <w:r>
        <w:rPr>
          <w:b/>
          <w:bCs/>
          <w:sz w:val="26"/>
          <w:szCs w:val="26"/>
        </w:rPr>
        <w:t xml:space="preserve">9. Client Responsibilities</w:t>
      </w:r>
    </w:p>
    <w:p>
      <w:pPr>
        <w:spacing w:after="160"/>
      </w:pPr>
      <w:r>
        <w:rPr>
          <w:sz w:val="22"/>
          <w:szCs w:val="22"/>
        </w:rPr>
        <w:t xml:space="preserve">Client agrees to:</w:t>
      </w:r>
    </w:p>
    <w:p>
      <w:pPr>
        <w:pStyle w:val="ListParagraph"/>
        <w:numPr>
          <w:ilvl w:val="0"/>
          <w:numId w:val="2"/>
        </w:numPr>
        <w:spacing w:after="80"/>
      </w:pPr>
      <w:r>
        <w:rPr>
          <w:sz w:val="22"/>
          <w:szCs w:val="22"/>
        </w:rPr>
        <w:t xml:space="preserve">Provide all required content, branding assets, and access credentials in a timely manner</w:t>
      </w:r>
    </w:p>
    <w:p>
      <w:pPr>
        <w:pStyle w:val="ListParagraph"/>
        <w:numPr>
          <w:ilvl w:val="0"/>
          <w:numId w:val="2"/>
        </w:numPr>
        <w:spacing w:after="80"/>
      </w:pPr>
      <w:r>
        <w:rPr>
          <w:sz w:val="22"/>
          <w:szCs w:val="22"/>
        </w:rPr>
        <w:t xml:space="preserve">Designate a primary point of contact authorized to approve deliverables on Client’s behalf</w:t>
      </w:r>
    </w:p>
    <w:p>
      <w:pPr>
        <w:pStyle w:val="ListParagraph"/>
        <w:numPr>
          <w:ilvl w:val="0"/>
          <w:numId w:val="2"/>
        </w:numPr>
        <w:spacing w:after="80"/>
      </w:pPr>
      <w:r>
        <w:rPr>
          <w:sz w:val="22"/>
          <w:szCs w:val="22"/>
        </w:rPr>
        <w:t xml:space="preserve">Respond to TSD’s requests, questions, and milestone deliverables within three (3) business days</w:t>
      </w:r>
    </w:p>
    <w:p>
      <w:pPr>
        <w:spacing w:after="160"/>
      </w:pPr>
      <w:r>
        <w:rPr>
          <w:sz w:val="22"/>
          <w:szCs w:val="22"/>
        </w:rPr>
        <w:t xml:space="preserve">Delays caused by Client’s failure to perform may extend the Estimated Handoff Date by a corresponding period.</w:t>
      </w:r>
    </w:p>
    <w:p>
      <w:pPr>
        <w:spacing w:after="140" w:before="320"/>
      </w:pPr>
      <w:r>
        <w:rPr>
          <w:b/>
          <w:bCs/>
          <w:sz w:val="26"/>
          <w:szCs w:val="26"/>
        </w:rPr>
        <w:t xml:space="preserve">10. Confidentiality</w:t>
      </w:r>
    </w:p>
    <w:p>
      <w:pPr>
        <w:spacing w:after="160"/>
      </w:pPr>
      <w:r>
        <w:rPr>
          <w:sz w:val="22"/>
          <w:szCs w:val="22"/>
        </w:rPr>
        <w:t xml:space="preserve">TSD will treat Client’s business information, credentials, and proprietary content as confidential, and will not disclose such information to third parties except as necessary to perform the Scope of Work or as required by law.</w:t>
      </w:r>
    </w:p>
    <w:p>
      <w:pPr>
        <w:spacing w:after="160"/>
      </w:pPr>
      <w:r>
        <w:rPr>
          <w:sz w:val="22"/>
          <w:szCs w:val="22"/>
        </w:rPr>
        <w:t xml:space="preserve">The Parties agree not to disclose the financial terms of this Agreement to third parties without prior written consent of the other Party, except as required by law or to professional advisors who are bound by confidentiality.</w:t>
      </w:r>
    </w:p>
    <w:p>
      <w:pPr>
        <w:spacing w:after="140" w:before="320"/>
      </w:pPr>
      <w:r>
        <w:rPr>
          <w:b/>
          <w:bCs/>
          <w:sz w:val="26"/>
          <w:szCs w:val="26"/>
        </w:rPr>
        <w:t xml:space="preserve">11. Term &amp; Termination</w:t>
      </w:r>
    </w:p>
    <w:p>
      <w:pPr>
        <w:spacing w:after="160"/>
      </w:pPr>
      <w:r>
        <w:rPr>
          <w:sz w:val="22"/>
          <w:szCs w:val="22"/>
        </w:rPr>
        <w:t xml:space="preserve">This Agreement begins on the Effective Date and continues until Handoff and final payment are complete, or until terminated under this Section.</w:t>
      </w:r>
    </w:p>
    <w:p>
      <w:pPr>
        <w:spacing w:after="160"/>
      </w:pPr>
      <w:r>
        <w:rPr>
          <w:sz w:val="22"/>
          <w:szCs w:val="22"/>
        </w:rPr>
        <w:t xml:space="preserve">Either Party may terminate this Agreement for cause upon seven (7) days’ written notice if the other Party materially breaches this Agreement and fails to cure the breach within the notice period.</w:t>
      </w:r>
    </w:p>
    <w:p>
      <w:pPr>
        <w:spacing w:after="160"/>
      </w:pPr>
      <w:r>
        <w:rPr>
          <w:sz w:val="22"/>
          <w:szCs w:val="22"/>
        </w:rPr>
        <w:t xml:space="preserve">If Client terminates without cause, the Deposit is non-refundable. If TSD terminates without cause, the Deposit is refunded to Client in full within seven (7) days of termination.</w:t>
      </w:r>
    </w:p>
    <w:p>
      <w:pPr>
        <w:spacing w:after="140" w:before="320"/>
      </w:pPr>
      <w:r>
        <w:rPr>
          <w:b/>
          <w:bCs/>
          <w:sz w:val="26"/>
          <w:szCs w:val="26"/>
        </w:rPr>
        <w:t xml:space="preserve">12. Limitation of Liability</w:t>
      </w:r>
    </w:p>
    <w:p>
      <w:pPr>
        <w:spacing w:after="160"/>
      </w:pPr>
      <w:r>
        <w:rPr>
          <w:sz w:val="22"/>
          <w:szCs w:val="22"/>
        </w:rPr>
        <w:t xml:space="preserve">To the maximum extent permitted by law, TSD’s total cumulative liability under this Agreement, whether in contract, tort, or otherwise, shall not exceed the total amount of fees paid by Client to TSD under this Agreement.</w:t>
      </w:r>
    </w:p>
    <w:p>
      <w:pPr>
        <w:spacing w:after="160"/>
      </w:pPr>
      <w:r>
        <w:rPr>
          <w:sz w:val="22"/>
          <w:szCs w:val="22"/>
        </w:rPr>
        <w:t xml:space="preserve">In no event shall either Party be liable to the other for any indirect, incidental, consequential, or punitive damages.</w:t>
      </w:r>
    </w:p>
    <w:p>
      <w:pPr>
        <w:spacing w:after="140" w:before="320"/>
      </w:pPr>
      <w:r>
        <w:rPr>
          <w:b/>
          <w:bCs/>
          <w:sz w:val="26"/>
          <w:szCs w:val="26"/>
        </w:rPr>
        <w:t xml:space="preserve">13. Independent Contractor</w:t>
      </w:r>
    </w:p>
    <w:p>
      <w:pPr>
        <w:spacing w:after="160"/>
      </w:pPr>
      <w:r>
        <w:rPr>
          <w:sz w:val="22"/>
          <w:szCs w:val="22"/>
        </w:rPr>
        <w:t xml:space="preserve">TSD performs services under this Agreement as an independent contractor. Nothing in this Agreement shall be construed as creating an employment, partnership, joint venture, or agency relationship between the Parties.</w:t>
      </w:r>
    </w:p>
    <w:p>
      <w:pPr>
        <w:spacing w:after="140" w:before="320"/>
      </w:pPr>
      <w:r>
        <w:rPr>
          <w:b/>
          <w:bCs/>
          <w:sz w:val="26"/>
          <w:szCs w:val="26"/>
        </w:rPr>
        <w:t xml:space="preserve">14. Governing Law</w:t>
      </w:r>
    </w:p>
    <w:p>
      <w:pPr>
        <w:spacing w:after="160"/>
      </w:pPr>
      <w:r>
        <w:rPr>
          <w:sz w:val="22"/>
          <w:szCs w:val="22"/>
        </w:rPr>
        <w:t xml:space="preserve">This Agreement shall be governed by and construed in accordance with the laws of the State of North Carolina, without regard to its conflict-of-laws principles. The Parties consent to the exclusive jurisdiction of the state and federal courts located in Mecklenburg County or Gaston County, North Carolina, for resolution of any disputes arising under this Agreement.</w:t>
      </w:r>
    </w:p>
    <w:p>
      <w:pPr>
        <w:spacing w:after="140" w:before="320"/>
      </w:pPr>
      <w:r>
        <w:rPr>
          <w:b/>
          <w:bCs/>
          <w:sz w:val="26"/>
          <w:szCs w:val="26"/>
        </w:rPr>
        <w:t xml:space="preserve">15. Entire Agreement</w:t>
      </w:r>
    </w:p>
    <w:p>
      <w:pPr>
        <w:spacing w:after="160"/>
      </w:pPr>
      <w:r>
        <w:rPr>
          <w:sz w:val="22"/>
          <w:szCs w:val="22"/>
        </w:rPr>
        <w:t xml:space="preserve">This Agreement, together with any addenda or written amendments executed by both Parties, constitutes the entire agreement between the Parties with respect to its subject matter and supersedes all prior or contemporaneous understandings, written or oral. Modifications to this Agreement must be in writing and signed by an authorized representative of each Party.</w:t>
      </w:r>
    </w:p>
    <w:p>
      <w:pPr>
        <w:spacing w:after="120"/>
      </w:pPr>
      <w:r>
        <w:t xml:space="preserve"/>
      </w:r>
    </w:p>
    <w:p>
      <w:pPr>
        <w:spacing w:after="200" w:before="480"/>
      </w:pPr>
      <w:r>
        <w:rPr>
          <w:b/>
          <w:bCs/>
          <w:sz w:val="26"/>
          <w:szCs w:val="26"/>
        </w:rPr>
        <w:t xml:space="preserve">Signatures</w:t>
      </w:r>
    </w:p>
    <w:p>
      <w:pPr>
        <w:spacing w:after="160"/>
      </w:pPr>
      <w:r>
        <w:rPr>
          <w:sz w:val="22"/>
          <w:szCs w:val="22"/>
        </w:rPr>
        <w:t xml:space="preserve">The Parties have executed this Agreement as of the Effective Date set forth above.</w:t>
      </w:r>
    </w:p>
    <w:p>
      <w:pPr>
        <w:spacing w:after="160"/>
      </w:pPr>
      <w:r>
        <w:t xml:space="preserve"/>
      </w:r>
    </w:p>
    <w:p>
      <w:pPr>
        <w:spacing w:after="240"/>
      </w:pPr>
      <w:r>
        <w:rPr>
          <w:b/>
          <w:bCs/>
          <w:sz w:val="22"/>
          <w:szCs w:val="22"/>
        </w:rPr>
        <w:t xml:space="preserve">TSD Ventures, LLC</w:t>
      </w:r>
    </w:p>
    <w:p>
      <w:pPr>
        <w:spacing w:after="160"/>
      </w:pPr>
      <w:r>
        <w:rPr>
          <w:sz w:val="22"/>
          <w:szCs w:val="22"/>
        </w:rPr>
        <w:t xml:space="preserve">Signature: _____________________________________________</w:t>
      </w:r>
    </w:p>
    <w:p>
      <w:pPr>
        <w:spacing w:after="160"/>
      </w:pPr>
      <w:r>
        <w:rPr>
          <w:sz w:val="22"/>
          <w:szCs w:val="22"/>
        </w:rPr>
        <w:t xml:space="preserve">Name: [TSD AUTHORIZED SIGNATORY]</w:t>
      </w:r>
    </w:p>
    <w:p>
      <w:pPr>
        <w:spacing w:after="160"/>
      </w:pPr>
      <w:r>
        <w:rPr>
          <w:sz w:val="22"/>
          <w:szCs w:val="22"/>
        </w:rPr>
        <w:t xml:space="preserve">Title: [TITLE]</w:t>
      </w:r>
    </w:p>
    <w:p>
      <w:pPr>
        <w:spacing w:after="160"/>
      </w:pPr>
      <w:r>
        <w:rPr>
          <w:sz w:val="22"/>
          <w:szCs w:val="22"/>
        </w:rPr>
        <w:t xml:space="preserve">Date: ______________________</w:t>
      </w:r>
    </w:p>
    <w:p>
      <w:pPr>
        <w:spacing w:after="240"/>
      </w:pPr>
      <w:r>
        <w:t xml:space="preserve"/>
      </w:r>
    </w:p>
    <w:p>
      <w:pPr>
        <w:spacing w:after="240"/>
      </w:pPr>
      <w:r>
        <w:t xml:space="preserve"/>
      </w:r>
    </w:p>
    <w:p>
      <w:pPr>
        <w:spacing w:after="240"/>
      </w:pPr>
      <w:r>
        <w:rPr>
          <w:b/>
          <w:bCs/>
          <w:sz w:val="22"/>
          <w:szCs w:val="22"/>
        </w:rPr>
        <w:t xml:space="preserve">[CLIENT BUSINESS NAME]</w:t>
      </w:r>
    </w:p>
    <w:p>
      <w:pPr>
        <w:spacing w:after="160"/>
      </w:pPr>
      <w:r>
        <w:rPr>
          <w:sz w:val="22"/>
          <w:szCs w:val="22"/>
        </w:rPr>
        <w:t xml:space="preserve">Signature: _____________________________________________</w:t>
      </w:r>
    </w:p>
    <w:p>
      <w:pPr>
        <w:spacing w:after="160"/>
      </w:pPr>
      <w:r>
        <w:rPr>
          <w:sz w:val="22"/>
          <w:szCs w:val="22"/>
        </w:rPr>
        <w:t xml:space="preserve">Name: [CLIENT NAME]</w:t>
      </w:r>
    </w:p>
    <w:p>
      <w:pPr>
        <w:spacing w:after="160"/>
      </w:pPr>
      <w:r>
        <w:rPr>
          <w:sz w:val="22"/>
          <w:szCs w:val="22"/>
        </w:rPr>
        <w:t xml:space="preserve">Title: [CLIENT TITLE]</w:t>
      </w:r>
    </w:p>
    <w:p>
      <w:pPr>
        <w:spacing w:after="160"/>
      </w:pPr>
      <w:r>
        <w:rPr>
          <w:sz w:val="22"/>
          <w:szCs w:val="22"/>
        </w:rPr>
        <w:t xml:space="preserve">Date: ______________________</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TSD Ventures, LLC — Agreement of Work    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color w:val="888888"/>
        <w:sz w:val="18"/>
        <w:szCs w:val="18"/>
      </w:rPr>
      <w:t xml:space="preserve">TEMPLATE — review with NC-licensed business attorney before use. Replace [BRACKETED PLACEHOLDERS] before sending to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2026-04-26T15:44:59.755Z</dcterms:created>
  <dcterms:modified xsi:type="dcterms:W3CDTF">2026-04-26T15:44:59.759Z</dcterms:modified>
</cp:coreProperties>
</file>

<file path=docProps/custom.xml><?xml version="1.0" encoding="utf-8"?>
<Properties xmlns="http://schemas.openxmlformats.org/officeDocument/2006/custom-properties" xmlns:vt="http://schemas.openxmlformats.org/officeDocument/2006/docPropsVTypes"/>
</file>