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4"/>
          <w:szCs w:val="44"/>
        </w:rPr>
        <w:t xml:space="preserve">AGREEMENT OF WORK</w:t>
      </w:r>
    </w:p>
    <w:p>
      <w:pPr>
        <w:spacing w:after="480"/>
        <w:jc w:val="center"/>
      </w:pPr>
      <w:r>
        <w:rPr>
          <w:sz w:val="22"/>
          <w:szCs w:val="22"/>
        </w:rPr>
        <w:t xml:space="preserve">Effective Date: [DATE]</w:t>
      </w:r>
    </w:p>
    <w:p>
      <w:pPr>
        <w:spacing w:after="160"/>
      </w:pPr>
      <w:r>
        <w:rPr>
          <w:sz w:val="22"/>
          <w:szCs w:val="22"/>
        </w:rPr>
        <w:t xml:space="preserve">This Agreement of Work (the “Agreement”) is entered into as of the Effective Date by and between:</w:t>
      </w:r>
    </w:p>
    <w:p>
      <w:pPr>
        <w:spacing w:after="100"/>
        <w:ind w:left="360"/>
      </w:pPr>
      <w:r>
        <w:rPr>
          <w:b/>
          <w:bCs/>
          <w:sz w:val="22"/>
          <w:szCs w:val="22"/>
        </w:rPr>
        <w:t xml:space="preserve">TSD Ventures, LLC</w:t>
      </w:r>
      <w:r>
        <w:rPr>
          <w:sz w:val="22"/>
          <w:szCs w:val="22"/>
        </w:rPr>
        <w:t xml:space="preserve">, a North Carolina limited liability company operating the TSD Modernization Solutions brand (“TSD”), and</w:t>
      </w:r>
    </w:p>
    <w:p>
      <w:pPr>
        <w:spacing w:after="280"/>
        <w:ind w:left="360"/>
      </w:pPr>
      <w:r>
        <w:rPr>
          <w:b/>
          <w:bCs/>
          <w:sz w:val="22"/>
          <w:szCs w:val="22"/>
        </w:rPr>
        <w:t xml:space="preserve">[CLIENT BUSINESS NAME]</w:t>
      </w:r>
      <w:r>
        <w:rPr>
          <w:sz w:val="22"/>
          <w:szCs w:val="22"/>
        </w:rPr>
        <w:t xml:space="preserve"> (the “Client”).</w:t>
      </w:r>
    </w:p>
    <w:p>
      <w:pPr>
        <w:spacing w:after="240"/>
      </w:pPr>
      <w:r>
        <w:rPr>
          <w:i/>
          <w:iCs/>
          <w:sz w:val="22"/>
          <w:szCs w:val="22"/>
        </w:rPr>
        <w:t xml:space="preserve">TSD and Client may be referred to individually as a “Party” and collectively as the “Parties.”</w:t>
      </w:r>
    </w:p>
    <w:p>
      <w:pPr>
        <w:spacing w:after="140" w:before="320"/>
      </w:pPr>
      <w:r>
        <w:rPr>
          <w:b/>
          <w:bCs/>
          <w:sz w:val="26"/>
          <w:szCs w:val="26"/>
        </w:rPr>
        <w:t xml:space="preserve">1. Scope of Work</w:t>
      </w:r>
    </w:p>
    <w:p>
      <w:pPr>
        <w:spacing w:after="160"/>
      </w:pPr>
      <w:r>
        <w:rPr>
          <w:sz w:val="22"/>
          <w:szCs w:val="22"/>
        </w:rPr>
        <w:t xml:space="preserve">TSD agrees to deliver the following scope of work for Client:</w:t>
      </w:r>
    </w:p>
    <w:p>
      <w:pPr>
        <w:spacing w:after="160"/>
      </w:pPr>
      <w:r>
        <w:rPr>
          <w:sz w:val="22"/>
          <w:szCs w:val="22"/>
        </w:rPr>
        <w:t xml:space="preserve">[Insert specific deliverables here. Examples: 5-page custom React/Next.js website; AI chatbot integration trained on Client’s services and FAQs; on-page SEO and analytics wiring; written and video handoff documentation.]</w:t>
      </w:r>
    </w:p>
    <w:p>
      <w:pPr>
        <w:spacing w:after="160"/>
      </w:pPr>
      <w:r>
        <w:rPr>
          <w:sz w:val="22"/>
          <w:szCs w:val="22"/>
        </w:rPr>
        <w:t xml:space="preserve">The full scope of work is described in this Section and may be supplemented only by a written addendum signed by both Parties.</w:t>
      </w:r>
    </w:p>
    <w:p>
      <w:pPr>
        <w:spacing w:after="140" w:before="320"/>
      </w:pPr>
      <w:r>
        <w:rPr>
          <w:b/>
          <w:bCs/>
          <w:sz w:val="26"/>
          <w:szCs w:val="26"/>
        </w:rPr>
        <w:t xml:space="preserve">2. Timeline</w:t>
      </w:r>
    </w:p>
    <w:p>
      <w:pPr>
        <w:spacing w:after="160"/>
      </w:pPr>
      <w:r>
        <w:rPr>
          <w:sz w:val="22"/>
          <w:szCs w:val="22"/>
        </w:rPr>
        <w:t xml:space="preserve">Kickoff Date: [DATE]</w:t>
      </w:r>
    </w:p>
    <w:p>
      <w:pPr>
        <w:spacing w:after="160"/>
      </w:pPr>
      <w:r>
        <w:rPr>
          <w:sz w:val="22"/>
          <w:szCs w:val="22"/>
        </w:rPr>
        <w:t xml:space="preserve">Estimated Handoff Date: [DATE]</w:t>
      </w:r>
    </w:p>
    <w:p>
      <w:pPr>
        <w:spacing w:after="160"/>
      </w:pPr>
      <w:r>
        <w:rPr>
          <w:sz w:val="22"/>
          <w:szCs w:val="22"/>
        </w:rPr>
        <w:t xml:space="preserve">All project work shall be completed and handed off no later than August 10, 2026 — the end of TSD’s 2026 summer operating window. Post-handoff support is described in Section 6.</w:t>
      </w:r>
    </w:p>
    <w:p>
      <w:pPr>
        <w:spacing w:after="140" w:before="320"/>
      </w:pPr>
      <w:r>
        <w:rPr>
          <w:b/>
          <w:bCs/>
          <w:sz w:val="26"/>
          <w:szCs w:val="26"/>
        </w:rPr>
        <w:t xml:space="preserve">3. Fees &amp; Payment</w:t>
      </w:r>
    </w:p>
    <w:p>
      <w:pPr>
        <w:spacing w:after="160"/>
      </w:pPr>
      <w:r>
        <w:rPr>
          <w:b/>
          <w:bCs/>
          <w:sz w:val="22"/>
          <w:szCs w:val="22"/>
        </w:rPr>
        <w:t xml:space="preserve">Total Project Fee: </w:t>
      </w:r>
      <w:r>
        <w:rPr>
          <w:sz w:val="22"/>
          <w:szCs w:val="22"/>
        </w:rPr>
        <w:t xml:space="preserve">$[AMOUNT]</w:t>
      </w:r>
    </w:p>
    <w:p>
      <w:pPr>
        <w:pStyle w:val="ListParagraph"/>
        <w:numPr>
          <w:ilvl w:val="0"/>
          <w:numId w:val="2"/>
        </w:numPr>
        <w:spacing w:after="80"/>
      </w:pPr>
      <w:r>
        <w:rPr>
          <w:sz w:val="22"/>
          <w:szCs w:val="22"/>
        </w:rPr>
        <w:t xml:space="preserve">Deposit (30%): $[X], due upon execution of this Agreement.</w:t>
      </w:r>
    </w:p>
    <w:p>
      <w:pPr>
        <w:pStyle w:val="ListParagraph"/>
        <w:numPr>
          <w:ilvl w:val="0"/>
          <w:numId w:val="2"/>
        </w:numPr>
        <w:spacing w:after="80"/>
      </w:pPr>
      <w:r>
        <w:rPr>
          <w:sz w:val="22"/>
          <w:szCs w:val="22"/>
        </w:rPr>
        <w:t xml:space="preserve">Balance (70%): $[Y], due upon Handoff.</w:t>
      </w:r>
    </w:p>
    <w:p>
      <w:pPr>
        <w:spacing w:after="160"/>
      </w:pPr>
      <w:r>
        <w:rPr>
          <w:sz w:val="22"/>
          <w:szCs w:val="22"/>
        </w:rPr>
        <w:t xml:space="preserve">Accepted payment methods: check, ACH transfer, Zelle, or Venmo. Other methods may be accepted at TSD’s discretion.</w:t>
      </w:r>
    </w:p>
    <w:p>
      <w:pPr>
        <w:spacing w:after="160"/>
      </w:pPr>
      <w:r>
        <w:rPr>
          <w:sz w:val="22"/>
          <w:szCs w:val="22"/>
        </w:rPr>
        <w:t xml:space="preserve">Amounts unpaid more than fourteen (14) days after the due date accrue a late fee of [1.5%] per month or the maximum rate allowed under North Carolina law, whichever is lower.</w:t>
      </w:r>
    </w:p>
    <w:p>
      <w:pPr>
        <w:spacing w:after="140" w:before="320"/>
      </w:pPr>
      <w:r>
        <w:rPr>
          <w:b/>
          <w:bCs/>
          <w:sz w:val="26"/>
          <w:szCs w:val="26"/>
        </w:rPr>
        <w:t xml:space="preserve">4. Deliverables</w:t>
      </w:r>
    </w:p>
    <w:p>
      <w:pPr>
        <w:spacing w:after="160"/>
      </w:pPr>
      <w:r>
        <w:rPr>
          <w:sz w:val="22"/>
          <w:szCs w:val="22"/>
        </w:rPr>
        <w:t xml:space="preserve">Upon Handoff, TSD will deliver to Client:</w:t>
      </w:r>
    </w:p>
    <w:p>
      <w:pPr>
        <w:pStyle w:val="ListParagraph"/>
        <w:numPr>
          <w:ilvl w:val="0"/>
          <w:numId w:val="2"/>
        </w:numPr>
        <w:spacing w:after="80"/>
      </w:pPr>
      <w:r>
        <w:rPr>
          <w:sz w:val="22"/>
          <w:szCs w:val="22"/>
        </w:rPr>
        <w:t xml:space="preserve">All source code and design files for the Scope of Work</w:t>
      </w:r>
    </w:p>
    <w:p>
      <w:pPr>
        <w:pStyle w:val="ListParagraph"/>
        <w:numPr>
          <w:ilvl w:val="0"/>
          <w:numId w:val="2"/>
        </w:numPr>
        <w:spacing w:after="80"/>
      </w:pPr>
      <w:r>
        <w:rPr>
          <w:sz w:val="22"/>
          <w:szCs w:val="22"/>
        </w:rPr>
        <w:t xml:space="preserve">Written and video handoff documentation</w:t>
      </w:r>
    </w:p>
    <w:p>
      <w:pPr>
        <w:pStyle w:val="ListParagraph"/>
        <w:numPr>
          <w:ilvl w:val="0"/>
          <w:numId w:val="2"/>
        </w:numPr>
        <w:spacing w:after="80"/>
      </w:pPr>
      <w:r>
        <w:rPr>
          <w:sz w:val="22"/>
          <w:szCs w:val="22"/>
        </w:rPr>
        <w:t xml:space="preserve">Access credentials for any third-party services provisioned for Client</w:t>
      </w:r>
    </w:p>
    <w:p>
      <w:pPr>
        <w:pStyle w:val="ListParagraph"/>
        <w:numPr>
          <w:ilvl w:val="0"/>
          <w:numId w:val="2"/>
        </w:numPr>
        <w:spacing w:after="80"/>
      </w:pPr>
      <w:r>
        <w:rPr>
          <w:sz w:val="22"/>
          <w:szCs w:val="22"/>
        </w:rPr>
        <w:t xml:space="preserve">A live training session for Client or Client’s designated representative</w:t>
      </w:r>
    </w:p>
    <w:p>
      <w:pPr>
        <w:spacing w:after="160"/>
      </w:pPr>
      <w:r>
        <w:rPr>
          <w:sz w:val="22"/>
          <w:szCs w:val="22"/>
        </w:rPr>
        <w:t xml:space="preserve">The specific items above are governed by the Scope of Work in Section 1.</w:t>
      </w:r>
    </w:p>
    <w:p>
      <w:pPr>
        <w:spacing w:after="140" w:before="320"/>
      </w:pPr>
      <w:r>
        <w:rPr>
          <w:b/>
          <w:bCs/>
          <w:sz w:val="26"/>
          <w:szCs w:val="26"/>
        </w:rPr>
        <w:t xml:space="preserve">5. Source Code &amp; Ownership</w:t>
      </w:r>
    </w:p>
    <w:p>
      <w:pPr>
        <w:spacing w:after="160"/>
      </w:pPr>
      <w:r>
        <w:rPr>
          <w:sz w:val="22"/>
          <w:szCs w:val="22"/>
        </w:rPr>
        <w:t xml:space="preserve">At Handoff, and upon Client’s payment of the full Total Project Fee, all source code, design files, written content, and access credentials produced under this Agreement transfer to Client. The deployment infrastructure (GitHub repository and Vercel project) is provisioned in Client’s name or transferred to Client at Handoff. Client owns and is responsible for the project domain.</w:t>
      </w:r>
    </w:p>
    <w:p>
      <w:pPr>
        <w:spacing w:after="160"/>
      </w:pPr>
      <w:r>
        <w:rPr>
          <w:sz w:val="22"/>
          <w:szCs w:val="22"/>
        </w:rPr>
        <w:t xml:space="preserve">TSD retains the right to reference the engagement in its portfolio and case studies, subject to Client’s reasonable approval of any specific public-facing description.</w:t>
      </w:r>
    </w:p>
    <w:p>
      <w:pPr>
        <w:spacing w:after="140" w:before="320"/>
      </w:pPr>
      <w:r>
        <w:rPr>
          <w:b/>
          <w:bCs/>
          <w:sz w:val="26"/>
          <w:szCs w:val="26"/>
        </w:rPr>
        <w:t xml:space="preserve">6. Post-Handoff Support</w:t>
      </w:r>
    </w:p>
    <w:p>
      <w:pPr>
        <w:spacing w:after="160"/>
      </w:pPr>
      <w:r>
        <w:rPr>
          <w:sz w:val="22"/>
          <w:szCs w:val="22"/>
        </w:rPr>
        <w:t xml:space="preserve">One TSD founder will remain on call for bugs and fixes through August 31, 2026, at no additional cost to Client beyond the Total Project Fee.</w:t>
      </w:r>
    </w:p>
    <w:p>
      <w:pPr>
        <w:spacing w:after="160"/>
      </w:pPr>
      <w:r>
        <w:rPr>
          <w:sz w:val="22"/>
          <w:szCs w:val="22"/>
        </w:rPr>
        <w:t xml:space="preserve">TSD will conduct a live training session at Handoff and link Client’s Claude account to Client’s GitHub repository, enabling Client (or Client’s designee) to perform self-service updates by sharing screenshots and instructions with Claude.</w:t>
      </w:r>
    </w:p>
    <w:p>
      <w:pPr>
        <w:spacing w:after="160"/>
      </w:pPr>
      <w:r>
        <w:rPr>
          <w:sz w:val="22"/>
          <w:szCs w:val="22"/>
        </w:rPr>
        <w:t xml:space="preserve">After August 31, 2026, TSD’s operational engagement under this Agreement concludes. Subsequent engagements may be arranged separately.</w:t>
      </w:r>
    </w:p>
    <w:p>
      <w:pPr>
        <w:spacing w:after="140" w:before="320"/>
      </w:pPr>
      <w:r>
        <w:rPr>
          <w:b/>
          <w:bCs/>
          <w:sz w:val="26"/>
          <w:szCs w:val="26"/>
        </w:rPr>
        <w:t xml:space="preserve">7. Money-Back Guarantee</w:t>
      </w:r>
    </w:p>
    <w:p>
      <w:pPr>
        <w:spacing w:after="160"/>
      </w:pPr>
      <w:r>
        <w:rPr>
          <w:sz w:val="22"/>
          <w:szCs w:val="22"/>
        </w:rPr>
        <w:t xml:space="preserve">If TSD does not deliver the Scope of Work deliverables, or delivers them materially non-functional, Client may request a full refund in writing within seven (7) days of Handoff. TSD will issue any approved refund within seven (7) days of acknowledging Client’s request.</w:t>
      </w:r>
    </w:p>
    <w:p>
      <w:pPr>
        <w:spacing w:after="160"/>
      </w:pPr>
      <w:r>
        <w:rPr>
          <w:sz w:val="22"/>
          <w:szCs w:val="22"/>
        </w:rPr>
        <w:t xml:space="preserve">Stylistic preferences or change requests expressed after Client’s written sign-off on milestone deliverables do not constitute “failure to deliver” for purposes of this Section. Such requests may be addressed under Section 8 (Revisions).</w:t>
      </w:r>
    </w:p>
    <w:p>
      <w:pPr>
        <w:spacing w:after="140" w:before="320"/>
      </w:pPr>
      <w:r>
        <w:rPr>
          <w:b/>
          <w:bCs/>
          <w:sz w:val="26"/>
          <w:szCs w:val="26"/>
        </w:rPr>
        <w:t xml:space="preserve">8. Revisions</w:t>
      </w:r>
    </w:p>
    <w:p>
      <w:pPr>
        <w:spacing w:after="160"/>
      </w:pPr>
      <w:r>
        <w:rPr>
          <w:sz w:val="22"/>
          <w:szCs w:val="22"/>
        </w:rPr>
        <w:t xml:space="preserve">Two (2) rounds of revisions per major deliverable are included in the Total Project Fee. A “round of revisions” means a consolidated set of changes requested by Client following review of a milestone deliverable.</w:t>
      </w:r>
    </w:p>
    <w:p>
      <w:pPr>
        <w:spacing w:after="160"/>
      </w:pPr>
      <w:r>
        <w:rPr>
          <w:sz w:val="22"/>
          <w:szCs w:val="22"/>
        </w:rPr>
        <w:t xml:space="preserve">Additional revisions beyond the included rounds will be billed at $[XX]/hour. TSD will provide a written estimate before performing such work.</w:t>
      </w:r>
    </w:p>
    <w:p>
      <w:pPr>
        <w:spacing w:after="140" w:before="320"/>
      </w:pPr>
      <w:r>
        <w:rPr>
          <w:b/>
          <w:bCs/>
          <w:sz w:val="26"/>
          <w:szCs w:val="26"/>
        </w:rPr>
        <w:t xml:space="preserve">9. Client Responsibilities</w:t>
      </w:r>
    </w:p>
    <w:p>
      <w:pPr>
        <w:spacing w:after="160"/>
      </w:pPr>
      <w:r>
        <w:rPr>
          <w:sz w:val="22"/>
          <w:szCs w:val="22"/>
        </w:rPr>
        <w:t xml:space="preserve">Client agrees to:</w:t>
      </w:r>
    </w:p>
    <w:p>
      <w:pPr>
        <w:pStyle w:val="ListParagraph"/>
        <w:numPr>
          <w:ilvl w:val="0"/>
          <w:numId w:val="2"/>
        </w:numPr>
        <w:spacing w:after="80"/>
      </w:pPr>
      <w:r>
        <w:rPr>
          <w:sz w:val="22"/>
          <w:szCs w:val="22"/>
        </w:rPr>
        <w:t xml:space="preserve">Provide all required content, branding assets, and access credentials in a timely manner</w:t>
      </w:r>
    </w:p>
    <w:p>
      <w:pPr>
        <w:pStyle w:val="ListParagraph"/>
        <w:numPr>
          <w:ilvl w:val="0"/>
          <w:numId w:val="2"/>
        </w:numPr>
        <w:spacing w:after="80"/>
      </w:pPr>
      <w:r>
        <w:rPr>
          <w:sz w:val="22"/>
          <w:szCs w:val="22"/>
        </w:rPr>
        <w:t xml:space="preserve">Designate a primary point of contact authorized to approve deliverables on Client’s behalf</w:t>
      </w:r>
    </w:p>
    <w:p>
      <w:pPr>
        <w:pStyle w:val="ListParagraph"/>
        <w:numPr>
          <w:ilvl w:val="0"/>
          <w:numId w:val="2"/>
        </w:numPr>
        <w:spacing w:after="80"/>
      </w:pPr>
      <w:r>
        <w:rPr>
          <w:sz w:val="22"/>
          <w:szCs w:val="22"/>
        </w:rPr>
        <w:t xml:space="preserve">Respond to TSD’s requests, questions, and milestone deliverables within three (3) business days</w:t>
      </w:r>
    </w:p>
    <w:p>
      <w:pPr>
        <w:spacing w:after="160"/>
      </w:pPr>
      <w:r>
        <w:rPr>
          <w:sz w:val="22"/>
          <w:szCs w:val="22"/>
        </w:rPr>
        <w:t xml:space="preserve">Delays caused by Client’s failure to perform may extend the Estimated Handoff Date by a corresponding period.</w:t>
      </w:r>
    </w:p>
    <w:p>
      <w:pPr>
        <w:spacing w:after="140" w:before="320"/>
      </w:pPr>
      <w:r>
        <w:rPr>
          <w:b/>
          <w:bCs/>
          <w:sz w:val="26"/>
          <w:szCs w:val="26"/>
        </w:rPr>
        <w:t xml:space="preserve">10. Confidentiality</w:t>
      </w:r>
    </w:p>
    <w:p>
      <w:pPr>
        <w:spacing w:after="160"/>
      </w:pPr>
      <w:r>
        <w:rPr>
          <w:sz w:val="22"/>
          <w:szCs w:val="22"/>
        </w:rPr>
        <w:t xml:space="preserve">TSD will treat Client’s business information, credentials, and proprietary content as confidential, and will not disclose such information to third parties except as necessary to perform the Scope of Work or as required by law.</w:t>
      </w:r>
    </w:p>
    <w:p>
      <w:pPr>
        <w:spacing w:after="160"/>
      </w:pPr>
      <w:r>
        <w:rPr>
          <w:sz w:val="22"/>
          <w:szCs w:val="22"/>
        </w:rPr>
        <w:t xml:space="preserve">The Parties agree not to disclose the financial terms of this Agreement to third parties without prior written consent of the other Party, except as required by law or to professional advisors who are bound by confidentiality.</w:t>
      </w:r>
    </w:p>
    <w:p>
      <w:pPr>
        <w:spacing w:after="140" w:before="320"/>
      </w:pPr>
      <w:r>
        <w:rPr>
          <w:b/>
          <w:bCs/>
          <w:sz w:val="26"/>
          <w:szCs w:val="26"/>
        </w:rPr>
        <w:t xml:space="preserve">11. Term &amp; Termination</w:t>
      </w:r>
    </w:p>
    <w:p>
      <w:pPr>
        <w:spacing w:after="160"/>
      </w:pPr>
      <w:r>
        <w:rPr>
          <w:sz w:val="22"/>
          <w:szCs w:val="22"/>
        </w:rPr>
        <w:t xml:space="preserve">This Agreement begins on the Effective Date and continues until Handoff and final payment are complete, or until terminated under this Section.</w:t>
      </w:r>
    </w:p>
    <w:p>
      <w:pPr>
        <w:spacing w:after="160"/>
      </w:pPr>
      <w:r>
        <w:rPr>
          <w:sz w:val="22"/>
          <w:szCs w:val="22"/>
        </w:rPr>
        <w:t xml:space="preserve">Either Party may terminate this Agreement for cause upon seven (7) days’ written notice if the other Party materially breaches this Agreement and fails to cure the breach within the notice period.</w:t>
      </w:r>
    </w:p>
    <w:p>
      <w:pPr>
        <w:spacing w:after="160"/>
      </w:pPr>
      <w:r>
        <w:rPr>
          <w:sz w:val="22"/>
          <w:szCs w:val="22"/>
        </w:rPr>
        <w:t xml:space="preserve">If Client terminates without cause, the Deposit is non-refundable. If TSD terminates without cause, the Deposit is refunded to Client in full within seven (7) days of termination.</w:t>
      </w:r>
    </w:p>
    <w:p>
      <w:pPr>
        <w:spacing w:after="140" w:before="320"/>
      </w:pPr>
      <w:r>
        <w:rPr>
          <w:b/>
          <w:bCs/>
          <w:sz w:val="26"/>
          <w:szCs w:val="26"/>
        </w:rPr>
        <w:t xml:space="preserve">12. Limitation of Liability</w:t>
      </w:r>
    </w:p>
    <w:p>
      <w:pPr>
        <w:spacing w:after="160"/>
      </w:pPr>
      <w:r>
        <w:rPr>
          <w:sz w:val="22"/>
          <w:szCs w:val="22"/>
        </w:rPr>
        <w:t xml:space="preserve">To the maximum extent permitted by law, TSD’s total cumulative liability under this Agreement, whether in contract, tort, or otherwise, shall not exceed the total amount of fees paid by Client to TSD under this Agreement.</w:t>
      </w:r>
    </w:p>
    <w:p>
      <w:pPr>
        <w:spacing w:after="160"/>
      </w:pPr>
      <w:r>
        <w:rPr>
          <w:sz w:val="22"/>
          <w:szCs w:val="22"/>
        </w:rPr>
        <w:t xml:space="preserve">In no event shall either Party be liable to the other for any indirect, incidental, consequential, or punitive damages.</w:t>
      </w:r>
    </w:p>
    <w:p>
      <w:pPr>
        <w:spacing w:after="140" w:before="320"/>
      </w:pPr>
      <w:r>
        <w:rPr>
          <w:b/>
          <w:bCs/>
          <w:sz w:val="26"/>
          <w:szCs w:val="26"/>
        </w:rPr>
        <w:t xml:space="preserve">13. Independent Contractor</w:t>
      </w:r>
    </w:p>
    <w:p>
      <w:pPr>
        <w:spacing w:after="160"/>
      </w:pPr>
      <w:r>
        <w:rPr>
          <w:sz w:val="22"/>
          <w:szCs w:val="22"/>
        </w:rPr>
        <w:t xml:space="preserve">TSD performs services under this Agreement as an independent contractor. Nothing in this Agreement shall be construed as creating an employment, partnership, joint venture, or agency relationship between the Parties.</w:t>
      </w:r>
    </w:p>
    <w:p>
      <w:pPr>
        <w:spacing w:after="140" w:before="320"/>
      </w:pPr>
      <w:r>
        <w:rPr>
          <w:b/>
          <w:bCs/>
          <w:sz w:val="26"/>
          <w:szCs w:val="26"/>
        </w:rPr>
        <w:t xml:space="preserve">14. Governing Law</w:t>
      </w:r>
    </w:p>
    <w:p>
      <w:pPr>
        <w:spacing w:after="160"/>
      </w:pPr>
      <w:r>
        <w:rPr>
          <w:sz w:val="22"/>
          <w:szCs w:val="22"/>
        </w:rPr>
        <w:t xml:space="preserve">This Agreement shall be governed by and construed in accordance with the laws of the State of North Carolina, without regard to its conflict-of-laws principles. The Parties consent to the exclusive jurisdiction of the state and federal courts located in Mecklenburg County or Gaston County, North Carolina, for resolution of any disputes arising under this Agreement.</w:t>
      </w:r>
    </w:p>
    <w:p>
      <w:pPr>
        <w:spacing w:after="140" w:before="320"/>
      </w:pPr>
      <w:r>
        <w:rPr>
          <w:b/>
          <w:bCs/>
          <w:sz w:val="26"/>
          <w:szCs w:val="26"/>
        </w:rPr>
        <w:t xml:space="preserve">15. Entire Agreement</w:t>
      </w:r>
    </w:p>
    <w:p>
      <w:pPr>
        <w:spacing w:after="160"/>
      </w:pPr>
      <w:r>
        <w:rPr>
          <w:sz w:val="22"/>
          <w:szCs w:val="22"/>
        </w:rPr>
        <w:t xml:space="preserve">This Agreement, together with any addenda or written amendments executed by both Parties, constitutes the entire agreement between the Parties with respect to its subject matter and supersedes all prior or contemporaneous understandings, written or oral. Modifications to this Agreement must be in writing and signed by an authorized representative of each Party.</w:t>
      </w:r>
    </w:p>
    <w:p>
      <w:pPr>
        <w:spacing w:after="120"/>
      </w:pPr>
      <w:r>
        <w:t xml:space="preserve"/>
      </w:r>
    </w:p>
    <w:p>
      <w:pPr>
        <w:spacing w:after="200" w:before="480"/>
      </w:pPr>
      <w:r>
        <w:rPr>
          <w:b/>
          <w:bCs/>
          <w:sz w:val="26"/>
          <w:szCs w:val="26"/>
        </w:rPr>
        <w:t xml:space="preserve">Signatures</w:t>
      </w:r>
    </w:p>
    <w:p>
      <w:pPr>
        <w:spacing w:after="160"/>
      </w:pPr>
      <w:r>
        <w:rPr>
          <w:sz w:val="22"/>
          <w:szCs w:val="22"/>
        </w:rPr>
        <w:t xml:space="preserve">The Parties have executed this Agreement as of the Effective Date set forth above.</w:t>
      </w:r>
    </w:p>
    <w:p>
      <w:pPr>
        <w:spacing w:after="160"/>
      </w:pPr>
      <w:r>
        <w:t xml:space="preserve"/>
      </w:r>
    </w:p>
    <w:p>
      <w:pPr>
        <w:spacing w:after="240"/>
      </w:pPr>
      <w:r>
        <w:rPr>
          <w:b/>
          <w:bCs/>
          <w:sz w:val="22"/>
          <w:szCs w:val="22"/>
        </w:rPr>
        <w:t xml:space="preserve">TSD Ventures, LLC</w:t>
      </w:r>
    </w:p>
    <w:p>
      <w:pPr>
        <w:spacing w:after="160"/>
      </w:pPr>
      <w:r>
        <w:rPr>
          <w:sz w:val="22"/>
          <w:szCs w:val="22"/>
        </w:rPr>
        <w:t xml:space="preserve">Signature: _____________________________________________</w:t>
      </w:r>
    </w:p>
    <w:p>
      <w:pPr>
        <w:spacing w:after="160"/>
      </w:pPr>
      <w:r>
        <w:rPr>
          <w:sz w:val="22"/>
          <w:szCs w:val="22"/>
        </w:rPr>
        <w:t xml:space="preserve">Name: [TSD AUTHORIZED SIGNATORY]</w:t>
      </w:r>
    </w:p>
    <w:p>
      <w:pPr>
        <w:spacing w:after="160"/>
      </w:pPr>
      <w:r>
        <w:rPr>
          <w:sz w:val="22"/>
          <w:szCs w:val="22"/>
        </w:rPr>
        <w:t xml:space="preserve">Title: [TITLE]</w:t>
      </w:r>
    </w:p>
    <w:p>
      <w:pPr>
        <w:spacing w:after="160"/>
      </w:pPr>
      <w:r>
        <w:rPr>
          <w:sz w:val="22"/>
          <w:szCs w:val="22"/>
        </w:rPr>
        <w:t xml:space="preserve">Date: ______________________</w:t>
      </w:r>
    </w:p>
    <w:p>
      <w:pPr>
        <w:spacing w:after="240"/>
      </w:pPr>
      <w:r>
        <w:t xml:space="preserve"/>
      </w:r>
    </w:p>
    <w:p>
      <w:pPr>
        <w:spacing w:after="240"/>
      </w:pPr>
      <w:r>
        <w:t xml:space="preserve"/>
      </w:r>
    </w:p>
    <w:p>
      <w:pPr>
        <w:spacing w:after="240"/>
      </w:pPr>
      <w:r>
        <w:rPr>
          <w:b/>
          <w:bCs/>
          <w:sz w:val="22"/>
          <w:szCs w:val="22"/>
        </w:rPr>
        <w:t xml:space="preserve">[CLIENT BUSINESS NAME]</w:t>
      </w:r>
    </w:p>
    <w:p>
      <w:pPr>
        <w:spacing w:after="160"/>
      </w:pPr>
      <w:r>
        <w:rPr>
          <w:sz w:val="22"/>
          <w:szCs w:val="22"/>
        </w:rPr>
        <w:t xml:space="preserve">Signature: _____________________________________________</w:t>
      </w:r>
    </w:p>
    <w:p>
      <w:pPr>
        <w:spacing w:after="160"/>
      </w:pPr>
      <w:r>
        <w:rPr>
          <w:sz w:val="22"/>
          <w:szCs w:val="22"/>
        </w:rPr>
        <w:t xml:space="preserve">Name: [CLIENT NAME]</w:t>
      </w:r>
    </w:p>
    <w:p>
      <w:pPr>
        <w:spacing w:after="160"/>
      </w:pPr>
      <w:r>
        <w:rPr>
          <w:sz w:val="22"/>
          <w:szCs w:val="22"/>
        </w:rPr>
        <w:t xml:space="preserve">Title: [CLIENT TITLE]</w:t>
      </w:r>
    </w:p>
    <w:p>
      <w:pPr>
        <w:spacing w:after="160"/>
      </w:pPr>
      <w:r>
        <w:rPr>
          <w:sz w:val="22"/>
          <w:szCs w:val="22"/>
        </w:rPr>
        <w:t xml:space="preserve">Date: 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TSD Ventures, LLC — Agreement of Work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8"/>
        <w:szCs w:val="18"/>
      </w:rPr>
      <w:t xml:space="preserve">TEMPLATE — review with NC-licensed business attorney before use. Replace [BRACKETED PLACEHOLDERS] before sending to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2026-04-26T15:44:59.755Z</dcterms:created>
  <dcterms:modified xsi:type="dcterms:W3CDTF">2026-04-26T15:44:59.759Z</dcterms:modified>
</cp:coreProperties>
</file>

<file path=docProps/custom.xml><?xml version="1.0" encoding="utf-8"?>
<Properties xmlns="http://schemas.openxmlformats.org/officeDocument/2006/custom-properties" xmlns:vt="http://schemas.openxmlformats.org/officeDocument/2006/docPropsVTypes"/>
</file>