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81.jpg" ContentType="image/jpeg"/>
  <Override PartName="/word/media/rId85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41.jpg" ContentType="image/jpeg"/>
  <Override PartName="/word/media/rId45.jpg" ContentType="image/jpeg"/>
  <Override PartName="/word/media/rId37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11</w:t>
      </w:r>
    </w:p>
    <w:p>
      <w:pPr>
        <w:pStyle w:val="Subtitle"/>
      </w:pPr>
      <w:r>
        <w:t xml:space="preserve">Модель системы массового обслуживания M|M|1</w:t>
      </w:r>
    </w:p>
    <w:p>
      <w:pPr>
        <w:pStyle w:val="Author"/>
      </w:pPr>
      <w:r>
        <w:t xml:space="preserve">Наталья Андреевна Сидорова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Смоделировать данную СМО в CPNTools.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Сеть Петри для самой системы, сервер и генератор заявок описываются отдельными сетями, также здесь есть позиции очередь и обслуженная заявка (рис. 1).</w:t>
      </w:r>
    </w:p>
    <w:bookmarkStart w:id="24" w:name="fig:001"/>
    <w:p>
      <w:pPr>
        <w:pStyle w:val="CaptionedFigure"/>
      </w:pPr>
      <w:r>
        <w:drawing>
          <wp:inline>
            <wp:extent cx="3733800" cy="1456684"/>
            <wp:effectExtent b="0" l="0" r="0" t="0"/>
            <wp:docPr descr="Рис. 1: Общая система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6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Общая система</w:t>
      </w:r>
    </w:p>
    <w:bookmarkEnd w:id="24"/>
    <w:p>
      <w:pPr>
        <w:pStyle w:val="BodyText"/>
      </w:pPr>
      <w:r>
        <w:t xml:space="preserve">Сеть Петри для генератора заявок. Имеет позиции текущая заявка, следующая заявка и очередь. Два перехода: распределение поступления заявок и определение поступления заявки в очередь (рис. 2).</w:t>
      </w:r>
    </w:p>
    <w:bookmarkStart w:id="28" w:name="fig:002"/>
    <w:p>
      <w:pPr>
        <w:pStyle w:val="CaptionedFigure"/>
      </w:pPr>
      <w:r>
        <w:drawing>
          <wp:inline>
            <wp:extent cx="3733800" cy="1281446"/>
            <wp:effectExtent b="0" l="0" r="0" t="0"/>
            <wp:docPr descr="Рис. 2: Генератор заявок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1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Генератор заявок</w:t>
      </w:r>
    </w:p>
    <w:bookmarkEnd w:id="28"/>
    <w:p>
      <w:pPr>
        <w:pStyle w:val="BodyText"/>
      </w:pPr>
      <w:r>
        <w:t xml:space="preserve">Сеть Петри для сервера. Имеет позиции: очередь, сервер занят, сервер простаивает и заявка выполнена. Переходы: старт и стоп работы сервера. (рис. 3).</w:t>
      </w:r>
    </w:p>
    <w:bookmarkStart w:id="32" w:name="fig:003"/>
    <w:p>
      <w:pPr>
        <w:pStyle w:val="CaptionedFigure"/>
      </w:pPr>
      <w:r>
        <w:drawing>
          <wp:inline>
            <wp:extent cx="3733800" cy="1719051"/>
            <wp:effectExtent b="0" l="0" r="0" t="0"/>
            <wp:docPr descr="Рис. 3: Сервер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Сервер</w:t>
      </w:r>
    </w:p>
    <w:bookmarkEnd w:id="32"/>
    <w:p>
      <w:pPr>
        <w:pStyle w:val="BodyText"/>
      </w:pPr>
      <w:r>
        <w:t xml:space="preserve">Декларации: определния множеств, инициализация переменных, объявление функций (рис. 4).</w:t>
      </w:r>
    </w:p>
    <w:bookmarkStart w:id="36" w:name="fig:004"/>
    <w:p>
      <w:pPr>
        <w:pStyle w:val="CaptionedFigure"/>
      </w:pPr>
      <w:r>
        <w:drawing>
          <wp:inline>
            <wp:extent cx="3276600" cy="3947160"/>
            <wp:effectExtent b="0" l="0" r="0" t="0"/>
            <wp:docPr descr="Рис. 4: Декларации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947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Декларации</w:t>
      </w:r>
    </w:p>
    <w:bookmarkEnd w:id="36"/>
    <w:p>
      <w:pPr>
        <w:pStyle w:val="BodyText"/>
      </w:pPr>
      <w:r>
        <w:t xml:space="preserve">Моделирование системы (рис. 5).</w:t>
      </w:r>
    </w:p>
    <w:bookmarkStart w:id="40" w:name="fig:007"/>
    <w:p>
      <w:pPr>
        <w:pStyle w:val="CaptionedFigure"/>
      </w:pPr>
      <w:r>
        <w:drawing>
          <wp:inline>
            <wp:extent cx="3733800" cy="1709400"/>
            <wp:effectExtent b="0" l="0" r="0" t="0"/>
            <wp:docPr descr="Рис. 5: Моделирование" title="" id="38" name="Picture"/>
            <a:graphic>
              <a:graphicData uri="http://schemas.openxmlformats.org/drawingml/2006/picture">
                <pic:pic>
                  <pic:nvPicPr>
                    <pic:cNvPr descr="image/7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Моделирование</w:t>
      </w:r>
    </w:p>
    <w:bookmarkEnd w:id="40"/>
    <w:p>
      <w:pPr>
        <w:pStyle w:val="BodyText"/>
      </w:pPr>
      <w:r>
        <w:t xml:space="preserve">Мониторинг параметров очереди. Изменение функции Observer чтобы получить значение задержки в очереди (рис. 6).</w:t>
      </w:r>
    </w:p>
    <w:bookmarkStart w:id="44" w:name="fig:005"/>
    <w:p>
      <w:pPr>
        <w:pStyle w:val="CaptionedFigure"/>
      </w:pPr>
      <w:r>
        <w:drawing>
          <wp:inline>
            <wp:extent cx="3733800" cy="1510521"/>
            <wp:effectExtent b="0" l="0" r="0" t="0"/>
            <wp:docPr descr="Рис. 6: Observer" title="" id="42" name="Picture"/>
            <a:graphic>
              <a:graphicData uri="http://schemas.openxmlformats.org/drawingml/2006/picture">
                <pic:pic>
                  <pic:nvPicPr>
                    <pic:cNvPr descr="image/5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0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Observer</w:t>
      </w:r>
    </w:p>
    <w:bookmarkEnd w:id="44"/>
    <w:p>
      <w:pPr>
        <w:pStyle w:val="BodyText"/>
      </w:pPr>
      <w:r>
        <w:t xml:space="preserve">Изменение функции Predicate чтобы останавливать мониторинг (рис. 7).</w:t>
      </w:r>
    </w:p>
    <w:bookmarkStart w:id="48" w:name="fig:006"/>
    <w:p>
      <w:pPr>
        <w:pStyle w:val="CaptionedFigure"/>
      </w:pPr>
      <w:r>
        <w:drawing>
          <wp:inline>
            <wp:extent cx="3733800" cy="1419403"/>
            <wp:effectExtent b="0" l="0" r="0" t="0"/>
            <wp:docPr descr="Рис. 7: Predicate" title="" id="46" name="Picture"/>
            <a:graphic>
              <a:graphicData uri="http://schemas.openxmlformats.org/drawingml/2006/picture">
                <pic:pic>
                  <pic:nvPicPr>
                    <pic:cNvPr descr="image/6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9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Predicate</w:t>
      </w:r>
    </w:p>
    <w:bookmarkEnd w:id="48"/>
    <w:p>
      <w:pPr>
        <w:pStyle w:val="BodyText"/>
      </w:pPr>
      <w:r>
        <w:t xml:space="preserve">Значения файла Queue Delay.log, содержащие значение задержки очереди, счетчик, шаг, время (рис. 8).</w:t>
      </w:r>
    </w:p>
    <w:bookmarkStart w:id="52" w:name="fig:008"/>
    <w:p>
      <w:pPr>
        <w:pStyle w:val="CaptionedFigure"/>
      </w:pPr>
      <w:r>
        <w:drawing>
          <wp:inline>
            <wp:extent cx="3733800" cy="2996613"/>
            <wp:effectExtent b="0" l="0" r="0" t="0"/>
            <wp:docPr descr="Рис. 8: Файл со значениями" title="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6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Файл со значениями</w:t>
      </w:r>
    </w:p>
    <w:bookmarkEnd w:id="52"/>
    <w:p>
      <w:pPr>
        <w:pStyle w:val="BodyText"/>
      </w:pPr>
      <w:r>
        <w:t xml:space="preserve">Код для создания графика задержки в очереди (рис. 9).</w:t>
      </w:r>
    </w:p>
    <w:bookmarkStart w:id="56" w:name="fig:009"/>
    <w:p>
      <w:pPr>
        <w:pStyle w:val="CaptionedFigure"/>
      </w:pPr>
      <w:r>
        <w:drawing>
          <wp:inline>
            <wp:extent cx="3253740" cy="1760220"/>
            <wp:effectExtent b="0" l="0" r="0" t="0"/>
            <wp:docPr descr="Рис. 9: Код графика" title="" id="54" name="Picture"/>
            <a:graphic>
              <a:graphicData uri="http://schemas.openxmlformats.org/drawingml/2006/picture">
                <pic:pic>
                  <pic:nvPicPr>
                    <pic:cNvPr descr="image/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Код графика</w:t>
      </w:r>
    </w:p>
    <w:bookmarkEnd w:id="56"/>
    <w:p>
      <w:pPr>
        <w:pStyle w:val="BodyText"/>
      </w:pPr>
      <w:r>
        <w:t xml:space="preserve">График задержки в очереди (рис. 10).</w:t>
      </w:r>
    </w:p>
    <w:bookmarkStart w:id="60" w:name="fig:010"/>
    <w:p>
      <w:pPr>
        <w:pStyle w:val="CaptionedFigure"/>
      </w:pPr>
      <w:r>
        <w:drawing>
          <wp:inline>
            <wp:extent cx="3733800" cy="2241818"/>
            <wp:effectExtent b="0" l="0" r="0" t="0"/>
            <wp:docPr descr="Рис. 10: График" title="" id="58" name="Picture"/>
            <a:graphic>
              <a:graphicData uri="http://schemas.openxmlformats.org/drawingml/2006/picture">
                <pic:pic>
                  <pic:nvPicPr>
                    <pic:cNvPr descr="image/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1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График</w:t>
      </w:r>
    </w:p>
    <w:bookmarkEnd w:id="60"/>
    <w:p>
      <w:pPr>
        <w:pStyle w:val="BodyText"/>
      </w:pPr>
      <w:r>
        <w:t xml:space="preserve">Добавляем монитор Queue Delay Real и изменяем функцию Observer для действительных значений (рис. 11).</w:t>
      </w:r>
    </w:p>
    <w:bookmarkStart w:id="64" w:name="fig:011"/>
    <w:p>
      <w:pPr>
        <w:pStyle w:val="CaptionedFigure"/>
      </w:pPr>
      <w:r>
        <w:drawing>
          <wp:inline>
            <wp:extent cx="3733800" cy="1214197"/>
            <wp:effectExtent b="0" l="0" r="0" t="0"/>
            <wp:docPr descr="Рис. 11: Queue Delay Real" title="" id="62" name="Picture"/>
            <a:graphic>
              <a:graphicData uri="http://schemas.openxmlformats.org/drawingml/2006/picture">
                <pic:pic>
                  <pic:nvPicPr>
                    <pic:cNvPr descr="image/1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4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Queue Delay Real</w:t>
      </w:r>
    </w:p>
    <w:bookmarkEnd w:id="64"/>
    <w:p>
      <w:pPr>
        <w:pStyle w:val="BodyText"/>
      </w:pPr>
      <w:r>
        <w:t xml:space="preserve">Значения Queue Delay Real.log (рис. 12).</w:t>
      </w:r>
    </w:p>
    <w:bookmarkStart w:id="68" w:name="fig:012"/>
    <w:p>
      <w:pPr>
        <w:pStyle w:val="CaptionedFigure"/>
      </w:pPr>
      <w:r>
        <w:drawing>
          <wp:inline>
            <wp:extent cx="2811780" cy="2590800"/>
            <wp:effectExtent b="0" l="0" r="0" t="0"/>
            <wp:docPr descr="Рис. 12: Queue Delay Real log" title="" id="66" name="Picture"/>
            <a:graphic>
              <a:graphicData uri="http://schemas.openxmlformats.org/drawingml/2006/picture">
                <pic:pic>
                  <pic:nvPicPr>
                    <pic:cNvPr descr="image/12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Queue Delay Real log</w:t>
      </w:r>
    </w:p>
    <w:bookmarkEnd w:id="68"/>
    <w:p>
      <w:pPr>
        <w:pStyle w:val="BodyText"/>
      </w:pPr>
      <w:r>
        <w:t xml:space="preserve">Добавляем монитор Long Delay Time и изменяем функцию Observer чтобы посчитать сколько раз задержка превысила заданное значение (рис. 13).</w:t>
      </w:r>
    </w:p>
    <w:bookmarkStart w:id="72" w:name="fig:013"/>
    <w:p>
      <w:pPr>
        <w:pStyle w:val="CaptionedFigure"/>
      </w:pPr>
      <w:r>
        <w:drawing>
          <wp:inline>
            <wp:extent cx="3352800" cy="1432560"/>
            <wp:effectExtent b="0" l="0" r="0" t="0"/>
            <wp:docPr descr="Рис. 13: Long Delay Time" title="" id="70" name="Picture"/>
            <a:graphic>
              <a:graphicData uri="http://schemas.openxmlformats.org/drawingml/2006/picture">
                <pic:pic>
                  <pic:nvPicPr>
                    <pic:cNvPr descr="image/13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Long Delay Time</w:t>
      </w:r>
    </w:p>
    <w:bookmarkEnd w:id="72"/>
    <w:p>
      <w:pPr>
        <w:pStyle w:val="BodyText"/>
      </w:pPr>
      <w:r>
        <w:t xml:space="preserve">Добавляем новую переменную в декларации (рис. 14).</w:t>
      </w:r>
    </w:p>
    <w:bookmarkStart w:id="76" w:name="fig:014"/>
    <w:p>
      <w:pPr>
        <w:pStyle w:val="CaptionedFigure"/>
      </w:pPr>
      <w:r>
        <w:drawing>
          <wp:inline>
            <wp:extent cx="1905000" cy="708660"/>
            <wp:effectExtent b="0" l="0" r="0" t="0"/>
            <wp:docPr descr="Рис. 14: Новая переменная" title="" id="74" name="Picture"/>
            <a:graphic>
              <a:graphicData uri="http://schemas.openxmlformats.org/drawingml/2006/picture">
                <pic:pic>
                  <pic:nvPicPr>
                    <pic:cNvPr descr="image/14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Новая переменная</w:t>
      </w:r>
    </w:p>
    <w:bookmarkEnd w:id="76"/>
    <w:p>
      <w:pPr>
        <w:pStyle w:val="BodyText"/>
      </w:pPr>
      <w:r>
        <w:t xml:space="preserve">Код для графика в какие периоды значения задержки в очереди превышали заданное (рис. 15).</w:t>
      </w:r>
    </w:p>
    <w:bookmarkStart w:id="80" w:name="fig:015"/>
    <w:p>
      <w:pPr>
        <w:pStyle w:val="CaptionedFigure"/>
      </w:pPr>
      <w:r>
        <w:drawing>
          <wp:inline>
            <wp:extent cx="3733800" cy="1456938"/>
            <wp:effectExtent b="0" l="0" r="0" t="0"/>
            <wp:docPr descr="Рис. 15: Код" title="" id="78" name="Picture"/>
            <a:graphic>
              <a:graphicData uri="http://schemas.openxmlformats.org/drawingml/2006/picture">
                <pic:pic>
                  <pic:nvPicPr>
                    <pic:cNvPr descr="image/15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6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Код</w:t>
      </w:r>
    </w:p>
    <w:bookmarkEnd w:id="80"/>
    <w:p>
      <w:pPr>
        <w:pStyle w:val="BodyText"/>
      </w:pPr>
      <w:r>
        <w:t xml:space="preserve">Значения Long Delay Time log (рис. 16).</w:t>
      </w:r>
    </w:p>
    <w:bookmarkStart w:id="84" w:name="fig:016"/>
    <w:p>
      <w:pPr>
        <w:pStyle w:val="CaptionedFigure"/>
      </w:pPr>
      <w:r>
        <w:drawing>
          <wp:inline>
            <wp:extent cx="3733800" cy="3910306"/>
            <wp:effectExtent b="0" l="0" r="0" t="0"/>
            <wp:docPr descr="Рис. 16: Long Delay Time log" title="" id="82" name="Picture"/>
            <a:graphic>
              <a:graphicData uri="http://schemas.openxmlformats.org/drawingml/2006/picture">
                <pic:pic>
                  <pic:nvPicPr>
                    <pic:cNvPr descr="image/16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0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Long Delay Time log</w:t>
      </w:r>
    </w:p>
    <w:bookmarkEnd w:id="84"/>
    <w:p>
      <w:pPr>
        <w:pStyle w:val="BodyText"/>
      </w:pPr>
      <w:r>
        <w:t xml:space="preserve">График в какие периоды значения задержки в очереди превышали заданное (рис. 17).</w:t>
      </w:r>
    </w:p>
    <w:bookmarkStart w:id="88" w:name="fig:017"/>
    <w:p>
      <w:pPr>
        <w:pStyle w:val="CaptionedFigure"/>
      </w:pPr>
      <w:r>
        <w:drawing>
          <wp:inline>
            <wp:extent cx="3733800" cy="2724263"/>
            <wp:effectExtent b="0" l="0" r="0" t="0"/>
            <wp:docPr descr="Рис. 17: График" title="" id="86" name="Picture"/>
            <a:graphic>
              <a:graphicData uri="http://schemas.openxmlformats.org/drawingml/2006/picture">
                <pic:pic>
                  <pic:nvPicPr>
                    <pic:cNvPr descr="image/17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4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График</w:t>
      </w:r>
    </w:p>
    <w:bookmarkEnd w:id="88"/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смоделировала систему массового обслуживания M|M|1 в CPNTools.</w:t>
      </w:r>
    </w:p>
    <w:bookmarkEnd w:id="90"/>
    <w:bookmarkStart w:id="92" w:name="список-литературы"/>
    <w:p>
      <w:pPr>
        <w:pStyle w:val="Heading1"/>
      </w:pPr>
      <w:r>
        <w:t xml:space="preserve">Список литературы</w:t>
      </w:r>
    </w:p>
    <w:bookmarkStart w:id="91" w:name="refs"/>
    <w:bookmarkEnd w:id="91"/>
    <w:bookmarkEnd w:id="9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5" Target="media/rId85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37" Target="media/rId37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11</dc:title>
  <dc:creator>Наталья Андреевна Сидорова</dc:creator>
  <dc:language>ru-RU</dc:language>
  <cp:keywords/>
  <dcterms:created xsi:type="dcterms:W3CDTF">2025-04-19T16:58:30Z</dcterms:created>
  <dcterms:modified xsi:type="dcterms:W3CDTF">2025-04-19T16:58:30Z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Модель системы массового обслуживания M|M|1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