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12</w:t>
      </w:r>
    </w:p>
    <w:p>
      <w:pPr>
        <w:pStyle w:val="Subtitle"/>
      </w:pPr>
      <w:r>
        <w:t xml:space="preserve">Пример моделирования простого протокола передачи данных</w:t>
      </w:r>
    </w:p>
    <w:p>
      <w:pPr>
        <w:pStyle w:val="Author"/>
      </w:pPr>
      <w:r>
        <w:t xml:space="preserve">Наталья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в CPN Tools простой протокол передачи данных и провести анализ пространства состояний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простой протокол передачи данных</w:t>
      </w:r>
      <w:r>
        <w:t xml:space="preserve">[2]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Заполнили декларации для нашей модели, задали множества INT со значениями INT, DATA со значениями типа string, INTxDATA со значениями INT*DATA, задали стоп-строку и переменные n, k типа INT, p, str типа DATA (рис. 1).</w:t>
      </w:r>
    </w:p>
    <w:bookmarkStart w:id="25" w:name="fig:001"/>
    <w:p>
      <w:pPr>
        <w:pStyle w:val="CaptionedFigure"/>
      </w:pPr>
      <w:r>
        <w:drawing>
          <wp:inline>
            <wp:extent cx="2255520" cy="2270760"/>
            <wp:effectExtent b="0" l="0" r="0" t="0"/>
            <wp:docPr descr="Рис. 1: деклараци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декларации</w:t>
      </w:r>
    </w:p>
    <w:bookmarkEnd w:id="25"/>
    <w:p>
      <w:pPr>
        <w:pStyle w:val="BodyText"/>
      </w:pPr>
      <w:r>
        <w:t xml:space="preserve">Начальный граф: состояния Send, Receiver, NextSend и переходы SendPacket, SendACK (рис. 2).</w:t>
      </w:r>
    </w:p>
    <w:bookmarkStart w:id="29" w:name="fig:002"/>
    <w:p>
      <w:pPr>
        <w:pStyle w:val="CaptionedFigure"/>
      </w:pPr>
      <w:r>
        <w:drawing>
          <wp:inline>
            <wp:extent cx="3589020" cy="4358640"/>
            <wp:effectExtent b="0" l="0" r="0" t="0"/>
            <wp:docPr descr="Рис. 2: начальный граф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начальный граф</w:t>
      </w:r>
    </w:p>
    <w:bookmarkEnd w:id="29"/>
    <w:p>
      <w:pPr>
        <w:pStyle w:val="BodyText"/>
      </w:pPr>
      <w:r>
        <w:t xml:space="preserve">Добавили промежуточные состояния A, B, C, D и промежуточные переходы Trnsmit Packet, Transmit ACK (рис. 3).</w:t>
      </w:r>
    </w:p>
    <w:bookmarkStart w:id="33" w:name="fig:003"/>
    <w:p>
      <w:pPr>
        <w:pStyle w:val="CaptionedFigure"/>
      </w:pPr>
      <w:r>
        <w:drawing>
          <wp:inline>
            <wp:extent cx="3733800" cy="3605469"/>
            <wp:effectExtent b="0" l="0" r="0" t="0"/>
            <wp:docPr descr="Рис. 3: промежутлчные состояни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промежутлчные состояния</w:t>
      </w:r>
    </w:p>
    <w:bookmarkEnd w:id="33"/>
    <w:p>
      <w:pPr>
        <w:pStyle w:val="BodyText"/>
      </w:pPr>
      <w:r>
        <w:t xml:space="preserve">Новые декларации: два множества со списком целых чисел от 0 до 10 Ten0, Ten1. Переменные s и r, функция Ok (рис. 4).</w:t>
      </w:r>
    </w:p>
    <w:bookmarkStart w:id="37" w:name="fig:004"/>
    <w:p>
      <w:pPr>
        <w:pStyle w:val="CaptionedFigure"/>
      </w:pPr>
      <w:r>
        <w:drawing>
          <wp:inline>
            <wp:extent cx="2240280" cy="2103120"/>
            <wp:effectExtent b="0" l="0" r="0" t="0"/>
            <wp:docPr descr="Рис. 4: новые декларации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новые декларации</w:t>
      </w:r>
    </w:p>
    <w:bookmarkEnd w:id="37"/>
    <w:p>
      <w:pPr>
        <w:pStyle w:val="BodyText"/>
      </w:pPr>
      <w:r>
        <w:t xml:space="preserve">Полная модель (рис. 5).</w:t>
      </w:r>
    </w:p>
    <w:bookmarkStart w:id="41" w:name="fig:005"/>
    <w:p>
      <w:pPr>
        <w:pStyle w:val="CaptionedFigure"/>
      </w:pPr>
      <w:r>
        <w:drawing>
          <wp:inline>
            <wp:extent cx="3733800" cy="3605048"/>
            <wp:effectExtent b="0" l="0" r="0" t="0"/>
            <wp:docPr descr="Рис. 5: Готовая модель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5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Готовая модель</w:t>
      </w:r>
    </w:p>
    <w:bookmarkEnd w:id="41"/>
    <w:p>
      <w:pPr>
        <w:pStyle w:val="BodyText"/>
      </w:pPr>
      <w:r>
        <w:t xml:space="preserve">Граф пространства состояний (рис. 6).</w:t>
      </w:r>
    </w:p>
    <w:bookmarkStart w:id="45" w:name="fig:006"/>
    <w:p>
      <w:pPr>
        <w:pStyle w:val="CaptionedFigure"/>
      </w:pPr>
      <w:r>
        <w:drawing>
          <wp:inline>
            <wp:extent cx="3733800" cy="1468024"/>
            <wp:effectExtent b="0" l="0" r="0" t="0"/>
            <wp:docPr descr="Рис. 6: Граф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8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</w:t>
      </w:r>
    </w:p>
    <w:bookmarkEnd w:id="45"/>
    <w:p>
      <w:pPr>
        <w:pStyle w:val="BodyText"/>
      </w:pPr>
      <w:r>
        <w:t xml:space="preserve">Отчет пространства состояний (рис. 7).</w:t>
      </w:r>
    </w:p>
    <w:bookmarkStart w:id="49" w:name="fig:007"/>
    <w:p>
      <w:pPr>
        <w:pStyle w:val="CaptionedFigure"/>
      </w:pPr>
      <w:r>
        <w:drawing>
          <wp:inline>
            <wp:extent cx="3733800" cy="1964879"/>
            <wp:effectExtent b="0" l="0" r="0" t="0"/>
            <wp:docPr descr="Рис. 7: Отчет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Отчет</w:t>
      </w:r>
    </w:p>
    <w:bookmarkEnd w:id="49"/>
    <w:p>
      <w:pPr>
        <w:pStyle w:val="BodyText"/>
      </w:pPr>
      <w:r>
        <w:t xml:space="preserve">Часть 2 (рис. 8).</w:t>
      </w:r>
    </w:p>
    <w:bookmarkStart w:id="53" w:name="fig:008"/>
    <w:p>
      <w:pPr>
        <w:pStyle w:val="CaptionedFigure"/>
      </w:pPr>
      <w:r>
        <w:drawing>
          <wp:inline>
            <wp:extent cx="3733800" cy="2444386"/>
            <wp:effectExtent b="0" l="0" r="0" t="0"/>
            <wp:docPr descr="Рис. 8: Пространоство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Пространоство</w:t>
      </w:r>
    </w:p>
    <w:bookmarkEnd w:id="53"/>
    <w:p>
      <w:pPr>
        <w:pStyle w:val="BodyText"/>
      </w:pPr>
      <w:r>
        <w:t xml:space="preserve">Часть 3 (рис. 9).</w:t>
      </w:r>
    </w:p>
    <w:bookmarkStart w:id="57" w:name="fig:009"/>
    <w:p>
      <w:pPr>
        <w:pStyle w:val="CaptionedFigure"/>
      </w:pPr>
      <w:r>
        <w:drawing>
          <wp:inline>
            <wp:extent cx="3619500" cy="3825240"/>
            <wp:effectExtent b="0" l="0" r="0" t="0"/>
            <wp:docPr descr="Рис. 9: Состояний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Состояний</w:t>
      </w:r>
    </w:p>
    <w:bookmarkEnd w:id="57"/>
    <w:p>
      <w:pPr>
        <w:pStyle w:val="BodyText"/>
      </w:pPr>
      <w:r>
        <w:t xml:space="preserve">Часть 4 (рис. 10).</w:t>
      </w:r>
    </w:p>
    <w:bookmarkStart w:id="61" w:name="fig:010"/>
    <w:p>
      <w:pPr>
        <w:pStyle w:val="CaptionedFigure"/>
      </w:pPr>
      <w:r>
        <w:drawing>
          <wp:inline>
            <wp:extent cx="3733800" cy="3036042"/>
            <wp:effectExtent b="0" l="0" r="0" t="0"/>
            <wp:docPr descr="Рис. 10: Маркировки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6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Маркировки</w:t>
      </w:r>
    </w:p>
    <w:bookmarkEnd w:id="61"/>
    <w:p>
      <w:pPr>
        <w:pStyle w:val="BodyText"/>
      </w:pPr>
      <w:r>
        <w:t xml:space="preserve">В отчете состояний можно увидеть что есть 15804 состояния и 247803 перехода между ними, в графе строго соединенных компонент 9348 узлов и 211289 дуг.</w:t>
      </w:r>
      <w:r>
        <w:t xml:space="preserve"> </w:t>
      </w:r>
      <w:r>
        <w:t xml:space="preserve">Затем указаны границы значений для каждого элемента: промежуточные состояния A, B, C, D(наибольшая верхняя граница у A, так как после него пакеты отбрасываются),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  <w:r>
        <w:t xml:space="preserve"> </w:t>
      </w:r>
      <w:r>
        <w:t xml:space="preserve">Также указаны границы в виде мультимножеств.</w:t>
      </w:r>
      <w:r>
        <w:t xml:space="preserve"> </w:t>
      </w:r>
      <w:r>
        <w:t xml:space="preserve">Маркировка Home Markings равная None для всех состояний, так как модель где-то завершается и не входит в бесконечный цикл, при любых обстоятельствах во время выполнения модели процесса всегда можно достичь маркировки, где успешно передаётся вся информация и принимается подходящее решение.</w:t>
      </w:r>
      <w:r>
        <w:t xml:space="preserve"> </w:t>
      </w:r>
      <w:r>
        <w:t xml:space="preserve">Маркировка dead равная 6555 [9999,9998,9997,9996,9995,…] - это состояния, в которых не активированы никакие переходы.</w:t>
      </w:r>
      <w:r>
        <w:t xml:space="preserve"> </w:t>
      </w:r>
      <w:r>
        <w:t xml:space="preserve">В конце указано, что бесконечно часто могут происходить(Impartial Transition Instances) события Send_Packet и Transmit_Packet(они позволяют сети всегда передавать данные). Также указаны Transition Instances with No Fairness: Send_ACK, Transmit_ACK, Received_Packet. Это означает, что существует последовательность бесконечных срабатываний, в которой переход непрерывно включён с определённого момента, но больше не срабатывает. .</w:t>
      </w:r>
    </w:p>
    <w:p>
      <w:pPr>
        <w:pStyle w:val="BodyText"/>
      </w:pPr>
      <w:r>
        <w:t xml:space="preserve">Полный текст отчета:</w:t>
      </w:r>
      <w:r>
        <w:t xml:space="preserve"> </w:t>
      </w:r>
      <w:r>
        <w:t xml:space="preserve">CPN Tools state space report for:</w:t>
      </w:r>
      <w:r>
        <w:t xml:space="preserve"> </w:t>
      </w:r>
      <w:r>
        <w:t xml:space="preserve">/home/openmodelica/Desktop/lab12.cpn</w:t>
      </w:r>
      <w:r>
        <w:t xml:space="preserve"> </w:t>
      </w:r>
      <w:r>
        <w:t xml:space="preserve">Report generated: Fri Mar 28 15:10:04 2025</w:t>
      </w:r>
    </w:p>
    <w:bookmarkStart w:id="62" w:name="statistic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Statistics</w:t>
      </w:r>
    </w:p>
    <w:p>
      <w:pPr>
        <w:pStyle w:val="FirstParagraph"/>
      </w:pPr>
      <w:r>
        <w:t xml:space="preserve">State Space</w:t>
      </w:r>
      <w:r>
        <w:t xml:space="preserve"> </w:t>
      </w:r>
      <w:r>
        <w:t xml:space="preserve">Nodes: 15804</w:t>
      </w:r>
      <w:r>
        <w:t xml:space="preserve"> </w:t>
      </w:r>
      <w:r>
        <w:t xml:space="preserve">Arcs: 247803</w:t>
      </w:r>
      <w:r>
        <w:t xml:space="preserve"> </w:t>
      </w:r>
      <w:r>
        <w:t xml:space="preserve">Secs: 300</w:t>
      </w:r>
      <w:r>
        <w:t xml:space="preserve"> </w:t>
      </w:r>
      <w:r>
        <w:t xml:space="preserve">Status: Partial</w:t>
      </w:r>
    </w:p>
    <w:p>
      <w:pPr>
        <w:pStyle w:val="BodyText"/>
      </w:pPr>
      <w:r>
        <w:t xml:space="preserve">Scc Graph</w:t>
      </w:r>
      <w:r>
        <w:t xml:space="preserve"> </w:t>
      </w:r>
      <w:r>
        <w:t xml:space="preserve">Nodes: 9348</w:t>
      </w:r>
      <w:r>
        <w:t xml:space="preserve"> </w:t>
      </w:r>
      <w:r>
        <w:t xml:space="preserve">Arcs: 211289</w:t>
      </w:r>
      <w:r>
        <w:t xml:space="preserve"> </w:t>
      </w:r>
      <w:r>
        <w:t xml:space="preserve">Secs: 13</w:t>
      </w:r>
    </w:p>
    <w:bookmarkEnd w:id="62"/>
    <w:bookmarkStart w:id="63" w:name="boundedness-properti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Boundedness Properties</w:t>
      </w:r>
    </w:p>
    <w:p>
      <w:pPr>
        <w:pStyle w:val="FirstParagraph"/>
      </w:pPr>
      <w:r>
        <w:t xml:space="preserve">Best Integer Bounds</w:t>
      </w:r>
      <w:r>
        <w:t xml:space="preserve"> </w:t>
      </w:r>
      <w:r>
        <w:t xml:space="preserve">Upper Lower</w:t>
      </w:r>
      <w:r>
        <w:t xml:space="preserve"> </w:t>
      </w:r>
      <w:r>
        <w:t xml:space="preserve">lab_12’A 1 12 0</w:t>
      </w:r>
      <w:r>
        <w:t xml:space="preserve"> </w:t>
      </w:r>
      <w:r>
        <w:t xml:space="preserve">lab_12’B 1 7 0</w:t>
      </w:r>
      <w:r>
        <w:t xml:space="preserve"> </w:t>
      </w:r>
      <w:r>
        <w:t xml:space="preserve">lab_12’C 1 5 0</w:t>
      </w:r>
      <w:r>
        <w:t xml:space="preserve"> </w:t>
      </w:r>
      <w:r>
        <w:t xml:space="preserve">lab_12’D 1 7 0</w:t>
      </w:r>
      <w:r>
        <w:t xml:space="preserve"> </w:t>
      </w:r>
      <w:r>
        <w:t xml:space="preserve">lab_12’NextRec 1 1 1</w:t>
      </w:r>
      <w:r>
        <w:t xml:space="preserve"> </w:t>
      </w:r>
      <w:r>
        <w:t xml:space="preserve">lab_12’NextSend 1 1 1</w:t>
      </w:r>
      <w:r>
        <w:t xml:space="preserve"> </w:t>
      </w:r>
      <w:r>
        <w:t xml:space="preserve">lab_12’Receiver 1 1 1</w:t>
      </w:r>
      <w:r>
        <w:t xml:space="preserve"> </w:t>
      </w:r>
      <w:r>
        <w:t xml:space="preserve">lab_12’SA 1 1 1</w:t>
      </w:r>
      <w:r>
        <w:t xml:space="preserve"> </w:t>
      </w:r>
      <w:r>
        <w:t xml:space="preserve">lab_12’SP 1 1 1</w:t>
      </w:r>
      <w:r>
        <w:t xml:space="preserve"> </w:t>
      </w:r>
      <w:r>
        <w:t xml:space="preserve">lab_12’Send 1 8 8</w:t>
      </w:r>
    </w:p>
    <w:p>
      <w:pPr>
        <w:pStyle w:val="BodyText"/>
      </w:pPr>
      <w:r>
        <w:t xml:space="preserve">Best Upper Multi-set Bounds</w:t>
      </w:r>
      <w:r>
        <w:t xml:space="preserve"> </w:t>
      </w:r>
      <w:r>
        <w:t xml:space="preserve">lab_12’A 1 12</w:t>
      </w:r>
      <w:r>
        <w:rPr>
          <w:rStyle w:val="VerbatimChar"/>
        </w:rPr>
        <w:t xml:space="preserve">(2,"g and An")++ 9</w:t>
      </w:r>
      <w:r>
        <w:t xml:space="preserve">(3,</w:t>
      </w:r>
      <w:r>
        <w:t xml:space="preserve">“alysis b”</w:t>
      </w:r>
      <w:r>
        <w:t xml:space="preserve">)++</w:t>
      </w:r>
      <w:r>
        <w:t xml:space="preserve"> </w:t>
      </w:r>
      <w:r>
        <w:t xml:space="preserve">4</w:t>
      </w:r>
      <w:r>
        <w:rPr>
          <w:rStyle w:val="VerbatimChar"/>
        </w:rPr>
        <w:t xml:space="preserve">(4,"y Means ")      lab_12'B 1          7</w:t>
      </w:r>
      <w:r>
        <w:t xml:space="preserve">(2,</w:t>
      </w:r>
      <w:r>
        <w:t xml:space="preserve">“g and An”</w:t>
      </w:r>
      <w:r>
        <w:t xml:space="preserve">)++</w:t>
      </w:r>
      <w:r>
        <w:t xml:space="preserve"> </w:t>
      </w:r>
      <w:r>
        <w:t xml:space="preserve">4</w:t>
      </w:r>
      <w:r>
        <w:rPr>
          <w:rStyle w:val="VerbatimChar"/>
        </w:rPr>
        <w:t xml:space="preserve">(3,"alysis b")++ 2</w:t>
      </w:r>
      <w:r>
        <w:t xml:space="preserve">(4,</w:t>
      </w:r>
      <w:r>
        <w:t xml:space="preserve">“y Means”</w:t>
      </w:r>
      <w:r>
        <w:t xml:space="preserve">)</w:t>
      </w:r>
      <w:r>
        <w:t xml:space="preserve"> </w:t>
      </w:r>
      <w:r>
        <w:t xml:space="preserve">lab_12’C 1 5</w:t>
      </w:r>
      <w:r>
        <w:rPr>
          <w:rStyle w:val="VerbatimChar"/>
        </w:rPr>
        <w:t xml:space="preserve">3++ 4</w:t>
      </w:r>
      <w:r>
        <w:t xml:space="preserve">4++</w:t>
      </w:r>
      <w:r>
        <w:t xml:space="preserve"> </w:t>
      </w:r>
      <w:r>
        <w:t xml:space="preserve">2</w:t>
      </w:r>
      <w:r>
        <w:rPr>
          <w:rStyle w:val="VerbatimChar"/>
        </w:rPr>
        <w:t xml:space="preserve">5      lab_12'D 1          1</w:t>
      </w:r>
      <w:r>
        <w:t xml:space="preserve">2++</w:t>
      </w:r>
      <w:r>
        <w:t xml:space="preserve"> </w:t>
      </w:r>
      <w:r>
        <w:t xml:space="preserve">6</w:t>
      </w:r>
      <w:r>
        <w:rPr>
          <w:rStyle w:val="VerbatimChar"/>
        </w:rPr>
        <w:t xml:space="preserve">3++ 3</w:t>
      </w:r>
      <w:r>
        <w:t xml:space="preserve">4++</w:t>
      </w:r>
      <w:r>
        <w:t xml:space="preserve"> </w:t>
      </w:r>
      <w:r>
        <w:t xml:space="preserve">1</w:t>
      </w:r>
      <w:r>
        <w:rPr>
          <w:rStyle w:val="VerbatimChar"/>
        </w:rPr>
        <w:t xml:space="preserve">5      lab_12'NextRec 1    1</w:t>
      </w:r>
      <w:r>
        <w:t xml:space="preserve">3++</w:t>
      </w:r>
      <w:r>
        <w:t xml:space="preserve"> </w:t>
      </w:r>
      <w:r>
        <w:t xml:space="preserve">1</w:t>
      </w:r>
      <w:r>
        <w:rPr>
          <w:rStyle w:val="VerbatimChar"/>
        </w:rPr>
        <w:t xml:space="preserve">4++ 1</w:t>
      </w:r>
      <w:r>
        <w:t xml:space="preserve">5</w:t>
      </w:r>
      <w:r>
        <w:t xml:space="preserve"> </w:t>
      </w:r>
      <w:r>
        <w:t xml:space="preserve">lab_12’NextSend 1 1</w:t>
      </w:r>
      <w:r>
        <w:rPr>
          <w:rStyle w:val="VerbatimChar"/>
        </w:rPr>
        <w:t xml:space="preserve">2++ 1</w:t>
      </w:r>
      <w:r>
        <w:t xml:space="preserve">3++</w:t>
      </w:r>
      <w:r>
        <w:t xml:space="preserve"> </w:t>
      </w:r>
      <w:r>
        <w:t xml:space="preserve">1</w:t>
      </w:r>
      <w:r>
        <w:rPr>
          <w:rStyle w:val="VerbatimChar"/>
        </w:rPr>
        <w:t xml:space="preserve">4      lab_12'Receiver 1   1</w:t>
      </w:r>
      <w:r>
        <w:t xml:space="preserve">“Modelling and An”</w:t>
      </w:r>
      <w:r>
        <w:t xml:space="preserve">++</w:t>
      </w:r>
      <w:r>
        <w:t xml:space="preserve"> </w:t>
      </w:r>
      <w:r>
        <w:t xml:space="preserve">1</w:t>
      </w:r>
      <w:r>
        <w:rPr>
          <w:rStyle w:val="VerbatimChar"/>
        </w:rPr>
        <w:t xml:space="preserve">"Modelling and Analysis b"++ 1</w:t>
      </w:r>
      <w:r>
        <w:t xml:space="preserve">“Modelling and Analysis by Means”</w:t>
      </w:r>
      <w:r>
        <w:t xml:space="preserve"> </w:t>
      </w:r>
      <w:r>
        <w:t xml:space="preserve">lab_12’SA 1 1</w:t>
      </w:r>
      <w:r>
        <w:rPr>
          <w:rStyle w:val="VerbatimChar"/>
        </w:rPr>
        <w:t xml:space="preserve">8      lab_12'SP 1         1</w:t>
      </w:r>
      <w:r>
        <w:t xml:space="preserve">8</w:t>
      </w:r>
      <w:r>
        <w:t xml:space="preserve"> </w:t>
      </w:r>
      <w:r>
        <w:t xml:space="preserve">lab_12’Send 1 1</w:t>
      </w:r>
      <w:r>
        <w:rPr>
          <w:rStyle w:val="VerbatimChar"/>
        </w:rPr>
        <w:t xml:space="preserve">(1,"Modellin")++ 1</w:t>
      </w:r>
      <w:r>
        <w:t xml:space="preserve">(2,</w:t>
      </w:r>
      <w:r>
        <w:t xml:space="preserve">“g and An”</w:t>
      </w:r>
      <w:r>
        <w:t xml:space="preserve">)++</w:t>
      </w:r>
      <w:r>
        <w:t xml:space="preserve"> </w:t>
      </w:r>
      <w:r>
        <w:t xml:space="preserve">1</w:t>
      </w:r>
      <w:r>
        <w:rPr>
          <w:rStyle w:val="VerbatimChar"/>
        </w:rPr>
        <w:t xml:space="preserve">(3,"alysis b")++ 1</w:t>
      </w:r>
      <w:r>
        <w:t xml:space="preserve">(4,</w:t>
      </w:r>
      <w:r>
        <w:t xml:space="preserve">“y Means”</w:t>
      </w:r>
      <w:r>
        <w:t xml:space="preserve">)++</w:t>
      </w:r>
      <w:r>
        <w:t xml:space="preserve"> </w:t>
      </w:r>
      <w:r>
        <w:t xml:space="preserve">1</w:t>
      </w:r>
      <w:r>
        <w:rPr>
          <w:rStyle w:val="VerbatimChar"/>
        </w:rPr>
        <w:t xml:space="preserve">(5,"of Colou")++ 1</w:t>
      </w:r>
      <w:r>
        <w:t xml:space="preserve">(6,</w:t>
      </w:r>
      <w:r>
        <w:t xml:space="preserve">“red Petr”</w:t>
      </w:r>
      <w:r>
        <w:t xml:space="preserve">)++</w:t>
      </w:r>
      <w:r>
        <w:t xml:space="preserve"> </w:t>
      </w:r>
      <w:r>
        <w:t xml:space="preserve">1</w:t>
      </w:r>
      <w:r>
        <w:rPr>
          <w:rStyle w:val="VerbatimChar"/>
        </w:rPr>
        <w:t xml:space="preserve">(7,"y Nets##")++ 1</w:t>
      </w:r>
      <w:r>
        <w:t xml:space="preserve">(8,</w:t>
      </w:r>
      <w:r>
        <w:t xml:space="preserve">“########”</w:t>
      </w:r>
      <w:r>
        <w:t xml:space="preserve">)</w:t>
      </w:r>
    </w:p>
    <w:p>
      <w:pPr>
        <w:pStyle w:val="BodyText"/>
      </w:pPr>
      <w:r>
        <w:t xml:space="preserve">Best Lower Multi-set Bounds</w:t>
      </w:r>
      <w:r>
        <w:t xml:space="preserve"> </w:t>
      </w:r>
      <w:r>
        <w:t xml:space="preserve">lab_12’A 1 empty</w:t>
      </w:r>
      <w:r>
        <w:t xml:space="preserve"> </w:t>
      </w:r>
      <w:r>
        <w:t xml:space="preserve">lab_12’B 1 empty</w:t>
      </w:r>
      <w:r>
        <w:t xml:space="preserve"> </w:t>
      </w:r>
      <w:r>
        <w:t xml:space="preserve">lab_12’C 1 empty</w:t>
      </w:r>
      <w:r>
        <w:t xml:space="preserve"> </w:t>
      </w:r>
      <w:r>
        <w:t xml:space="preserve">lab_12’D 1 empty</w:t>
      </w:r>
      <w:r>
        <w:t xml:space="preserve"> </w:t>
      </w:r>
      <w:r>
        <w:t xml:space="preserve">lab_12’NextRec 1 empty</w:t>
      </w:r>
      <w:r>
        <w:t xml:space="preserve"> </w:t>
      </w:r>
      <w:r>
        <w:t xml:space="preserve">lab_12’NextSend 1 empty</w:t>
      </w:r>
      <w:r>
        <w:t xml:space="preserve"> </w:t>
      </w:r>
      <w:r>
        <w:t xml:space="preserve">lab_12’Receiver 1 empty</w:t>
      </w:r>
      <w:r>
        <w:t xml:space="preserve"> </w:t>
      </w:r>
      <w:r>
        <w:t xml:space="preserve">lab_12’SA 1 1</w:t>
      </w:r>
      <w:r>
        <w:rPr>
          <w:rStyle w:val="VerbatimChar"/>
        </w:rPr>
        <w:t xml:space="preserve">8      lab_12'SP 1         1</w:t>
      </w:r>
      <w:r>
        <w:t xml:space="preserve">8</w:t>
      </w:r>
      <w:r>
        <w:t xml:space="preserve"> </w:t>
      </w:r>
      <w:r>
        <w:t xml:space="preserve">lab_12’Send 1 1</w:t>
      </w:r>
      <w:r>
        <w:rPr>
          <w:rStyle w:val="VerbatimChar"/>
        </w:rPr>
        <w:t xml:space="preserve">(1,"Modellin")++ 1</w:t>
      </w:r>
      <w:r>
        <w:t xml:space="preserve">(2,</w:t>
      </w:r>
      <w:r>
        <w:t xml:space="preserve">“g and An”</w:t>
      </w:r>
      <w:r>
        <w:t xml:space="preserve">)++</w:t>
      </w:r>
      <w:r>
        <w:t xml:space="preserve"> </w:t>
      </w:r>
      <w:r>
        <w:t xml:space="preserve">1</w:t>
      </w:r>
      <w:r>
        <w:rPr>
          <w:rStyle w:val="VerbatimChar"/>
        </w:rPr>
        <w:t xml:space="preserve">(3,"alysis b")++ 1</w:t>
      </w:r>
      <w:r>
        <w:t xml:space="preserve">(4,</w:t>
      </w:r>
      <w:r>
        <w:t xml:space="preserve">“y Means”</w:t>
      </w:r>
      <w:r>
        <w:t xml:space="preserve">)++</w:t>
      </w:r>
      <w:r>
        <w:t xml:space="preserve"> </w:t>
      </w:r>
      <w:r>
        <w:t xml:space="preserve">1</w:t>
      </w:r>
      <w:r>
        <w:rPr>
          <w:rStyle w:val="VerbatimChar"/>
        </w:rPr>
        <w:t xml:space="preserve">(5,"of Colou")++ 1</w:t>
      </w:r>
      <w:r>
        <w:t xml:space="preserve">(6,</w:t>
      </w:r>
      <w:r>
        <w:t xml:space="preserve">“red Petr”</w:t>
      </w:r>
      <w:r>
        <w:t xml:space="preserve">)++</w:t>
      </w:r>
      <w:r>
        <w:t xml:space="preserve"> </w:t>
      </w:r>
      <w:r>
        <w:t xml:space="preserve">1</w:t>
      </w:r>
      <w:r>
        <w:rPr>
          <w:rStyle w:val="VerbatimChar"/>
        </w:rPr>
        <w:t xml:space="preserve">(7,"y Nets##")++ 1</w:t>
      </w:r>
      <w:r>
        <w:t xml:space="preserve">(8,</w:t>
      </w:r>
      <w:r>
        <w:t xml:space="preserve">“########”</w:t>
      </w:r>
      <w:r>
        <w:t xml:space="preserve">)</w:t>
      </w:r>
    </w:p>
    <w:bookmarkEnd w:id="63"/>
    <w:bookmarkStart w:id="64" w:name="home-properti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Home Properties</w:t>
      </w:r>
    </w:p>
    <w:p>
      <w:pPr>
        <w:pStyle w:val="FirstParagraph"/>
      </w:pPr>
      <w:r>
        <w:t xml:space="preserve">Home Markings</w:t>
      </w:r>
      <w:r>
        <w:t xml:space="preserve"> </w:t>
      </w:r>
      <w:r>
        <w:t xml:space="preserve">None</w:t>
      </w:r>
    </w:p>
    <w:bookmarkEnd w:id="64"/>
    <w:bookmarkStart w:id="65" w:name="liveness-properti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Liveness Properties</w:t>
      </w:r>
    </w:p>
    <w:p>
      <w:pPr>
        <w:pStyle w:val="FirstParagraph"/>
      </w:pPr>
      <w:r>
        <w:t xml:space="preserve">Dead Markings</w:t>
      </w:r>
      <w:r>
        <w:t xml:space="preserve"> </w:t>
      </w:r>
      <w:r>
        <w:t xml:space="preserve">6555 [9999,9998,9997,9996,9995,…]</w:t>
      </w:r>
    </w:p>
    <w:p>
      <w:pPr>
        <w:pStyle w:val="BodyText"/>
      </w:pPr>
      <w:r>
        <w:t xml:space="preserve">Dead Transition Instances</w:t>
      </w:r>
      <w:r>
        <w:t xml:space="preserve"> </w:t>
      </w:r>
      <w:r>
        <w:t xml:space="preserve">None</w:t>
      </w:r>
    </w:p>
    <w:p>
      <w:pPr>
        <w:pStyle w:val="BodyText"/>
      </w:pPr>
      <w:r>
        <w:t xml:space="preserve">Live Transition Instances</w:t>
      </w:r>
      <w:r>
        <w:t xml:space="preserve"> </w:t>
      </w:r>
      <w:r>
        <w:t xml:space="preserve">None</w:t>
      </w:r>
    </w:p>
    <w:bookmarkEnd w:id="65"/>
    <w:bookmarkStart w:id="66" w:name="fairness-propertie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Fairness Properties</w:t>
      </w:r>
    </w:p>
    <w:p>
      <w:pPr>
        <w:pStyle w:val="SourceCode"/>
      </w:pPr>
      <w:r>
        <w:rPr>
          <w:rStyle w:val="VerbatimChar"/>
        </w:rPr>
        <w:t xml:space="preserve">   lab_12'Received_Packet 1</w:t>
      </w:r>
      <w:r>
        <w:br/>
      </w:r>
      <w:r>
        <w:rPr>
          <w:rStyle w:val="VerbatimChar"/>
        </w:rPr>
        <w:t xml:space="preserve">                     No Fairness</w:t>
      </w:r>
      <w:r>
        <w:br/>
      </w:r>
      <w:r>
        <w:rPr>
          <w:rStyle w:val="VerbatimChar"/>
        </w:rPr>
        <w:t xml:space="preserve">   lab_12'Send_ACK 1      No Fairness</w:t>
      </w:r>
      <w:r>
        <w:br/>
      </w:r>
      <w:r>
        <w:rPr>
          <w:rStyle w:val="VerbatimChar"/>
        </w:rPr>
        <w:t xml:space="preserve">   lab_12'Send_Packet 1   Impartial</w:t>
      </w:r>
      <w:r>
        <w:br/>
      </w:r>
      <w:r>
        <w:rPr>
          <w:rStyle w:val="VerbatimChar"/>
        </w:rPr>
        <w:t xml:space="preserve">   lab_12'Transmit_ACK 1  No Fairness</w:t>
      </w:r>
      <w:r>
        <w:br/>
      </w:r>
      <w:r>
        <w:rPr>
          <w:rStyle w:val="VerbatimChar"/>
        </w:rPr>
        <w:t xml:space="preserve">   lab_12'Transmit_Packet 1</w:t>
      </w:r>
      <w:r>
        <w:br/>
      </w:r>
      <w:r>
        <w:rPr>
          <w:rStyle w:val="VerbatimChar"/>
        </w:rPr>
        <w:t xml:space="preserve">                     Impartial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 реализован в CPN Tools простой протокол передачи данных и проведен анализ его пространства состояний.</w:t>
      </w:r>
    </w:p>
    <w:bookmarkEnd w:id="68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69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12. Пример моделирования простого протокола передачи данных [Электронный ресурс].</w:t>
      </w:r>
    </w:p>
    <w:bookmarkEnd w:id="69"/>
    <w:bookmarkStart w:id="70" w:name="ref-cp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Сети Петри. Моделирование в CPN Tools [Электронный ресурс].</w:t>
      </w:r>
    </w:p>
    <w:bookmarkEnd w:id="70"/>
    <w:bookmarkEnd w:id="71"/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12</dc:title>
  <dc:creator>Наталья Андреевна Сидорова</dc:creator>
  <dc:language>ru-RU</dc:language>
  <cp:keywords/>
  <dcterms:created xsi:type="dcterms:W3CDTF">2025-04-25T15:40:16Z</dcterms:created>
  <dcterms:modified xsi:type="dcterms:W3CDTF">2025-04-25T15:40:16Z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Пример моделирования простого протокола передачи данных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