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89"/>
          <w:sz w:val="44"/>
        </w:rPr>
        <w:t>Tila Mobile</w:t>
        <w:br/>
        <w:t>Code Review Feedback</w:t>
      </w:r>
    </w:p>
    <w:p>
      <w:pPr>
        <w:jc w:val="center"/>
      </w:pPr>
      <w:r>
        <w:rPr>
          <w:rFonts w:ascii="Arial" w:hAnsi="Arial"/>
          <w:color w:val="6B7280"/>
          <w:sz w:val="21"/>
        </w:rPr>
        <w:t>Repository: nasif440-iqra/tila-mobile</w:t>
        <w:br/>
        <w:t>Prepared April 1,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vAlign w:val="center"/>
            <w:tcBorders>
              <w:left w:sz="6" w:val="single" w:color="D7E3F3"/>
              <w:top w:sz="6" w:val="single" w:color="D7E3F3"/>
              <w:right w:sz="6" w:val="single" w:color="D7E3F3"/>
              <w:bottom w:sz="6" w:val="single" w:color="D7E3F3"/>
            </w:tcBorders>
            <w:shd w:fill="EAF2FB"/>
          </w:tcPr>
          <w:p>
            <w:pPr>
              <w:spacing w:before="40" w:after="40" w:line="264" w:lineRule="auto"/>
              <w:jc w:val="left"/>
            </w:pPr>
            <w:r>
              <w:rPr>
                <w:b/>
                <w:color w:val="1D4E89"/>
                <w:sz w:val="22"/>
              </w:rPr>
              <w:t>Executive Summary</w:t>
            </w:r>
          </w:p>
        </w:tc>
      </w:tr>
      <w:tr>
        <w:tc>
          <w:tcPr>
            <w:tcW w:type="dxa" w:w="9936"/>
            <w:vAlign w:val="center"/>
            <w:tcBorders>
              <w:left w:sz="6" w:val="single" w:color="D7E3F3"/>
              <w:top w:sz="6" w:val="single" w:color="D7E3F3"/>
              <w:right w:sz="6" w:val="single" w:color="D7E3F3"/>
              <w:bottom w:sz="6" w:val="single" w:color="D7E3F3"/>
            </w:tcBorders>
            <w:shd w:fill="FFFFFF"/>
          </w:tcPr>
          <w:p>
            <w:pPr>
              <w:spacing w:before="40" w:after="60" w:line="264" w:lineRule="auto"/>
            </w:pPr>
            <w:r>
              <w:rPr>
                <w:b/>
                <w:color w:val="1F2937"/>
              </w:rPr>
              <w:t xml:space="preserve">Verdict: </w:t>
            </w:r>
            <w:r>
              <w:rPr>
                <w:color w:val="1F2937"/>
              </w:rPr>
              <w:t>promising repo, real product shape, but the state model is starting to crack under complexity.</w:t>
            </w:r>
          </w:p>
          <w:p>
            <w:pPr>
              <w:spacing w:after="60"/>
            </w:pPr>
            <w:r>
              <w:rPr>
                <w:b/>
              </w:rPr>
              <w:t xml:space="preserve">Overall grade: </w:t>
            </w:r>
            <w:r>
              <w:t>B / B- today.</w:t>
            </w:r>
          </w:p>
          <w:p>
            <w:pPr>
              <w:spacing w:after="0"/>
            </w:pPr>
            <w:r>
              <w:rPr>
                <w:b/>
              </w:rPr>
              <w:t xml:space="preserve">Bottom line: </w:t>
            </w:r>
            <w:r>
              <w:t>the codebase is good enough to keep building on, but not good enough to keep scaling feature-by-feature without a cleanup pass. The next bottleneck is reliability of shared state and lesson completion, not UI polish.</w:t>
            </w:r>
          </w:p>
        </w:tc>
      </w:tr>
    </w:tbl>
    <w:p/>
    <w:p>
      <w:pPr>
        <w:pStyle w:val="Heading1"/>
        <w:spacing w:before="240" w:after="120"/>
      </w:pPr>
      <w:r>
        <w:rPr>
          <w:b/>
          <w:color w:val="1D4E89"/>
          <w:sz w:val="30"/>
        </w:rPr>
        <w:t>Assessment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728"/>
        <w:gridCol w:w="4608"/>
      </w:tblGrid>
      <w:tr>
        <w:tc>
          <w:tcPr>
            <w:tcW w:type="dxa" w:w="3312"/>
            <w:vAlign w:val="center"/>
            <w:tcBorders>
              <w:left w:sz="6" w:val="single" w:color="D7E3F3"/>
              <w:top w:sz="6" w:val="single" w:color="D7E3F3"/>
              <w:right w:sz="6" w:val="single" w:color="D7E3F3"/>
              <w:bottom w:sz="6" w:val="single" w:color="D7E3F3"/>
            </w:tcBorders>
            <w:shd w:fill="EAF2FB"/>
          </w:tcPr>
          <w:p>
            <w:pPr>
              <w:spacing w:before="40" w:after="40" w:line="264" w:lineRule="auto"/>
              <w:jc w:val="left"/>
            </w:pPr>
            <w:r>
              <w:rPr>
                <w:b/>
                <w:color w:val="1D4E89"/>
              </w:rPr>
              <w:t>Area</w:t>
            </w:r>
          </w:p>
        </w:tc>
        <w:tc>
          <w:tcPr>
            <w:tcW w:type="dxa" w:w="3312"/>
            <w:vAlign w:val="center"/>
            <w:tcBorders>
              <w:left w:sz="6" w:val="single" w:color="D7E3F3"/>
              <w:top w:sz="6" w:val="single" w:color="D7E3F3"/>
              <w:right w:sz="6" w:val="single" w:color="D7E3F3"/>
              <w:bottom w:sz="6" w:val="single" w:color="D7E3F3"/>
            </w:tcBorders>
            <w:shd w:fill="EAF2FB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1D4E89"/>
              </w:rPr>
              <w:t>Rating</w:t>
            </w:r>
          </w:p>
        </w:tc>
        <w:tc>
          <w:tcPr>
            <w:tcW w:type="dxa" w:w="3312"/>
            <w:vAlign w:val="center"/>
            <w:tcBorders>
              <w:left w:sz="6" w:val="single" w:color="D7E3F3"/>
              <w:top w:sz="6" w:val="single" w:color="D7E3F3"/>
              <w:right w:sz="6" w:val="single" w:color="D7E3F3"/>
              <w:bottom w:sz="6" w:val="single" w:color="D7E3F3"/>
            </w:tcBorders>
            <w:shd w:fill="EAF2FB"/>
          </w:tcPr>
          <w:p>
            <w:pPr>
              <w:spacing w:before="40" w:after="40" w:line="264" w:lineRule="auto"/>
              <w:jc w:val="left"/>
            </w:pPr>
            <w:r>
              <w:rPr>
                <w:b/>
                <w:color w:val="1D4E89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sz w:val="20"/>
              </w:rPr>
              <w:t>Product architecture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Good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Clear separation between app shell, engine, DB, monetization, analytics, and design system.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sz w:val="20"/>
              </w:rPr>
              <w:t>Code organization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Good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More structured than a typical early-stage solo founder repo.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sz w:val="20"/>
              </w:rPr>
              <w:t>Reliability under growth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Shaky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State is fragmented across multiple DB-backed hooks and screens.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sz w:val="20"/>
              </w:rPr>
              <w:t>Testing confidence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Mediocre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There is breadth of tests, but some high-risk cases are only lightly validated.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sz w:val="20"/>
              </w:rPr>
              <w:t>Founder speed vs maintainability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Acceptable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Still moving fast, but close to the point where cleanup becomes necessary.</w:t>
            </w:r>
          </w:p>
        </w:tc>
      </w:tr>
    </w:tbl>
    <w:p/>
    <w:p>
      <w:pPr>
        <w:pStyle w:val="Heading1"/>
        <w:spacing w:before="240" w:after="120"/>
      </w:pPr>
      <w:r>
        <w:rPr>
          <w:b/>
          <w:color w:val="1D4E89"/>
          <w:sz w:val="30"/>
        </w:rPr>
        <w:t>What Is Working Well</w:t>
      </w:r>
    </w:p>
    <w:p>
      <w:pPr>
        <w:pStyle w:val="ListBullet"/>
        <w:spacing w:after="40" w:line="276" w:lineRule="auto"/>
        <w:ind w:left="288"/>
      </w:pPr>
      <w:r>
        <w:rPr>
          <w:rFonts w:ascii="Arial" w:hAnsi="Arial"/>
          <w:sz w:val="21"/>
        </w:rPr>
        <w:t>The repo has real product shape. It is not vibe-coded chaos; there is a legitimate architecture here.</w:t>
      </w:r>
    </w:p>
    <w:p>
      <w:pPr>
        <w:pStyle w:val="ListBullet"/>
        <w:spacing w:after="40" w:line="276" w:lineRule="auto"/>
        <w:ind w:left="288"/>
      </w:pPr>
      <w:r>
        <w:rPr>
          <w:rFonts w:ascii="Arial" w:hAnsi="Arial"/>
          <w:sz w:val="21"/>
        </w:rPr>
        <w:t>Responsibility is separated reasonably well across Expo Router screens, engine/domain logic, SQLite persistence, analytics, monetization wrappers, and a design system.</w:t>
      </w:r>
    </w:p>
    <w:p>
      <w:pPr>
        <w:pStyle w:val="ListBullet"/>
        <w:spacing w:after="40" w:line="276" w:lineRule="auto"/>
        <w:ind w:left="288"/>
      </w:pPr>
      <w:r>
        <w:rPr>
          <w:rFonts w:ascii="Arial" w:hAnsi="Arial"/>
          <w:sz w:val="21"/>
        </w:rPr>
        <w:t>The database bootstrap/provider is more careful than expected for an early-stage app: it has explicit loading, ready, and error states plus timeout and stale-attempt protection.</w:t>
      </w:r>
    </w:p>
    <w:p>
      <w:pPr>
        <w:pStyle w:val="ListBullet"/>
        <w:spacing w:after="40" w:line="276" w:lineRule="auto"/>
        <w:ind w:left="288"/>
      </w:pPr>
      <w:r>
        <w:rPr>
          <w:rFonts w:ascii="Arial" w:hAnsi="Arial"/>
          <w:sz w:val="21"/>
        </w:rPr>
        <w:t>The monetization layer is abstracted cleanly enough that app code does not need to own every RevenueCat detail directly.</w:t>
      </w:r>
    </w:p>
    <w:p>
      <w:pPr>
        <w:pStyle w:val="ListBullet"/>
        <w:spacing w:after="40" w:line="276" w:lineRule="auto"/>
        <w:ind w:left="288"/>
      </w:pPr>
      <w:r>
        <w:rPr>
          <w:rFonts w:ascii="Arial" w:hAnsi="Arial"/>
          <w:sz w:val="21"/>
        </w:rPr>
        <w:t>The premium gating logic appears more conservative now and is designed to avoid the brief false-lock flash while subscription state is loading.</w:t>
      </w:r>
    </w:p>
    <w:p>
      <w:pPr>
        <w:pStyle w:val="Heading1"/>
        <w:spacing w:before="240" w:after="120"/>
      </w:pPr>
      <w:r>
        <w:rPr>
          <w:b/>
          <w:color w:val="1D4E89"/>
          <w:sz w:val="30"/>
        </w:rPr>
        <w:t>Main Concerns</w:t>
      </w:r>
    </w:p>
    <w:p>
      <w:pPr>
        <w:pStyle w:val="Heading2"/>
        <w:spacing w:before="200" w:after="80"/>
      </w:pPr>
      <w:r>
        <w:rPr>
          <w:b/>
          <w:color w:val="1F2937"/>
          <w:sz w:val="23"/>
        </w:rPr>
        <w:t>1. State fragmentation</w:t>
      </w:r>
    </w:p>
    <w:p>
      <w:pPr/>
      <w:r>
        <w:t>This is the biggest architectural issue. Progress and habit data are being loaded through local-state hooks that refresh independently, while multiple screens and helper components each instantiate their own view of state. The app does not have one shared source of truth; it has several DB-backed views of truth that are refreshed manually.</w:t>
      </w:r>
    </w:p>
    <w:p>
      <w:pPr>
        <w:pStyle w:val="ListBullet"/>
        <w:spacing w:after="40" w:line="276" w:lineRule="auto"/>
        <w:ind w:left="576"/>
      </w:pPr>
      <w:r>
        <w:rPr>
          <w:rFonts w:ascii="Arial" w:hAnsi="Arial"/>
          <w:sz w:val="21"/>
        </w:rPr>
        <w:t>This works at the current size, but it increases the chance of stale reads, awkward refresh bugs, duplicated DB work, and harder-to-reason-about user flows.</w:t>
      </w:r>
    </w:p>
    <w:p>
      <w:pPr>
        <w:pStyle w:val="ListBullet"/>
        <w:spacing w:after="40" w:line="276" w:lineRule="auto"/>
        <w:ind w:left="576"/>
      </w:pPr>
      <w:r>
        <w:rPr>
          <w:rFonts w:ascii="Arial" w:hAnsi="Arial"/>
          <w:sz w:val="21"/>
        </w:rPr>
        <w:t>The pattern is especially risky in an offline-first learning app because the UI can appear correct while still operating on old in-memory state.</w:t>
      </w:r>
    </w:p>
    <w:p>
      <w:pPr>
        <w:pStyle w:val="Heading2"/>
        <w:spacing w:before="200" w:after="80"/>
      </w:pPr>
      <w:r>
        <w:rPr>
          <w:b/>
          <w:color w:val="1F2937"/>
          <w:sz w:val="23"/>
        </w:rPr>
        <w:t>2. Lesson completion flow may be using stale React state</w:t>
      </w:r>
    </w:p>
    <w:p>
      <w:pPr/>
      <w:r>
        <w:t>The lesson completion path appears to snapshot mastery state, await lesson completion, and then inspect mastery again to determine whether to show newly-mastered celebration UI. Because the hook state refreshes asynchronously, the second read can still reflect the stale closure value from the same render cycle.</w:t>
      </w:r>
    </w:p>
    <w:p>
      <w:pPr>
        <w:pStyle w:val="ListBullet"/>
        <w:spacing w:after="40" w:line="276" w:lineRule="auto"/>
        <w:ind w:left="576"/>
      </w:pPr>
      <w:r>
        <w:rPr>
          <w:rFonts w:ascii="Arial" w:hAnsi="Arial"/>
          <w:sz w:val="21"/>
        </w:rPr>
        <w:t>Likely symptom: mastery celebrations or newly-mastered detection may be inconsistent or silently missed.</w:t>
      </w:r>
    </w:p>
    <w:p>
      <w:pPr>
        <w:pStyle w:val="Heading2"/>
        <w:spacing w:before="200" w:after="80"/>
      </w:pPr>
      <w:r>
        <w:rPr>
          <w:b/>
          <w:color w:val="1F2937"/>
          <w:sz w:val="23"/>
        </w:rPr>
        <w:t>3. Completion workflow is not clearly atomic</w:t>
      </w:r>
    </w:p>
    <w:p>
      <w:pPr/>
      <w:r>
        <w:t>Lesson completion looks like a sequence of separate writes rather than one higher-level transactional command. In practical terms, that means a failure partway through the flow could leave partially written progress, mastery, or review data.</w:t>
      </w:r>
    </w:p>
    <w:p>
      <w:pPr>
        <w:pStyle w:val="ListBullet"/>
        <w:spacing w:after="40" w:line="276" w:lineRule="auto"/>
        <w:ind w:left="576"/>
      </w:pPr>
      <w:r>
        <w:rPr>
          <w:rFonts w:ascii="Arial" w:hAnsi="Arial"/>
          <w:sz w:val="21"/>
        </w:rPr>
        <w:t>For an educational app, completion should behave like one atomic domain event.</w:t>
      </w:r>
    </w:p>
    <w:p>
      <w:pPr>
        <w:pStyle w:val="Heading2"/>
        <w:spacing w:before="200" w:after="80"/>
      </w:pPr>
      <w:r>
        <w:rPr>
          <w:b/>
          <w:color w:val="1F2937"/>
          <w:sz w:val="23"/>
        </w:rPr>
        <w:t>4. Test coverage is broad but not deep enough where it matters</w:t>
      </w:r>
    </w:p>
    <w:p>
      <w:pPr/>
      <w:r>
        <w:t>The project has a healthy number of test files, which is encouraging. The issue is that some of the most important tests do not strongly prove runtime behavior.</w:t>
      </w:r>
    </w:p>
    <w:p>
      <w:pPr>
        <w:pStyle w:val="ListBullet"/>
        <w:spacing w:after="40" w:line="276" w:lineRule="auto"/>
        <w:ind w:left="576"/>
      </w:pPr>
      <w:r>
        <w:rPr>
          <w:rFonts w:ascii="Arial" w:hAnsi="Arial"/>
          <w:sz w:val="21"/>
        </w:rPr>
        <w:t>A few tests match source text or validate that functions exist rather than exercising real behavior.</w:t>
      </w:r>
    </w:p>
    <w:p>
      <w:pPr>
        <w:pStyle w:val="ListBullet"/>
        <w:spacing w:after="40" w:line="276" w:lineRule="auto"/>
        <w:ind w:left="576"/>
      </w:pPr>
      <w:r>
        <w:rPr>
          <w:rFonts w:ascii="Arial" w:hAnsi="Arial"/>
          <w:sz w:val="21"/>
        </w:rPr>
        <w:t>Some critical user flows would still benefit from stronger end-to-end or integration-style validation.</w:t>
      </w:r>
    </w:p>
    <w:p>
      <w:pPr>
        <w:pStyle w:val="Heading1"/>
        <w:spacing w:before="240" w:after="120"/>
      </w:pPr>
      <w:r>
        <w:rPr>
          <w:b/>
          <w:color w:val="1D4E89"/>
          <w:sz w:val="30"/>
        </w:rPr>
        <w:t>What This Means for the Product</w:t>
      </w:r>
    </w:p>
    <w:p>
      <w:pPr>
        <w:pStyle w:val="ListBullet"/>
        <w:spacing w:after="40" w:line="276" w:lineRule="auto"/>
        <w:ind w:left="288"/>
      </w:pPr>
      <w:r>
        <w:rPr>
          <w:rFonts w:ascii="Arial" w:hAnsi="Arial"/>
          <w:sz w:val="21"/>
        </w:rPr>
        <w:t>You can keep building on this repo.</w:t>
      </w:r>
    </w:p>
    <w:p>
      <w:pPr>
        <w:pStyle w:val="ListBullet"/>
        <w:spacing w:after="40" w:line="276" w:lineRule="auto"/>
        <w:ind w:left="288"/>
      </w:pPr>
      <w:r>
        <w:rPr>
          <w:rFonts w:ascii="Arial" w:hAnsi="Arial"/>
          <w:sz w:val="21"/>
        </w:rPr>
        <w:t>You should not keep layering feature after feature onto the current state model without a cleanup pass.</w:t>
      </w:r>
    </w:p>
    <w:p>
      <w:pPr>
        <w:pStyle w:val="ListBullet"/>
        <w:spacing w:after="40" w:line="276" w:lineRule="auto"/>
        <w:ind w:left="288"/>
      </w:pPr>
      <w:r>
        <w:rPr>
          <w:rFonts w:ascii="Arial" w:hAnsi="Arial"/>
          <w:sz w:val="21"/>
        </w:rPr>
        <w:t>The next technical bottleneck is reliability of shared state and lesson completion behavior, not visual polish.</w:t>
      </w:r>
    </w:p>
    <w:p>
      <w:pPr>
        <w:pStyle w:val="Heading1"/>
        <w:spacing w:before="240" w:after="120"/>
      </w:pPr>
      <w:r>
        <w:rPr>
          <w:b/>
          <w:color w:val="1D4E89"/>
          <w:sz w:val="30"/>
        </w:rPr>
        <w:t>Recommended Priorities</w:t>
      </w:r>
    </w:p>
    <w:p>
      <w:pPr>
        <w:pStyle w:val="Heading2"/>
        <w:spacing w:before="200" w:after="80"/>
      </w:pPr>
      <w:r>
        <w:rPr>
          <w:b/>
          <w:color w:val="1F2937"/>
          <w:sz w:val="23"/>
        </w:rPr>
        <w:t>Priority 1: Introduce a single shared app-state layer</w:t>
      </w:r>
    </w:p>
    <w:p>
      <w:pPr>
        <w:pStyle w:val="ListNumber"/>
        <w:spacing w:after="40" w:line="276" w:lineRule="auto"/>
        <w:ind w:left="288"/>
      </w:pPr>
      <w:r>
        <w:rPr>
          <w:rFonts w:ascii="Arial" w:hAnsi="Arial"/>
          <w:sz w:val="21"/>
        </w:rPr>
        <w:t>Create one shared state layer for progress, habit, and subscription reads instead of having multiple DB-backed hooks instantiated across the tree.</w:t>
      </w:r>
    </w:p>
    <w:p>
      <w:pPr>
        <w:pStyle w:val="ListNumber"/>
        <w:spacing w:after="40" w:line="276" w:lineRule="auto"/>
        <w:ind w:left="288"/>
      </w:pPr>
      <w:r>
        <w:rPr>
          <w:rFonts w:ascii="Arial" w:hAnsi="Arial"/>
          <w:sz w:val="21"/>
        </w:rPr>
        <w:t>Make screens subscribe to the same canonical state instead of refreshing isolated local snapshots.</w:t>
      </w:r>
    </w:p>
    <w:p>
      <w:pPr>
        <w:pStyle w:val="Heading2"/>
        <w:spacing w:before="200" w:after="80"/>
      </w:pPr>
      <w:r>
        <w:rPr>
          <w:b/>
          <w:color w:val="1F2937"/>
          <w:sz w:val="23"/>
        </w:rPr>
        <w:t>Priority 2: Turn lesson completion into one transaction-backed command</w:t>
      </w:r>
    </w:p>
    <w:p>
      <w:pPr>
        <w:pStyle w:val="ListNumber"/>
        <w:spacing w:after="40" w:line="276" w:lineRule="auto"/>
        <w:ind w:left="288"/>
      </w:pPr>
      <w:r>
        <w:rPr>
          <w:rFonts w:ascii="Arial" w:hAnsi="Arial"/>
          <w:sz w:val="21"/>
        </w:rPr>
        <w:t>Refactor completion into one atomic domain command that handles all related writes together.</w:t>
      </w:r>
    </w:p>
    <w:p>
      <w:pPr>
        <w:pStyle w:val="ListNumber"/>
        <w:spacing w:after="40" w:line="276" w:lineRule="auto"/>
        <w:ind w:left="288"/>
      </w:pPr>
      <w:r>
        <w:rPr>
          <w:rFonts w:ascii="Arial" w:hAnsi="Arial"/>
          <w:sz w:val="21"/>
        </w:rPr>
        <w:t>Have that command return the fresh post-write state the screen needs for summary and celebration UI.</w:t>
      </w:r>
    </w:p>
    <w:p>
      <w:pPr>
        <w:pStyle w:val="Heading2"/>
        <w:spacing w:before="200" w:after="80"/>
      </w:pPr>
      <w:r>
        <w:rPr>
          <w:b/>
          <w:color w:val="1F2937"/>
          <w:sz w:val="23"/>
        </w:rPr>
        <w:t>Priority 3: Fix the mastery celebration logic</w:t>
      </w:r>
    </w:p>
    <w:p>
      <w:pPr>
        <w:pStyle w:val="ListNumber"/>
        <w:spacing w:after="40" w:line="276" w:lineRule="auto"/>
        <w:ind w:left="288"/>
      </w:pPr>
      <w:r>
        <w:rPr>
          <w:rFonts w:ascii="Arial" w:hAnsi="Arial"/>
          <w:sz w:val="21"/>
        </w:rPr>
        <w:t>Do not rely on a stale hook closure immediately after awaiting a write.</w:t>
      </w:r>
    </w:p>
    <w:p>
      <w:pPr>
        <w:pStyle w:val="ListNumber"/>
        <w:spacing w:after="40" w:line="276" w:lineRule="auto"/>
        <w:ind w:left="288"/>
      </w:pPr>
      <w:r>
        <w:rPr>
          <w:rFonts w:ascii="Arial" w:hAnsi="Arial"/>
          <w:sz w:val="21"/>
        </w:rPr>
        <w:t>Use the fresh mastery data returned from the completion command instead.</w:t>
      </w:r>
    </w:p>
    <w:p>
      <w:pPr>
        <w:pStyle w:val="Heading2"/>
        <w:spacing w:before="200" w:after="80"/>
      </w:pPr>
      <w:r>
        <w:rPr>
          <w:b/>
          <w:color w:val="1F2937"/>
          <w:sz w:val="23"/>
        </w:rPr>
        <w:t>Priority 4: Replace weak tests with high-value behavior tests</w:t>
      </w:r>
    </w:p>
    <w:p>
      <w:pPr>
        <w:pStyle w:val="ListNumber"/>
        <w:spacing w:after="40" w:line="276" w:lineRule="auto"/>
        <w:ind w:left="288"/>
      </w:pPr>
      <w:r>
        <w:rPr>
          <w:rFonts w:ascii="Arial" w:hAnsi="Arial"/>
          <w:sz w:val="21"/>
        </w:rPr>
        <w:t>Focus on onboarding, lesson completion, premium locking, restore purchases, and review generation.</w:t>
      </w:r>
    </w:p>
    <w:p>
      <w:pPr>
        <w:pStyle w:val="ListNumber"/>
        <w:spacing w:after="40" w:line="276" w:lineRule="auto"/>
        <w:ind w:left="288"/>
      </w:pPr>
      <w:r>
        <w:rPr>
          <w:rFonts w:ascii="Arial" w:hAnsi="Arial"/>
          <w:sz w:val="21"/>
        </w:rPr>
        <w:t>A few reliable integration-style tests will do more for confidence than many light structural tests.</w:t>
      </w:r>
    </w:p>
    <w:p>
      <w:pPr>
        <w:pStyle w:val="Heading1"/>
        <w:spacing w:before="240" w:after="120"/>
      </w:pPr>
      <w:r>
        <w:rPr>
          <w:b/>
          <w:color w:val="1D4E89"/>
          <w:sz w:val="30"/>
        </w:rPr>
        <w:t>Suggested Rollout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92"/>
        <w:gridCol w:w="5760"/>
      </w:tblGrid>
      <w:tr>
        <w:tc>
          <w:tcPr>
            <w:tcW w:type="dxa" w:w="3312"/>
            <w:vAlign w:val="center"/>
            <w:tcBorders>
              <w:left w:sz="6" w:val="single" w:color="D7E3F3"/>
              <w:top w:sz="6" w:val="single" w:color="D7E3F3"/>
              <w:right w:sz="6" w:val="single" w:color="D7E3F3"/>
              <w:bottom w:sz="6" w:val="single" w:color="D7E3F3"/>
            </w:tcBorders>
            <w:shd w:fill="EAF2FB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1D4E89"/>
              </w:rPr>
              <w:t>Phase</w:t>
            </w:r>
          </w:p>
        </w:tc>
        <w:tc>
          <w:tcPr>
            <w:tcW w:type="dxa" w:w="3312"/>
            <w:vAlign w:val="center"/>
            <w:tcBorders>
              <w:left w:sz="6" w:val="single" w:color="D7E3F3"/>
              <w:top w:sz="6" w:val="single" w:color="D7E3F3"/>
              <w:right w:sz="6" w:val="single" w:color="D7E3F3"/>
              <w:bottom w:sz="6" w:val="single" w:color="D7E3F3"/>
            </w:tcBorders>
            <w:shd w:fill="EAF2FB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1D4E89"/>
              </w:rPr>
              <w:t>Timing</w:t>
            </w:r>
          </w:p>
        </w:tc>
        <w:tc>
          <w:tcPr>
            <w:tcW w:type="dxa" w:w="3312"/>
            <w:vAlign w:val="center"/>
            <w:tcBorders>
              <w:left w:sz="6" w:val="single" w:color="D7E3F3"/>
              <w:top w:sz="6" w:val="single" w:color="D7E3F3"/>
              <w:right w:sz="6" w:val="single" w:color="D7E3F3"/>
              <w:bottom w:sz="6" w:val="single" w:color="D7E3F3"/>
            </w:tcBorders>
            <w:shd w:fill="EAF2FB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1D4E89"/>
              </w:rPr>
              <w:t>Focus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Immediate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Stabilize lesson completion and mastery celebration logic.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Near-term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Introduce a shared state model for progress, habits, and subscription visibility.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Near-term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Add a small set of high-signal integration tests for critical user flows.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sz w:val="20"/>
              </w:rPr>
              <w:t>After stability work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sz w:val="20"/>
              </w:rPr>
              <w:t>Resume feature work and UI polish on top of a more reliable base.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1D4E89"/>
          <w:sz w:val="30"/>
        </w:rPr>
        <w:t>Closing Assessment</w:t>
      </w:r>
    </w:p>
    <w:p>
      <w:pPr>
        <w:spacing w:after="80"/>
      </w:pPr>
      <w:r>
        <w:rPr>
          <w:b/>
          <w:color w:val="1D4E89"/>
        </w:rPr>
        <w:t xml:space="preserve">Blunt assessment: </w:t>
      </w:r>
      <w:r>
        <w:rPr>
          <w:color w:val="1F2937"/>
        </w:rPr>
        <w:t>this repo is better than many early-stage founder-built apps. The concern is not that it is messy everywhere; the concern is that the current state model will become the limiting factor if development continues at the same pace without consolidation.</w:t>
      </w:r>
    </w:p>
    <w:p>
      <w:pPr>
        <w:spacing w:after="0"/>
      </w:pPr>
      <w:r>
        <w:rPr>
          <w:b/>
          <w:color w:val="1D4E89"/>
        </w:rPr>
        <w:t xml:space="preserve">Recommendation: </w:t>
      </w:r>
      <w:r>
        <w:rPr>
          <w:color w:val="1F2937"/>
        </w:rPr>
        <w:t>treat state reliability and lesson-completion correctness as the next real engineering milestone.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