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ab2c8d3b6b624b6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BA71" w14:textId="45B9DB9E" w:rsidR="000B7E2D" w:rsidRPr="005A3A8F" w:rsidRDefault="00BA62B6" w:rsidP="00B634AA">
      <w:pPr>
        <w:pStyle w:val="Title1"/>
        <w:tabs>
          <w:tab w:val="left" w:pos="12960"/>
        </w:tabs>
        <w:spacing w:after="1680"/>
        <w:ind w:left="-1440"/>
        <w:rPr>
          <w:rFonts w:cs="Arial"/>
          <w:noProof/>
        </w:rPr>
      </w:pPr>
      <w:r>
        <w:rPr>
          <w:noProof/>
        </w:rPr>
        <mc:AlternateContent>
          <mc:Choice Requires="wps">
            <w:drawing>
              <wp:anchor distT="0" distB="0" distL="114300" distR="114300" simplePos="0" relativeHeight="251659264" behindDoc="0" locked="0" layoutInCell="1" allowOverlap="1" wp14:anchorId="5AE26B82" wp14:editId="478252D4">
                <wp:simplePos x="0" y="0"/>
                <wp:positionH relativeFrom="column">
                  <wp:posOffset>59377</wp:posOffset>
                </wp:positionH>
                <wp:positionV relativeFrom="page">
                  <wp:posOffset>1816925</wp:posOffset>
                </wp:positionV>
                <wp:extent cx="5225142" cy="2921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25142" cy="2921000"/>
                        </a:xfrm>
                        <a:prstGeom prst="rect">
                          <a:avLst/>
                        </a:prstGeom>
                        <a:noFill/>
                        <a:ln w="6350">
                          <a:noFill/>
                        </a:ln>
                      </wps:spPr>
                      <wps:txbx>
                        <w:txbxContent>
                          <w:sdt>
                            <w:sdtPr>
                              <w:alias w:val="Formal Company Name"/>
                              <w:tag w:val="Formal-Company-Name"/>
                              <w:id w:val="1945954302"/>
                              <w:placeholder>
                                <w:docPart w:val="DefaultPlaceholder_-1854013440"/>
                              </w:placeholder>
                            </w:sdtPr>
                            <w:sdtEndPr/>
                            <w:sdtContent>
                              <w:p w14:paraId="449793A6" w14:textId="2F49B702" w:rsidR="00BF66A8" w:rsidRPr="0058665F" w:rsidRDefault="00BF66A8" w:rsidP="00CD494D">
                                <w:pPr>
                                  <w:pStyle w:val="Title1"/>
                                  <w:jc w:val="left"/>
                                </w:pPr>
                                <w:r w:rsidRPr="0058665F">
                                  <w:t>Company Name</w:t>
                                </w:r>
                              </w:p>
                            </w:sdtContent>
                          </w:sdt>
                          <w:sdt>
                            <w:sdtPr>
                              <w:alias w:val="Engagement Type"/>
                              <w:tag w:val="Engagement-Type"/>
                              <w:id w:val="537094045"/>
                              <w:placeholder>
                                <w:docPart w:val="DefaultPlaceholder_-1854013440"/>
                              </w:placeholder>
                            </w:sdtPr>
                            <w:sdtEndPr/>
                            <w:sdtContent>
                              <w:p w14:paraId="1491B306" w14:textId="2BAAACA0" w:rsidR="00BF66A8" w:rsidRPr="00956D03" w:rsidRDefault="00BF66A8" w:rsidP="00CD494D">
                                <w:pPr>
                                  <w:jc w:val="left"/>
                                </w:pPr>
                                <w:r w:rsidRPr="0058665F">
                                  <w:t>Compliance Program Review OR SEC Preparedness and Compliance Gap Analysis</w:t>
                                </w:r>
                              </w:p>
                            </w:sdtContent>
                          </w:sdt>
                          <w:p w14:paraId="348DA8C0" w14:textId="77777777" w:rsidR="00BF66A8" w:rsidRPr="00956D03" w:rsidRDefault="00BF66A8" w:rsidP="00E54313">
                            <w:pPr>
                              <w:pStyle w:val="Title1"/>
                              <w:jc w:val="left"/>
                              <w:rPr>
                                <w:sz w:val="40"/>
                                <w:szCs w:val="40"/>
                              </w:rPr>
                            </w:pPr>
                            <w:r>
                              <w:rPr>
                                <w:sz w:val="40"/>
                                <w:szCs w:val="40"/>
                              </w:rPr>
                              <w:t>Findings and Recommendations Report</w:t>
                            </w:r>
                          </w:p>
                          <w:p w14:paraId="398F90BD" w14:textId="3C323CA0" w:rsidR="00BF66A8" w:rsidRPr="0058665F" w:rsidRDefault="00730394" w:rsidP="00E54313">
                            <w:pPr>
                              <w:jc w:val="left"/>
                            </w:pPr>
                            <w:sdt>
                              <w:sdtPr>
                                <w:alias w:val="Report Date"/>
                                <w:tag w:val="Report-Date"/>
                                <w:id w:val="-1347014128"/>
                                <w:placeholder>
                                  <w:docPart w:val="DefaultPlaceholder_-1854013440"/>
                                </w:placeholder>
                              </w:sdtPr>
                              <w:sdtEndPr/>
                              <w:sdtContent>
                                <w:r w:rsidR="00BF66A8" w:rsidRPr="0058665F">
                                  <w:t>Date</w:t>
                                </w:r>
                              </w:sdtContent>
                            </w:sdt>
                          </w:p>
                          <w:p w14:paraId="53B064F9" w14:textId="5D20FDDA" w:rsidR="00BF66A8" w:rsidRPr="00956D03" w:rsidRDefault="00730394" w:rsidP="00E54313">
                            <w:pPr>
                              <w:jc w:val="left"/>
                            </w:pPr>
                            <w:sdt>
                              <w:sdtPr>
                                <w:alias w:val="Attorney-Client Privileged"/>
                                <w:tag w:val="Attorney-Client-Privileged"/>
                                <w:id w:val="-1921791639"/>
                                <w:placeholder>
                                  <w:docPart w:val="DefaultPlaceholder_-1854013440"/>
                                </w:placeholder>
                              </w:sdtPr>
                              <w:sdtEndPr/>
                              <w:sdtContent>
                                <w:r w:rsidR="00BF66A8" w:rsidRPr="0058665F">
                                  <w:t>Attorney-Client Privileged</w:t>
                                </w:r>
                              </w:sdtContent>
                            </w:sdt>
                          </w:p>
                          <w:p w14:paraId="311E74C8" w14:textId="77777777" w:rsidR="00BF66A8" w:rsidRDefault="00BF66A8" w:rsidP="00E54313"/>
                          <w:p w14:paraId="1F75BC37" w14:textId="77777777" w:rsidR="00BF66A8" w:rsidRDefault="00BF66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26B82" id="_x0000_t202" coordsize="21600,21600" o:spt="202" path="m,l,21600r21600,l21600,xe">
                <v:stroke joinstyle="miter"/>
                <v:path gradientshapeok="t" o:connecttype="rect"/>
              </v:shapetype>
              <v:shape id="Text Box 1" o:spid="_x0000_s1026" type="#_x0000_t202" style="position:absolute;left:0;text-align:left;margin-left:4.7pt;margin-top:143.05pt;width:411.45pt;height:2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" filled="f" stroked="f" strokeweight=".5pt">
                <v:textbox>
                  <w:txbxContent>
                    <w:sdt>
                      <w:sdtPr>
                        <w:alias w:val="Formal Company Name"/>
                        <w:tag w:val="Formal-Company-Name"/>
                        <w:id w:val="1945954302"/>
                        <w:placeholder>
                          <w:docPart w:val="DefaultPlaceholder_-1854013440"/>
                        </w:placeholder>
                      </w:sdtPr>
                      <w:sdtEndPr/>
                      <w:sdtContent>
                        <w:p w14:paraId="449793A6" w14:textId="2F49B702" w:rsidR="00BF66A8" w:rsidRPr="0058665F" w:rsidRDefault="00BF66A8" w:rsidP="00CD494D">
                          <w:pPr>
                            <w:pStyle w:val="Title1"/>
                            <w:jc w:val="left"/>
                          </w:pPr>
                          <w:r w:rsidRPr="0058665F">
                            <w:t>Company Name</w:t>
                          </w:r>
                        </w:p>
                      </w:sdtContent>
                    </w:sdt>
                    <w:sdt>
                      <w:sdtPr>
                        <w:alias w:val="Engagement Type"/>
                        <w:tag w:val="Engagement-Type"/>
                        <w:id w:val="537094045"/>
                        <w:placeholder>
                          <w:docPart w:val="DefaultPlaceholder_-1854013440"/>
                        </w:placeholder>
                      </w:sdtPr>
                      <w:sdtEndPr/>
                      <w:sdtContent>
                        <w:p w14:paraId="1491B306" w14:textId="2BAAACA0" w:rsidR="00BF66A8" w:rsidRPr="00956D03" w:rsidRDefault="00BF66A8" w:rsidP="00CD494D">
                          <w:pPr>
                            <w:jc w:val="left"/>
                          </w:pPr>
                          <w:r w:rsidRPr="0058665F">
                            <w:t>Compliance Program Review OR SEC Preparedness and Compliance Gap Analysis</w:t>
                          </w:r>
                        </w:p>
                      </w:sdtContent>
                    </w:sdt>
                    <w:p w14:paraId="348DA8C0" w14:textId="77777777" w:rsidR="00BF66A8" w:rsidRPr="00956D03" w:rsidRDefault="00BF66A8" w:rsidP="00E54313">
                      <w:pPr>
                        <w:pStyle w:val="Title1"/>
                        <w:jc w:val="left"/>
                        <w:rPr>
                          <w:sz w:val="40"/>
                          <w:szCs w:val="40"/>
                        </w:rPr>
                      </w:pPr>
                      <w:r>
                        <w:rPr>
                          <w:sz w:val="40"/>
                          <w:szCs w:val="40"/>
                        </w:rPr>
                        <w:t>Findings and Recommendations Report</w:t>
                      </w:r>
                    </w:p>
                    <w:p w14:paraId="398F90BD" w14:textId="3C323CA0" w:rsidR="00BF66A8" w:rsidRPr="0058665F" w:rsidRDefault="00730394" w:rsidP="00E54313">
                      <w:pPr>
                        <w:jc w:val="left"/>
                      </w:pPr>
                      <w:sdt>
                        <w:sdtPr>
                          <w:alias w:val="Report Date"/>
                          <w:tag w:val="Report-Date"/>
                          <w:id w:val="-1347014128"/>
                          <w:placeholder>
                            <w:docPart w:val="DefaultPlaceholder_-1854013440"/>
                          </w:placeholder>
                        </w:sdtPr>
                        <w:sdtEndPr/>
                        <w:sdtContent>
                          <w:r w:rsidR="00BF66A8" w:rsidRPr="0058665F">
                            <w:t>Date</w:t>
                          </w:r>
                        </w:sdtContent>
                      </w:sdt>
                    </w:p>
                    <w:p w14:paraId="53B064F9" w14:textId="5D20FDDA" w:rsidR="00BF66A8" w:rsidRPr="00956D03" w:rsidRDefault="00730394" w:rsidP="00E54313">
                      <w:pPr>
                        <w:jc w:val="left"/>
                      </w:pPr>
                      <w:sdt>
                        <w:sdtPr>
                          <w:alias w:val="Attorney-Client Privileged"/>
                          <w:tag w:val="Attorney-Client-Privileged"/>
                          <w:id w:val="-1921791639"/>
                          <w:placeholder>
                            <w:docPart w:val="DefaultPlaceholder_-1854013440"/>
                          </w:placeholder>
                        </w:sdtPr>
                        <w:sdtEndPr/>
                        <w:sdtContent>
                          <w:r w:rsidR="00BF66A8" w:rsidRPr="0058665F">
                            <w:t>Attorney-Client Privileged</w:t>
                          </w:r>
                        </w:sdtContent>
                      </w:sdt>
                    </w:p>
                    <w:p w14:paraId="311E74C8" w14:textId="77777777" w:rsidR="00BF66A8" w:rsidRDefault="00BF66A8" w:rsidP="00E54313"/>
                    <w:p w14:paraId="1F75BC37" w14:textId="77777777" w:rsidR="00BF66A8" w:rsidRDefault="00BF66A8"/>
                  </w:txbxContent>
                </v:textbox>
                <w10:wrap anchory="page"/>
              </v:shape>
            </w:pict>
          </mc:Fallback>
        </mc:AlternateContent>
      </w:r>
      <w:r w:rsidR="00E54313">
        <w:rPr>
          <w:noProof/>
        </w:rPr>
        <w:drawing>
          <wp:anchor distT="0" distB="0" distL="114300" distR="114300" simplePos="0" relativeHeight="251657216" behindDoc="0" locked="0" layoutInCell="1" allowOverlap="1" wp14:anchorId="024F3784" wp14:editId="3C8B44A5">
            <wp:simplePos x="0" y="0"/>
            <wp:positionH relativeFrom="column">
              <wp:posOffset>-120460</wp:posOffset>
            </wp:positionH>
            <wp:positionV relativeFrom="page">
              <wp:posOffset>216535</wp:posOffset>
            </wp:positionV>
            <wp:extent cx="2733675" cy="1343025"/>
            <wp:effectExtent l="0" t="0" r="0" b="0"/>
            <wp:wrapNone/>
            <wp:docPr id="8" name="Picture 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night sk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3675" cy="1343025"/>
                    </a:xfrm>
                    <a:prstGeom prst="rect">
                      <a:avLst/>
                    </a:prstGeom>
                  </pic:spPr>
                </pic:pic>
              </a:graphicData>
            </a:graphic>
          </wp:anchor>
        </w:drawing>
      </w:r>
      <w:r w:rsidR="00E54313" w:rsidRPr="00926A40">
        <w:rPr>
          <w:rFonts w:cs="Arial"/>
          <w:noProof/>
        </w:rPr>
        <mc:AlternateContent>
          <mc:Choice Requires="wps">
            <w:drawing>
              <wp:anchor distT="0" distB="0" distL="114300" distR="114300" simplePos="0" relativeHeight="251658240" behindDoc="0" locked="0" layoutInCell="0" allowOverlap="1" wp14:anchorId="6DB9C949" wp14:editId="0AD5359A">
                <wp:simplePos x="0" y="0"/>
                <wp:positionH relativeFrom="margin">
                  <wp:posOffset>5760720</wp:posOffset>
                </wp:positionH>
                <wp:positionV relativeFrom="margin">
                  <wp:posOffset>-486888</wp:posOffset>
                </wp:positionV>
                <wp:extent cx="3293110" cy="7956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795655"/>
                        </a:xfrm>
                        <a:prstGeom prst="rect">
                          <a:avLst/>
                        </a:prstGeom>
                        <a:solidFill>
                          <a:srgbClr val="FFFFFF">
                            <a:alpha val="0"/>
                          </a:srgbClr>
                        </a:solidFill>
                        <a:ln w="9525">
                          <a:noFill/>
                          <a:miter lim="800000"/>
                          <a:headEnd/>
                          <a:tailEnd/>
                        </a:ln>
                      </wps:spPr>
                      <wps:txbx>
                        <w:txbxContent>
                          <w:p w14:paraId="39D89824" w14:textId="77777777" w:rsidR="00BF66A8" w:rsidRPr="00926A40" w:rsidRDefault="00BF66A8" w:rsidP="00C35AF8">
                            <w:pPr>
                              <w:jc w:val="center"/>
                              <w:rPr>
                                <w:rFonts w:cs="Arial"/>
                                <w:b/>
                                <w:sz w:val="96"/>
                                <w:szCs w:val="96"/>
                              </w:rPr>
                            </w:pPr>
                            <w:r w:rsidRPr="00926A40">
                              <w:rPr>
                                <w:rFonts w:cs="Arial"/>
                                <w:b/>
                                <w:sz w:val="96"/>
                                <w:szCs w:val="96"/>
                              </w:rPr>
                              <w:t>DRAFT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B9C949" id="Text Box 2" o:spid="_x0000_s1027" type="#_x0000_t202" style="position:absolute;left:0;text-align:left;margin-left:453.6pt;margin-top:-38.35pt;width:259.3pt;height:62.65pt;z-index:251658240;visibility:visible;mso-wrap-style:squar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" o:allowincell="f" stroked="f">
                <v:fill opacity="0"/>
                <v:textbox style="mso-fit-shape-to-text:t">
                  <w:txbxContent>
                    <w:p w14:paraId="39D89824" w14:textId="77777777" w:rsidR="00BF66A8" w:rsidRPr="00926A40" w:rsidRDefault="00BF66A8" w:rsidP="00C35AF8">
                      <w:pPr>
                        <w:jc w:val="center"/>
                        <w:rPr>
                          <w:rFonts w:cs="Arial"/>
                          <w:b/>
                          <w:sz w:val="96"/>
                          <w:szCs w:val="96"/>
                        </w:rPr>
                      </w:pPr>
                      <w:r w:rsidRPr="00926A40">
                        <w:rPr>
                          <w:rFonts w:cs="Arial"/>
                          <w:b/>
                          <w:sz w:val="96"/>
                          <w:szCs w:val="96"/>
                        </w:rPr>
                        <w:t>DRAFT</w:t>
                      </w:r>
                    </w:p>
                  </w:txbxContent>
                </v:textbox>
                <w10:wrap anchorx="margin" anchory="margin"/>
              </v:shape>
            </w:pict>
          </mc:Fallback>
        </mc:AlternateContent>
      </w:r>
    </w:p>
    <w:p w14:paraId="19167651" w14:textId="3E29C9C4" w:rsidR="00B634AA" w:rsidRPr="00E54313" w:rsidRDefault="00B634AA" w:rsidP="00B634AA">
      <w:pPr>
        <w:pStyle w:val="Title1"/>
        <w:tabs>
          <w:tab w:val="left" w:pos="12960"/>
        </w:tabs>
        <w:spacing w:after="1680"/>
        <w:ind w:left="-1440"/>
        <w:rPr>
          <w:rFonts w:cs="Arial"/>
          <w:i/>
          <w:iCs/>
          <w:noProof/>
        </w:rPr>
      </w:pPr>
    </w:p>
    <w:p w14:paraId="0DC5BF3F" w14:textId="75305DAD" w:rsidR="00B634AA" w:rsidRPr="00E54313" w:rsidRDefault="00B634AA" w:rsidP="00B634AA">
      <w:pPr>
        <w:pStyle w:val="Title1"/>
        <w:tabs>
          <w:tab w:val="left" w:pos="12960"/>
        </w:tabs>
        <w:spacing w:after="1680"/>
        <w:ind w:left="-1440"/>
        <w:rPr>
          <w:rFonts w:cs="Arial"/>
          <w:i/>
          <w:iCs/>
          <w:noProof/>
        </w:rPr>
      </w:pPr>
    </w:p>
    <w:p w14:paraId="764681BD" w14:textId="6273ED4D" w:rsidR="00B634AA" w:rsidRPr="00E54313" w:rsidRDefault="00B634AA" w:rsidP="00B634AA">
      <w:pPr>
        <w:pStyle w:val="Title1"/>
        <w:tabs>
          <w:tab w:val="left" w:pos="12960"/>
        </w:tabs>
        <w:spacing w:after="1680"/>
        <w:ind w:left="-1440"/>
        <w:rPr>
          <w:rFonts w:cs="Arial"/>
          <w:i/>
          <w:iCs/>
          <w:noProof/>
        </w:rPr>
      </w:pPr>
    </w:p>
    <w:p w14:paraId="09EC3629" w14:textId="70D351FC" w:rsidR="009D434D" w:rsidRPr="00E54313" w:rsidRDefault="000223A6" w:rsidP="00C01F64">
      <w:pPr>
        <w:pStyle w:val="Heading1"/>
        <w:rPr>
          <w:i/>
          <w:iCs/>
        </w:rPr>
        <w:sectPr w:rsidR="009D434D" w:rsidRPr="00E54313" w:rsidSect="00B634AA">
          <w:headerReference w:type="even" r:id="rId12"/>
          <w:headerReference w:type="default" r:id="rId13"/>
          <w:footerReference w:type="even" r:id="rId14"/>
          <w:footerReference w:type="default" r:id="rId15"/>
          <w:headerReference w:type="first" r:id="rId16"/>
          <w:footerReference w:type="first" r:id="rId17"/>
          <w:pgSz w:w="15840" w:h="12240" w:orient="landscape"/>
          <w:pgMar w:top="0" w:right="1440" w:bottom="720" w:left="1440" w:header="720" w:footer="720" w:gutter="0"/>
          <w:cols w:space="720"/>
          <w:docGrid w:linePitch="360"/>
        </w:sectPr>
      </w:pPr>
      <w:r>
        <w:rPr>
          <w:noProof/>
          <w:sz w:val="72"/>
          <w:szCs w:val="72"/>
        </w:rPr>
        <w:drawing>
          <wp:anchor distT="0" distB="0" distL="114300" distR="114300" simplePos="0" relativeHeight="251658751" behindDoc="1" locked="1" layoutInCell="1" allowOverlap="1" wp14:anchorId="75FD11F3" wp14:editId="3CB72324">
            <wp:simplePos x="0" y="0"/>
            <wp:positionH relativeFrom="page">
              <wp:align>right</wp:align>
            </wp:positionH>
            <wp:positionV relativeFrom="margin">
              <wp:posOffset>-1733550</wp:posOffset>
            </wp:positionV>
            <wp:extent cx="10058400" cy="13021945"/>
            <wp:effectExtent l="0" t="0" r="0" b="8255"/>
            <wp:wrapNone/>
            <wp:docPr id="2" name="Picture 2" descr="A picture containing sitting, table, large,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itting, table, large, standing&#10;&#10;Description automatically generated"/>
                    <pic:cNvPicPr/>
                  </pic:nvPicPr>
                  <pic:blipFill>
                    <a:blip r:embed="rId18" cstate="email">
                      <a:alphaModFix amt="64000"/>
                      <a:extLst>
                        <a:ext uri="{28A0092B-C50C-407E-A947-70E740481C1C}">
                          <a14:useLocalDpi xmlns:a14="http://schemas.microsoft.com/office/drawing/2010/main"/>
                        </a:ext>
                      </a:extLst>
                    </a:blip>
                    <a:stretch>
                      <a:fillRect/>
                    </a:stretch>
                  </pic:blipFill>
                  <pic:spPr>
                    <a:xfrm>
                      <a:off x="0" y="0"/>
                      <a:ext cx="10058400" cy="13021945"/>
                    </a:xfrm>
                    <a:prstGeom prst="rect">
                      <a:avLst/>
                    </a:prstGeom>
                  </pic:spPr>
                </pic:pic>
              </a:graphicData>
            </a:graphic>
            <wp14:sizeRelH relativeFrom="page">
              <wp14:pctWidth>0</wp14:pctWidth>
            </wp14:sizeRelH>
            <wp14:sizeRelV relativeFrom="page">
              <wp14:pctHeight>0</wp14:pctHeight>
            </wp14:sizeRelV>
          </wp:anchor>
        </w:drawing>
      </w:r>
    </w:p>
    <w:p w14:paraId="5BE3F8AF" w14:textId="77777777" w:rsidR="0058665F" w:rsidRPr="00F54AAA" w:rsidRDefault="0058665F" w:rsidP="0058665F">
      <w:pPr>
        <w:pageBreakBefore/>
        <w:pBdr>
          <w:bottom w:val="single" w:sz="8" w:space="4" w:color="4F81BD"/>
        </w:pBdr>
        <w:spacing w:before="360" w:after="360"/>
        <w:contextualSpacing/>
        <w:jc w:val="left"/>
        <w:outlineLvl w:val="0"/>
        <w:rPr>
          <w:rFonts w:ascii="Arial Bold" w:hAnsi="Arial Bold" w:cs="Arial"/>
          <w:b/>
          <w:color w:val="006CA9"/>
          <w:spacing w:val="5"/>
          <w:kern w:val="36"/>
          <w:sz w:val="40"/>
          <w:szCs w:val="30"/>
        </w:rPr>
      </w:pPr>
      <w:bookmarkStart w:id="0" w:name="_Hlk68590571"/>
      <w:bookmarkStart w:id="1" w:name="_Toc332390367"/>
      <w:r w:rsidRPr="00F54AAA">
        <w:rPr>
          <w:rFonts w:ascii="Arial Bold" w:hAnsi="Arial Bold" w:cs="Arial"/>
          <w:b/>
          <w:color w:val="006CA9"/>
          <w:spacing w:val="5"/>
          <w:kern w:val="36"/>
          <w:sz w:val="40"/>
          <w:szCs w:val="30"/>
        </w:rPr>
        <w:lastRenderedPageBreak/>
        <w:t>I.</w:t>
      </w:r>
      <w:r w:rsidRPr="00F54AAA">
        <w:rPr>
          <w:rFonts w:ascii="Arial Bold" w:hAnsi="Arial Bold" w:cs="Arial"/>
          <w:b/>
          <w:color w:val="006CA9"/>
          <w:spacing w:val="5"/>
          <w:kern w:val="36"/>
          <w:sz w:val="40"/>
          <w:szCs w:val="30"/>
        </w:rPr>
        <w:tab/>
        <w:t>Executive Summary</w:t>
      </w:r>
    </w:p>
    <w:p w14:paraId="53C83D05" w14:textId="77777777" w:rsidR="0058665F" w:rsidRDefault="0058665F" w:rsidP="0058665F">
      <w:pPr>
        <w:rPr>
          <w:rFonts w:cs="Arial"/>
          <w:szCs w:val="20"/>
        </w:rPr>
      </w:pPr>
    </w:p>
    <w:p w14:paraId="43D9D4CA" w14:textId="77777777" w:rsidR="0058665F" w:rsidRPr="005A3A8F" w:rsidRDefault="00730394" w:rsidP="0058665F">
      <w:pPr>
        <w:rPr>
          <w:rFonts w:cs="Arial"/>
          <w:szCs w:val="20"/>
        </w:rPr>
      </w:pPr>
      <w:sdt>
        <w:sdtPr>
          <w:rPr>
            <w:rFonts w:cs="Arial"/>
            <w:szCs w:val="20"/>
          </w:rPr>
          <w:alias w:val="Attorney-Client Privileged"/>
          <w:tag w:val="Attorney-Client-Privileged"/>
          <w:id w:val="2024274568"/>
          <w:placeholder>
            <w:docPart w:val="2435EF8E7CC447889839D4D03776C03A"/>
          </w:placeholder>
        </w:sdtPr>
        <w:sdtEndPr/>
        <w:sdtContent>
          <w:r w:rsidR="0058665F">
            <w:rPr>
              <w:rFonts w:cs="Arial"/>
              <w:szCs w:val="20"/>
            </w:rPr>
            <w:t>Pursuant to the instructions of</w:t>
          </w:r>
        </w:sdtContent>
      </w:sdt>
      <w:r w:rsidR="0058665F">
        <w:rPr>
          <w:rFonts w:cs="Arial"/>
          <w:szCs w:val="20"/>
        </w:rPr>
        <w:t xml:space="preserve"> </w:t>
      </w:r>
      <w:sdt>
        <w:sdtPr>
          <w:rPr>
            <w:rFonts w:cs="Arial"/>
            <w:szCs w:val="20"/>
          </w:rPr>
          <w:alias w:val="Name of Law Firm"/>
          <w:tag w:val="Name-of-Law-Firm"/>
          <w:id w:val="1776209762"/>
          <w:placeholder>
            <w:docPart w:val="2435EF8E7CC447889839D4D03776C03A"/>
          </w:placeholder>
        </w:sdtPr>
        <w:sdtEndPr/>
        <w:sdtContent>
          <w:r w:rsidR="0058665F" w:rsidRPr="00633659">
            <w:rPr>
              <w:rFonts w:cs="Arial"/>
              <w:szCs w:val="20"/>
            </w:rPr>
            <w:t>NAME OF LAW FIRM</w:t>
          </w:r>
        </w:sdtContent>
      </w:sdt>
      <w:r w:rsidR="0058665F" w:rsidRPr="00633659">
        <w:rPr>
          <w:rFonts w:cs="Arial"/>
          <w:szCs w:val="20"/>
        </w:rPr>
        <w:t xml:space="preserve">, </w:t>
      </w:r>
      <w:r w:rsidR="0058665F" w:rsidRPr="005A3A8F">
        <w:rPr>
          <w:rFonts w:cs="Arial"/>
          <w:szCs w:val="20"/>
        </w:rPr>
        <w:t xml:space="preserve">ACA Group (“ACA”) appreciates the opportunity to describe its findings relating to its review of </w:t>
      </w:r>
      <w:r w:rsidR="0058665F" w:rsidRPr="00633659">
        <w:rPr>
          <w:rFonts w:cs="Arial"/>
          <w:szCs w:val="20"/>
        </w:rPr>
        <w:t xml:space="preserve">Adviser </w:t>
      </w:r>
      <w:sdt>
        <w:sdtPr>
          <w:rPr>
            <w:rFonts w:cs="Arial"/>
            <w:szCs w:val="20"/>
          </w:rPr>
          <w:alias w:val="Client acronym"/>
          <w:tag w:val="Client-acronym"/>
          <w:id w:val="1965538160"/>
          <w:placeholder>
            <w:docPart w:val="2435EF8E7CC447889839D4D03776C03A"/>
          </w:placeholder>
        </w:sdtPr>
        <w:sdtEndPr/>
        <w:sdtContent>
          <w:r w:rsidR="0058665F" w:rsidRPr="00633659">
            <w:rPr>
              <w:rFonts w:cs="Arial"/>
              <w:szCs w:val="20"/>
            </w:rPr>
            <w:t>XYZ</w:t>
          </w:r>
        </w:sdtContent>
      </w:sdt>
      <w:r w:rsidR="0058665F" w:rsidRPr="00633659">
        <w:rPr>
          <w:rFonts w:cs="Arial"/>
          <w:szCs w:val="20"/>
        </w:rPr>
        <w:t xml:space="preserve"> (“</w:t>
      </w:r>
      <w:sdt>
        <w:sdtPr>
          <w:rPr>
            <w:rFonts w:cs="Arial"/>
            <w:szCs w:val="20"/>
          </w:rPr>
          <w:alias w:val="Client acronym"/>
          <w:tag w:val="Client-acronym"/>
          <w:id w:val="2088495172"/>
          <w:placeholder>
            <w:docPart w:val="2435EF8E7CC447889839D4D03776C03A"/>
          </w:placeholder>
        </w:sdtPr>
        <w:sdtEndPr/>
        <w:sdtContent>
          <w:r w:rsidR="0058665F" w:rsidRPr="00633659">
            <w:rPr>
              <w:rFonts w:cs="Arial"/>
              <w:szCs w:val="20"/>
            </w:rPr>
            <w:t>XYZ</w:t>
          </w:r>
        </w:sdtContent>
      </w:sdt>
      <w:r w:rsidR="0058665F" w:rsidRPr="005A3A8F">
        <w:rPr>
          <w:rFonts w:cs="Arial"/>
          <w:szCs w:val="20"/>
        </w:rPr>
        <w:t xml:space="preserve">” or the “Company”), </w:t>
      </w:r>
      <w:sdt>
        <w:sdtPr>
          <w:rPr>
            <w:rFonts w:cs="Arial"/>
            <w:szCs w:val="20"/>
          </w:rPr>
          <w:alias w:val="On-Site"/>
          <w:tag w:val="On-Site"/>
          <w:id w:val="-901450065"/>
          <w:placeholder>
            <w:docPart w:val="2435EF8E7CC447889839D4D03776C03A"/>
          </w:placeholder>
        </w:sdtPr>
        <w:sdtEndPr/>
        <w:sdtContent>
          <w:r w:rsidR="0058665F" w:rsidRPr="00046249">
            <w:rPr>
              <w:rFonts w:cs="Arial"/>
              <w:szCs w:val="20"/>
            </w:rPr>
            <w:t>the on-site portion of</w:t>
          </w:r>
        </w:sdtContent>
      </w:sdt>
      <w:r w:rsidR="0058665F" w:rsidRPr="005A3A8F">
        <w:rPr>
          <w:rFonts w:cs="Arial"/>
          <w:szCs w:val="20"/>
        </w:rPr>
        <w:t xml:space="preserve"> which took place from </w:t>
      </w:r>
      <w:sdt>
        <w:sdtPr>
          <w:rPr>
            <w:rFonts w:cs="Arial"/>
            <w:szCs w:val="20"/>
          </w:rPr>
          <w:alias w:val="On-Site Review Start Date"/>
          <w:tag w:val="On-Site-Review-Start-Date"/>
          <w:id w:val="887767461"/>
          <w:placeholder>
            <w:docPart w:val="2435EF8E7CC447889839D4D03776C03A"/>
          </w:placeholder>
        </w:sdtPr>
        <w:sdtEndPr/>
        <w:sdtContent>
          <w:r w:rsidR="0058665F" w:rsidRPr="00046249">
            <w:rPr>
              <w:rFonts w:cs="Arial"/>
              <w:szCs w:val="20"/>
            </w:rPr>
            <w:t>Month Day, 20XX</w:t>
          </w:r>
        </w:sdtContent>
      </w:sdt>
      <w:r w:rsidR="0058665F" w:rsidRPr="00046249">
        <w:rPr>
          <w:rFonts w:cs="Arial"/>
          <w:szCs w:val="20"/>
        </w:rPr>
        <w:t xml:space="preserve"> through </w:t>
      </w:r>
      <w:sdt>
        <w:sdtPr>
          <w:rPr>
            <w:rFonts w:cs="Arial"/>
            <w:szCs w:val="20"/>
          </w:rPr>
          <w:alias w:val="On-Site Review End Date"/>
          <w:tag w:val="On-Site-Review-End-Date"/>
          <w:id w:val="779993383"/>
          <w:placeholder>
            <w:docPart w:val="2435EF8E7CC447889839D4D03776C03A"/>
          </w:placeholder>
        </w:sdtPr>
        <w:sdtEndPr/>
        <w:sdtContent>
          <w:r w:rsidR="0058665F" w:rsidRPr="00046249">
            <w:rPr>
              <w:rFonts w:cs="Arial"/>
              <w:szCs w:val="20"/>
            </w:rPr>
            <w:t>Month Day, 20XX</w:t>
          </w:r>
        </w:sdtContent>
      </w:sdt>
      <w:r w:rsidR="0058665F" w:rsidRPr="005A3A8F">
        <w:rPr>
          <w:rFonts w:cs="Arial"/>
          <w:szCs w:val="20"/>
        </w:rPr>
        <w:t xml:space="preserve">. ACA reviewed each of the following areas in relation to </w:t>
      </w:r>
      <w:sdt>
        <w:sdtPr>
          <w:rPr>
            <w:rFonts w:cs="Arial"/>
            <w:szCs w:val="20"/>
          </w:rPr>
          <w:alias w:val="Client acronym possessive"/>
          <w:tag w:val="Client-acronym-possessive"/>
          <w:id w:val="1844055751"/>
          <w:placeholder>
            <w:docPart w:val="2435EF8E7CC447889839D4D03776C03A"/>
          </w:placeholder>
        </w:sdtPr>
        <w:sdtEndPr/>
        <w:sdtContent>
          <w:r w:rsidR="0058665F" w:rsidRPr="005A3A8F">
            <w:rPr>
              <w:rFonts w:cs="Arial"/>
              <w:szCs w:val="20"/>
            </w:rPr>
            <w:t>XYZ’s</w:t>
          </w:r>
        </w:sdtContent>
      </w:sdt>
      <w:r w:rsidR="0058665F" w:rsidRPr="005A3A8F">
        <w:rPr>
          <w:rFonts w:cs="Arial"/>
          <w:szCs w:val="20"/>
        </w:rPr>
        <w:t xml:space="preserve"> business activities: </w:t>
      </w:r>
    </w:p>
    <w:p w14:paraId="16C51969" w14:textId="77777777" w:rsidR="0058665F" w:rsidRPr="005A3A8F" w:rsidRDefault="0058665F" w:rsidP="0058665F">
      <w:pPr>
        <w:rPr>
          <w:rFonts w:cs="Arial"/>
          <w:szCs w:val="20"/>
        </w:rPr>
      </w:pPr>
    </w:p>
    <w:p w14:paraId="226C8453" w14:textId="77777777" w:rsidR="0058665F" w:rsidRDefault="0058665F" w:rsidP="0058665F">
      <w:pPr>
        <w:pStyle w:val="TOC1"/>
        <w:rPr>
          <w:rFonts w:asciiTheme="minorHAnsi" w:eastAsiaTheme="minorEastAsia" w:hAnsiTheme="minorHAnsi" w:cstheme="minorBidi"/>
          <w:sz w:val="22"/>
          <w:szCs w:val="22"/>
        </w:rPr>
      </w:pPr>
      <w:r w:rsidRPr="00631765">
        <w:rPr>
          <w:rStyle w:val="Hyperlink"/>
          <w:color w:val="auto"/>
          <w:u w:val="none"/>
        </w:rPr>
        <w:fldChar w:fldCharType="begin"/>
      </w:r>
      <w:r w:rsidRPr="00631765">
        <w:rPr>
          <w:rStyle w:val="Hyperlink"/>
          <w:color w:val="auto"/>
          <w:u w:val="none"/>
        </w:rPr>
        <w:instrText xml:space="preserve"> TOC \h \z \u \t "Heading 2,1" </w:instrText>
      </w:r>
      <w:r w:rsidRPr="00631765">
        <w:rPr>
          <w:rStyle w:val="Hyperlink"/>
          <w:color w:val="auto"/>
          <w:u w:val="none"/>
        </w:rPr>
        <w:fldChar w:fldCharType="separate"/>
      </w:r>
      <w:hyperlink w:anchor="_Toc32384669" w:history="1">
        <w:r w:rsidRPr="00D046A1">
          <w:rPr>
            <w:rStyle w:val="Hyperlink"/>
          </w:rPr>
          <w:t>A.</w:t>
        </w:r>
        <w:r>
          <w:rPr>
            <w:rFonts w:asciiTheme="minorHAnsi" w:eastAsiaTheme="minorEastAsia" w:hAnsiTheme="minorHAnsi" w:cstheme="minorBidi"/>
            <w:sz w:val="22"/>
            <w:szCs w:val="22"/>
          </w:rPr>
          <w:tab/>
        </w:r>
        <w:r w:rsidRPr="00D046A1">
          <w:rPr>
            <w:rStyle w:val="Hyperlink"/>
          </w:rPr>
          <w:t>Portfolio Management</w:t>
        </w:r>
        <w:r>
          <w:rPr>
            <w:webHidden/>
          </w:rPr>
          <w:tab/>
        </w:r>
        <w:r>
          <w:rPr>
            <w:webHidden/>
          </w:rPr>
          <w:fldChar w:fldCharType="begin"/>
        </w:r>
        <w:r>
          <w:rPr>
            <w:webHidden/>
          </w:rPr>
          <w:instrText xml:space="preserve"> PAGEREF _Toc32384669 \h </w:instrText>
        </w:r>
        <w:r>
          <w:rPr>
            <w:webHidden/>
          </w:rPr>
        </w:r>
        <w:r>
          <w:rPr>
            <w:webHidden/>
          </w:rPr>
          <w:fldChar w:fldCharType="separate"/>
        </w:r>
        <w:r>
          <w:rPr>
            <w:webHidden/>
          </w:rPr>
          <w:t>12</w:t>
        </w:r>
        <w:r>
          <w:rPr>
            <w:webHidden/>
          </w:rPr>
          <w:fldChar w:fldCharType="end"/>
        </w:r>
      </w:hyperlink>
    </w:p>
    <w:p w14:paraId="381D19F4" w14:textId="77777777" w:rsidR="0058665F" w:rsidRDefault="00730394" w:rsidP="0058665F">
      <w:pPr>
        <w:pStyle w:val="TOC1"/>
        <w:rPr>
          <w:rFonts w:asciiTheme="minorHAnsi" w:eastAsiaTheme="minorEastAsia" w:hAnsiTheme="minorHAnsi" w:cstheme="minorBidi"/>
          <w:sz w:val="22"/>
          <w:szCs w:val="22"/>
        </w:rPr>
      </w:pPr>
      <w:hyperlink w:anchor="_Toc32384670" w:history="1">
        <w:r w:rsidR="0058665F" w:rsidRPr="00D046A1">
          <w:rPr>
            <w:rStyle w:val="Hyperlink"/>
          </w:rPr>
          <w:t>B.</w:t>
        </w:r>
        <w:r w:rsidR="0058665F">
          <w:rPr>
            <w:rFonts w:asciiTheme="minorHAnsi" w:eastAsiaTheme="minorEastAsia" w:hAnsiTheme="minorHAnsi" w:cstheme="minorBidi"/>
            <w:sz w:val="22"/>
            <w:szCs w:val="22"/>
          </w:rPr>
          <w:tab/>
        </w:r>
        <w:r w:rsidR="0058665F" w:rsidRPr="00D046A1">
          <w:rPr>
            <w:rStyle w:val="Hyperlink"/>
          </w:rPr>
          <w:t>Proxy Voting</w:t>
        </w:r>
        <w:r w:rsidR="0058665F">
          <w:rPr>
            <w:webHidden/>
          </w:rPr>
          <w:tab/>
        </w:r>
        <w:r w:rsidR="0058665F">
          <w:rPr>
            <w:webHidden/>
          </w:rPr>
          <w:fldChar w:fldCharType="begin"/>
        </w:r>
        <w:r w:rsidR="0058665F">
          <w:rPr>
            <w:webHidden/>
          </w:rPr>
          <w:instrText xml:space="preserve"> PAGEREF _Toc32384670 \h </w:instrText>
        </w:r>
        <w:r w:rsidR="0058665F">
          <w:rPr>
            <w:webHidden/>
          </w:rPr>
        </w:r>
        <w:r w:rsidR="0058665F">
          <w:rPr>
            <w:webHidden/>
          </w:rPr>
          <w:fldChar w:fldCharType="separate"/>
        </w:r>
        <w:r w:rsidR="0058665F">
          <w:rPr>
            <w:webHidden/>
          </w:rPr>
          <w:t>14</w:t>
        </w:r>
        <w:r w:rsidR="0058665F">
          <w:rPr>
            <w:webHidden/>
          </w:rPr>
          <w:fldChar w:fldCharType="end"/>
        </w:r>
      </w:hyperlink>
    </w:p>
    <w:p w14:paraId="4F796927" w14:textId="77777777" w:rsidR="0058665F" w:rsidRDefault="00730394" w:rsidP="0058665F">
      <w:pPr>
        <w:pStyle w:val="TOC1"/>
        <w:rPr>
          <w:rFonts w:asciiTheme="minorHAnsi" w:eastAsiaTheme="minorEastAsia" w:hAnsiTheme="minorHAnsi" w:cstheme="minorBidi"/>
          <w:sz w:val="22"/>
          <w:szCs w:val="22"/>
        </w:rPr>
      </w:pPr>
      <w:hyperlink w:anchor="_Toc32384671" w:history="1">
        <w:r w:rsidR="0058665F" w:rsidRPr="00D046A1">
          <w:rPr>
            <w:rStyle w:val="Hyperlink"/>
          </w:rPr>
          <w:t>C.</w:t>
        </w:r>
        <w:r w:rsidR="0058665F">
          <w:rPr>
            <w:rFonts w:asciiTheme="minorHAnsi" w:eastAsiaTheme="minorEastAsia" w:hAnsiTheme="minorHAnsi" w:cstheme="minorBidi"/>
            <w:sz w:val="22"/>
            <w:szCs w:val="22"/>
          </w:rPr>
          <w:tab/>
        </w:r>
        <w:r w:rsidR="0058665F" w:rsidRPr="00D046A1">
          <w:rPr>
            <w:rStyle w:val="Hyperlink"/>
          </w:rPr>
          <w:t>Trading</w:t>
        </w:r>
        <w:r w:rsidR="0058665F">
          <w:rPr>
            <w:webHidden/>
          </w:rPr>
          <w:tab/>
        </w:r>
        <w:r w:rsidR="0058665F">
          <w:rPr>
            <w:webHidden/>
          </w:rPr>
          <w:fldChar w:fldCharType="begin"/>
        </w:r>
        <w:r w:rsidR="0058665F">
          <w:rPr>
            <w:webHidden/>
          </w:rPr>
          <w:instrText xml:space="preserve"> PAGEREF _Toc32384671 \h </w:instrText>
        </w:r>
        <w:r w:rsidR="0058665F">
          <w:rPr>
            <w:webHidden/>
          </w:rPr>
        </w:r>
        <w:r w:rsidR="0058665F">
          <w:rPr>
            <w:webHidden/>
          </w:rPr>
          <w:fldChar w:fldCharType="separate"/>
        </w:r>
        <w:r w:rsidR="0058665F">
          <w:rPr>
            <w:webHidden/>
          </w:rPr>
          <w:t>16</w:t>
        </w:r>
        <w:r w:rsidR="0058665F">
          <w:rPr>
            <w:webHidden/>
          </w:rPr>
          <w:fldChar w:fldCharType="end"/>
        </w:r>
      </w:hyperlink>
    </w:p>
    <w:p w14:paraId="7FC3C9E4" w14:textId="77777777" w:rsidR="0058665F" w:rsidRDefault="00730394" w:rsidP="0058665F">
      <w:pPr>
        <w:pStyle w:val="TOC1"/>
        <w:rPr>
          <w:rFonts w:asciiTheme="minorHAnsi" w:eastAsiaTheme="minorEastAsia" w:hAnsiTheme="minorHAnsi" w:cstheme="minorBidi"/>
          <w:sz w:val="22"/>
          <w:szCs w:val="22"/>
        </w:rPr>
      </w:pPr>
      <w:hyperlink w:anchor="_Toc32384672" w:history="1">
        <w:r w:rsidR="0058665F" w:rsidRPr="00D046A1">
          <w:rPr>
            <w:rStyle w:val="Hyperlink"/>
          </w:rPr>
          <w:t>D.</w:t>
        </w:r>
        <w:r w:rsidR="0058665F">
          <w:rPr>
            <w:rFonts w:asciiTheme="minorHAnsi" w:eastAsiaTheme="minorEastAsia" w:hAnsiTheme="minorHAnsi" w:cstheme="minorBidi"/>
            <w:sz w:val="22"/>
            <w:szCs w:val="22"/>
          </w:rPr>
          <w:tab/>
        </w:r>
        <w:r w:rsidR="0058665F" w:rsidRPr="00D046A1">
          <w:rPr>
            <w:rStyle w:val="Hyperlink"/>
          </w:rPr>
          <w:t>Code of Ethics and Insider Trading</w:t>
        </w:r>
        <w:r w:rsidR="0058665F">
          <w:rPr>
            <w:webHidden/>
          </w:rPr>
          <w:tab/>
        </w:r>
        <w:r w:rsidR="0058665F">
          <w:rPr>
            <w:webHidden/>
          </w:rPr>
          <w:fldChar w:fldCharType="begin"/>
        </w:r>
        <w:r w:rsidR="0058665F">
          <w:rPr>
            <w:webHidden/>
          </w:rPr>
          <w:instrText xml:space="preserve"> PAGEREF _Toc32384672 \h </w:instrText>
        </w:r>
        <w:r w:rsidR="0058665F">
          <w:rPr>
            <w:webHidden/>
          </w:rPr>
        </w:r>
        <w:r w:rsidR="0058665F">
          <w:rPr>
            <w:webHidden/>
          </w:rPr>
          <w:fldChar w:fldCharType="separate"/>
        </w:r>
        <w:r w:rsidR="0058665F">
          <w:rPr>
            <w:webHidden/>
          </w:rPr>
          <w:t>19</w:t>
        </w:r>
        <w:r w:rsidR="0058665F">
          <w:rPr>
            <w:webHidden/>
          </w:rPr>
          <w:fldChar w:fldCharType="end"/>
        </w:r>
      </w:hyperlink>
    </w:p>
    <w:p w14:paraId="15253009" w14:textId="77777777" w:rsidR="0058665F" w:rsidRDefault="00730394" w:rsidP="0058665F">
      <w:pPr>
        <w:pStyle w:val="TOC1"/>
        <w:rPr>
          <w:rFonts w:asciiTheme="minorHAnsi" w:eastAsiaTheme="minorEastAsia" w:hAnsiTheme="minorHAnsi" w:cstheme="minorBidi"/>
          <w:sz w:val="22"/>
          <w:szCs w:val="22"/>
        </w:rPr>
      </w:pPr>
      <w:hyperlink w:anchor="_Toc32384673" w:history="1">
        <w:r w:rsidR="0058665F" w:rsidRPr="00D046A1">
          <w:rPr>
            <w:rStyle w:val="Hyperlink"/>
          </w:rPr>
          <w:t>E.</w:t>
        </w:r>
        <w:r w:rsidR="0058665F">
          <w:rPr>
            <w:rFonts w:asciiTheme="minorHAnsi" w:eastAsiaTheme="minorEastAsia" w:hAnsiTheme="minorHAnsi" w:cstheme="minorBidi"/>
            <w:sz w:val="22"/>
            <w:szCs w:val="22"/>
          </w:rPr>
          <w:tab/>
        </w:r>
        <w:r w:rsidR="0058665F" w:rsidRPr="00D046A1">
          <w:rPr>
            <w:rStyle w:val="Hyperlink"/>
          </w:rPr>
          <w:t>Fees and Expenses</w:t>
        </w:r>
        <w:r w:rsidR="0058665F">
          <w:rPr>
            <w:webHidden/>
          </w:rPr>
          <w:tab/>
        </w:r>
        <w:r w:rsidR="0058665F">
          <w:rPr>
            <w:webHidden/>
          </w:rPr>
          <w:fldChar w:fldCharType="begin"/>
        </w:r>
        <w:r w:rsidR="0058665F">
          <w:rPr>
            <w:webHidden/>
          </w:rPr>
          <w:instrText xml:space="preserve"> PAGEREF _Toc32384673 \h </w:instrText>
        </w:r>
        <w:r w:rsidR="0058665F">
          <w:rPr>
            <w:webHidden/>
          </w:rPr>
        </w:r>
        <w:r w:rsidR="0058665F">
          <w:rPr>
            <w:webHidden/>
          </w:rPr>
          <w:fldChar w:fldCharType="separate"/>
        </w:r>
        <w:r w:rsidR="0058665F">
          <w:rPr>
            <w:webHidden/>
          </w:rPr>
          <w:t>21</w:t>
        </w:r>
        <w:r w:rsidR="0058665F">
          <w:rPr>
            <w:webHidden/>
          </w:rPr>
          <w:fldChar w:fldCharType="end"/>
        </w:r>
      </w:hyperlink>
    </w:p>
    <w:p w14:paraId="4EB074A7" w14:textId="77777777" w:rsidR="0058665F" w:rsidRDefault="00730394" w:rsidP="0058665F">
      <w:pPr>
        <w:pStyle w:val="TOC1"/>
        <w:rPr>
          <w:rFonts w:asciiTheme="minorHAnsi" w:eastAsiaTheme="minorEastAsia" w:hAnsiTheme="minorHAnsi" w:cstheme="minorBidi"/>
          <w:sz w:val="22"/>
          <w:szCs w:val="22"/>
        </w:rPr>
      </w:pPr>
      <w:hyperlink w:anchor="_Toc32384674" w:history="1">
        <w:r w:rsidR="0058665F" w:rsidRPr="00D046A1">
          <w:rPr>
            <w:rStyle w:val="Hyperlink"/>
          </w:rPr>
          <w:t>F.</w:t>
        </w:r>
        <w:r w:rsidR="0058665F">
          <w:rPr>
            <w:rFonts w:asciiTheme="minorHAnsi" w:eastAsiaTheme="minorEastAsia" w:hAnsiTheme="minorHAnsi" w:cstheme="minorBidi"/>
            <w:sz w:val="22"/>
            <w:szCs w:val="22"/>
          </w:rPr>
          <w:tab/>
        </w:r>
        <w:r w:rsidR="0058665F" w:rsidRPr="00D046A1">
          <w:rPr>
            <w:rStyle w:val="Hyperlink"/>
          </w:rPr>
          <w:t>Regulatory Filings and Disclosures</w:t>
        </w:r>
        <w:r w:rsidR="0058665F">
          <w:rPr>
            <w:webHidden/>
          </w:rPr>
          <w:tab/>
        </w:r>
        <w:r w:rsidR="0058665F">
          <w:rPr>
            <w:webHidden/>
          </w:rPr>
          <w:fldChar w:fldCharType="begin"/>
        </w:r>
        <w:r w:rsidR="0058665F">
          <w:rPr>
            <w:webHidden/>
          </w:rPr>
          <w:instrText xml:space="preserve"> PAGEREF _Toc32384674 \h </w:instrText>
        </w:r>
        <w:r w:rsidR="0058665F">
          <w:rPr>
            <w:webHidden/>
          </w:rPr>
        </w:r>
        <w:r w:rsidR="0058665F">
          <w:rPr>
            <w:webHidden/>
          </w:rPr>
          <w:fldChar w:fldCharType="separate"/>
        </w:r>
        <w:r w:rsidR="0058665F">
          <w:rPr>
            <w:webHidden/>
          </w:rPr>
          <w:t>23</w:t>
        </w:r>
        <w:r w:rsidR="0058665F">
          <w:rPr>
            <w:webHidden/>
          </w:rPr>
          <w:fldChar w:fldCharType="end"/>
        </w:r>
      </w:hyperlink>
    </w:p>
    <w:p w14:paraId="62780B06" w14:textId="77777777" w:rsidR="0058665F" w:rsidRDefault="00730394" w:rsidP="0058665F">
      <w:pPr>
        <w:pStyle w:val="TOC1"/>
        <w:rPr>
          <w:rFonts w:asciiTheme="minorHAnsi" w:eastAsiaTheme="minorEastAsia" w:hAnsiTheme="minorHAnsi" w:cstheme="minorBidi"/>
          <w:sz w:val="22"/>
          <w:szCs w:val="22"/>
        </w:rPr>
      </w:pPr>
      <w:hyperlink w:anchor="_Toc32384675" w:history="1">
        <w:r w:rsidR="0058665F" w:rsidRPr="00D046A1">
          <w:rPr>
            <w:rStyle w:val="Hyperlink"/>
          </w:rPr>
          <w:t>G.</w:t>
        </w:r>
        <w:r w:rsidR="0058665F">
          <w:rPr>
            <w:rFonts w:asciiTheme="minorHAnsi" w:eastAsiaTheme="minorEastAsia" w:hAnsiTheme="minorHAnsi" w:cstheme="minorBidi"/>
            <w:sz w:val="22"/>
            <w:szCs w:val="22"/>
          </w:rPr>
          <w:tab/>
        </w:r>
        <w:r w:rsidR="0058665F" w:rsidRPr="00D046A1">
          <w:rPr>
            <w:rStyle w:val="Hyperlink"/>
          </w:rPr>
          <w:t>Safeguarding Client Assets</w:t>
        </w:r>
        <w:r w:rsidR="0058665F">
          <w:rPr>
            <w:webHidden/>
          </w:rPr>
          <w:tab/>
        </w:r>
        <w:r w:rsidR="0058665F">
          <w:rPr>
            <w:webHidden/>
          </w:rPr>
          <w:fldChar w:fldCharType="begin"/>
        </w:r>
        <w:r w:rsidR="0058665F">
          <w:rPr>
            <w:webHidden/>
          </w:rPr>
          <w:instrText xml:space="preserve"> PAGEREF _Toc32384675 \h </w:instrText>
        </w:r>
        <w:r w:rsidR="0058665F">
          <w:rPr>
            <w:webHidden/>
          </w:rPr>
        </w:r>
        <w:r w:rsidR="0058665F">
          <w:rPr>
            <w:webHidden/>
          </w:rPr>
          <w:fldChar w:fldCharType="separate"/>
        </w:r>
        <w:r w:rsidR="0058665F">
          <w:rPr>
            <w:webHidden/>
          </w:rPr>
          <w:t>26</w:t>
        </w:r>
        <w:r w:rsidR="0058665F">
          <w:rPr>
            <w:webHidden/>
          </w:rPr>
          <w:fldChar w:fldCharType="end"/>
        </w:r>
      </w:hyperlink>
    </w:p>
    <w:p w14:paraId="324BD5A6" w14:textId="77777777" w:rsidR="0058665F" w:rsidRDefault="00730394" w:rsidP="0058665F">
      <w:pPr>
        <w:pStyle w:val="TOC1"/>
        <w:rPr>
          <w:rFonts w:asciiTheme="minorHAnsi" w:eastAsiaTheme="minorEastAsia" w:hAnsiTheme="minorHAnsi" w:cstheme="minorBidi"/>
          <w:sz w:val="22"/>
          <w:szCs w:val="22"/>
        </w:rPr>
      </w:pPr>
      <w:hyperlink w:anchor="_Toc32384676" w:history="1">
        <w:r w:rsidR="0058665F" w:rsidRPr="00D046A1">
          <w:rPr>
            <w:rStyle w:val="Hyperlink"/>
          </w:rPr>
          <w:t>H.</w:t>
        </w:r>
        <w:r w:rsidR="0058665F">
          <w:rPr>
            <w:rFonts w:asciiTheme="minorHAnsi" w:eastAsiaTheme="minorEastAsia" w:hAnsiTheme="minorHAnsi" w:cstheme="minorBidi"/>
            <w:sz w:val="22"/>
            <w:szCs w:val="22"/>
          </w:rPr>
          <w:tab/>
        </w:r>
        <w:r w:rsidR="0058665F" w:rsidRPr="00D046A1">
          <w:rPr>
            <w:rStyle w:val="Hyperlink"/>
          </w:rPr>
          <w:t>Books and Records</w:t>
        </w:r>
        <w:r w:rsidR="0058665F">
          <w:rPr>
            <w:webHidden/>
          </w:rPr>
          <w:tab/>
        </w:r>
        <w:r w:rsidR="0058665F">
          <w:rPr>
            <w:webHidden/>
          </w:rPr>
          <w:fldChar w:fldCharType="begin"/>
        </w:r>
        <w:r w:rsidR="0058665F">
          <w:rPr>
            <w:webHidden/>
          </w:rPr>
          <w:instrText xml:space="preserve"> PAGEREF _Toc32384676 \h </w:instrText>
        </w:r>
        <w:r w:rsidR="0058665F">
          <w:rPr>
            <w:webHidden/>
          </w:rPr>
        </w:r>
        <w:r w:rsidR="0058665F">
          <w:rPr>
            <w:webHidden/>
          </w:rPr>
          <w:fldChar w:fldCharType="separate"/>
        </w:r>
        <w:r w:rsidR="0058665F">
          <w:rPr>
            <w:webHidden/>
          </w:rPr>
          <w:t>28</w:t>
        </w:r>
        <w:r w:rsidR="0058665F">
          <w:rPr>
            <w:webHidden/>
          </w:rPr>
          <w:fldChar w:fldCharType="end"/>
        </w:r>
      </w:hyperlink>
    </w:p>
    <w:p w14:paraId="22500D6F" w14:textId="77777777" w:rsidR="0058665F" w:rsidRDefault="00730394" w:rsidP="0058665F">
      <w:pPr>
        <w:pStyle w:val="TOC1"/>
        <w:rPr>
          <w:rFonts w:asciiTheme="minorHAnsi" w:eastAsiaTheme="minorEastAsia" w:hAnsiTheme="minorHAnsi" w:cstheme="minorBidi"/>
          <w:sz w:val="22"/>
          <w:szCs w:val="22"/>
        </w:rPr>
      </w:pPr>
      <w:hyperlink w:anchor="_Toc32384677" w:history="1">
        <w:r w:rsidR="0058665F" w:rsidRPr="00D046A1">
          <w:rPr>
            <w:rStyle w:val="Hyperlink"/>
          </w:rPr>
          <w:t>I.</w:t>
        </w:r>
        <w:r w:rsidR="0058665F">
          <w:rPr>
            <w:rFonts w:asciiTheme="minorHAnsi" w:eastAsiaTheme="minorEastAsia" w:hAnsiTheme="minorHAnsi" w:cstheme="minorBidi"/>
            <w:sz w:val="22"/>
            <w:szCs w:val="22"/>
          </w:rPr>
          <w:tab/>
        </w:r>
        <w:r w:rsidR="0058665F" w:rsidRPr="00D046A1">
          <w:rPr>
            <w:rStyle w:val="Hyperlink"/>
          </w:rPr>
          <w:t>Marketing and the Use of Solicitors</w:t>
        </w:r>
        <w:r w:rsidR="0058665F">
          <w:rPr>
            <w:webHidden/>
          </w:rPr>
          <w:tab/>
        </w:r>
        <w:r w:rsidR="0058665F">
          <w:rPr>
            <w:webHidden/>
          </w:rPr>
          <w:fldChar w:fldCharType="begin"/>
        </w:r>
        <w:r w:rsidR="0058665F">
          <w:rPr>
            <w:webHidden/>
          </w:rPr>
          <w:instrText xml:space="preserve"> PAGEREF _Toc32384677 \h </w:instrText>
        </w:r>
        <w:r w:rsidR="0058665F">
          <w:rPr>
            <w:webHidden/>
          </w:rPr>
        </w:r>
        <w:r w:rsidR="0058665F">
          <w:rPr>
            <w:webHidden/>
          </w:rPr>
          <w:fldChar w:fldCharType="separate"/>
        </w:r>
        <w:r w:rsidR="0058665F">
          <w:rPr>
            <w:webHidden/>
          </w:rPr>
          <w:t>30</w:t>
        </w:r>
        <w:r w:rsidR="0058665F">
          <w:rPr>
            <w:webHidden/>
          </w:rPr>
          <w:fldChar w:fldCharType="end"/>
        </w:r>
      </w:hyperlink>
    </w:p>
    <w:p w14:paraId="742023C7" w14:textId="77777777" w:rsidR="0058665F" w:rsidRDefault="00730394" w:rsidP="0058665F">
      <w:pPr>
        <w:pStyle w:val="TOC1"/>
        <w:rPr>
          <w:rFonts w:asciiTheme="minorHAnsi" w:eastAsiaTheme="minorEastAsia" w:hAnsiTheme="minorHAnsi" w:cstheme="minorBidi"/>
          <w:sz w:val="22"/>
          <w:szCs w:val="22"/>
        </w:rPr>
      </w:pPr>
      <w:hyperlink w:anchor="_Toc32384678" w:history="1">
        <w:r w:rsidR="0058665F" w:rsidRPr="00D046A1">
          <w:rPr>
            <w:rStyle w:val="Hyperlink"/>
          </w:rPr>
          <w:t>J.</w:t>
        </w:r>
        <w:r w:rsidR="0058665F">
          <w:rPr>
            <w:rFonts w:asciiTheme="minorHAnsi" w:eastAsiaTheme="minorEastAsia" w:hAnsiTheme="minorHAnsi" w:cstheme="minorBidi"/>
            <w:sz w:val="22"/>
            <w:szCs w:val="22"/>
          </w:rPr>
          <w:tab/>
        </w:r>
        <w:r w:rsidR="0058665F" w:rsidRPr="00D046A1">
          <w:rPr>
            <w:rStyle w:val="Hyperlink"/>
          </w:rPr>
          <w:t>Valuation and Pricing</w:t>
        </w:r>
        <w:r w:rsidR="0058665F">
          <w:rPr>
            <w:webHidden/>
          </w:rPr>
          <w:tab/>
        </w:r>
        <w:r w:rsidR="0058665F">
          <w:rPr>
            <w:webHidden/>
          </w:rPr>
          <w:fldChar w:fldCharType="begin"/>
        </w:r>
        <w:r w:rsidR="0058665F">
          <w:rPr>
            <w:webHidden/>
          </w:rPr>
          <w:instrText xml:space="preserve"> PAGEREF _Toc32384678 \h </w:instrText>
        </w:r>
        <w:r w:rsidR="0058665F">
          <w:rPr>
            <w:webHidden/>
          </w:rPr>
        </w:r>
        <w:r w:rsidR="0058665F">
          <w:rPr>
            <w:webHidden/>
          </w:rPr>
          <w:fldChar w:fldCharType="separate"/>
        </w:r>
        <w:r w:rsidR="0058665F">
          <w:rPr>
            <w:webHidden/>
          </w:rPr>
          <w:t>33</w:t>
        </w:r>
        <w:r w:rsidR="0058665F">
          <w:rPr>
            <w:webHidden/>
          </w:rPr>
          <w:fldChar w:fldCharType="end"/>
        </w:r>
      </w:hyperlink>
    </w:p>
    <w:p w14:paraId="10097BF0" w14:textId="77777777" w:rsidR="0058665F" w:rsidRDefault="00730394" w:rsidP="0058665F">
      <w:pPr>
        <w:pStyle w:val="TOC1"/>
        <w:rPr>
          <w:rFonts w:asciiTheme="minorHAnsi" w:eastAsiaTheme="minorEastAsia" w:hAnsiTheme="minorHAnsi" w:cstheme="minorBidi"/>
          <w:sz w:val="22"/>
          <w:szCs w:val="22"/>
        </w:rPr>
      </w:pPr>
      <w:hyperlink w:anchor="_Toc32384679" w:history="1">
        <w:r w:rsidR="0058665F" w:rsidRPr="00D046A1">
          <w:rPr>
            <w:rStyle w:val="Hyperlink"/>
          </w:rPr>
          <w:t>K.</w:t>
        </w:r>
        <w:r w:rsidR="0058665F">
          <w:rPr>
            <w:rFonts w:asciiTheme="minorHAnsi" w:eastAsiaTheme="minorEastAsia" w:hAnsiTheme="minorHAnsi" w:cstheme="minorBidi"/>
            <w:sz w:val="22"/>
            <w:szCs w:val="22"/>
          </w:rPr>
          <w:tab/>
        </w:r>
        <w:r w:rsidR="0058665F" w:rsidRPr="00D046A1">
          <w:rPr>
            <w:rStyle w:val="Hyperlink"/>
          </w:rPr>
          <w:t>Privacy, the Safeguarding of Information, Cybersecurity, and Identity Theft Prevention</w:t>
        </w:r>
        <w:r w:rsidR="0058665F">
          <w:rPr>
            <w:webHidden/>
          </w:rPr>
          <w:tab/>
        </w:r>
        <w:r w:rsidR="0058665F">
          <w:rPr>
            <w:webHidden/>
          </w:rPr>
          <w:fldChar w:fldCharType="begin"/>
        </w:r>
        <w:r w:rsidR="0058665F">
          <w:rPr>
            <w:webHidden/>
          </w:rPr>
          <w:instrText xml:space="preserve"> PAGEREF _Toc32384679 \h </w:instrText>
        </w:r>
        <w:r w:rsidR="0058665F">
          <w:rPr>
            <w:webHidden/>
          </w:rPr>
        </w:r>
        <w:r w:rsidR="0058665F">
          <w:rPr>
            <w:webHidden/>
          </w:rPr>
          <w:fldChar w:fldCharType="separate"/>
        </w:r>
        <w:r w:rsidR="0058665F">
          <w:rPr>
            <w:webHidden/>
          </w:rPr>
          <w:t>35</w:t>
        </w:r>
        <w:r w:rsidR="0058665F">
          <w:rPr>
            <w:webHidden/>
          </w:rPr>
          <w:fldChar w:fldCharType="end"/>
        </w:r>
      </w:hyperlink>
    </w:p>
    <w:p w14:paraId="56E4565E" w14:textId="77777777" w:rsidR="0058665F" w:rsidRDefault="00730394" w:rsidP="0058665F">
      <w:pPr>
        <w:pStyle w:val="TOC1"/>
        <w:rPr>
          <w:rFonts w:asciiTheme="minorHAnsi" w:eastAsiaTheme="minorEastAsia" w:hAnsiTheme="minorHAnsi" w:cstheme="minorBidi"/>
          <w:sz w:val="22"/>
          <w:szCs w:val="22"/>
        </w:rPr>
      </w:pPr>
      <w:hyperlink w:anchor="_Toc32384680" w:history="1">
        <w:r w:rsidR="0058665F" w:rsidRPr="00D046A1">
          <w:rPr>
            <w:rStyle w:val="Hyperlink"/>
          </w:rPr>
          <w:t>L.</w:t>
        </w:r>
        <w:r w:rsidR="0058665F">
          <w:rPr>
            <w:rFonts w:asciiTheme="minorHAnsi" w:eastAsiaTheme="minorEastAsia" w:hAnsiTheme="minorHAnsi" w:cstheme="minorBidi"/>
            <w:sz w:val="22"/>
            <w:szCs w:val="22"/>
          </w:rPr>
          <w:tab/>
        </w:r>
        <w:r w:rsidR="0058665F" w:rsidRPr="00D046A1">
          <w:rPr>
            <w:rStyle w:val="Hyperlink"/>
          </w:rPr>
          <w:t>Business Continuity Planning</w:t>
        </w:r>
        <w:r w:rsidR="0058665F">
          <w:rPr>
            <w:webHidden/>
          </w:rPr>
          <w:tab/>
        </w:r>
        <w:r w:rsidR="0058665F">
          <w:rPr>
            <w:webHidden/>
          </w:rPr>
          <w:fldChar w:fldCharType="begin"/>
        </w:r>
        <w:r w:rsidR="0058665F">
          <w:rPr>
            <w:webHidden/>
          </w:rPr>
          <w:instrText xml:space="preserve"> PAGEREF _Toc32384680 \h </w:instrText>
        </w:r>
        <w:r w:rsidR="0058665F">
          <w:rPr>
            <w:webHidden/>
          </w:rPr>
        </w:r>
        <w:r w:rsidR="0058665F">
          <w:rPr>
            <w:webHidden/>
          </w:rPr>
          <w:fldChar w:fldCharType="separate"/>
        </w:r>
        <w:r w:rsidR="0058665F">
          <w:rPr>
            <w:webHidden/>
          </w:rPr>
          <w:t>37</w:t>
        </w:r>
        <w:r w:rsidR="0058665F">
          <w:rPr>
            <w:webHidden/>
          </w:rPr>
          <w:fldChar w:fldCharType="end"/>
        </w:r>
      </w:hyperlink>
    </w:p>
    <w:p w14:paraId="10D22620" w14:textId="77777777" w:rsidR="0058665F" w:rsidRDefault="00730394" w:rsidP="0058665F">
      <w:pPr>
        <w:pStyle w:val="TOC1"/>
        <w:rPr>
          <w:rFonts w:asciiTheme="minorHAnsi" w:eastAsiaTheme="minorEastAsia" w:hAnsiTheme="minorHAnsi" w:cstheme="minorBidi"/>
          <w:sz w:val="22"/>
          <w:szCs w:val="22"/>
        </w:rPr>
      </w:pPr>
      <w:hyperlink w:anchor="_Toc32384681" w:history="1">
        <w:r w:rsidR="0058665F" w:rsidRPr="00D046A1">
          <w:rPr>
            <w:rStyle w:val="Hyperlink"/>
          </w:rPr>
          <w:t>M.</w:t>
        </w:r>
        <w:r w:rsidR="0058665F">
          <w:rPr>
            <w:rFonts w:asciiTheme="minorHAnsi" w:eastAsiaTheme="minorEastAsia" w:hAnsiTheme="minorHAnsi" w:cstheme="minorBidi"/>
            <w:sz w:val="22"/>
            <w:szCs w:val="22"/>
          </w:rPr>
          <w:tab/>
        </w:r>
        <w:r w:rsidR="0058665F" w:rsidRPr="00D046A1">
          <w:rPr>
            <w:rStyle w:val="Hyperlink"/>
          </w:rPr>
          <w:t>Compliance Program</w:t>
        </w:r>
        <w:r w:rsidR="0058665F">
          <w:rPr>
            <w:webHidden/>
          </w:rPr>
          <w:tab/>
        </w:r>
        <w:r w:rsidR="0058665F">
          <w:rPr>
            <w:webHidden/>
          </w:rPr>
          <w:fldChar w:fldCharType="begin"/>
        </w:r>
        <w:r w:rsidR="0058665F">
          <w:rPr>
            <w:webHidden/>
          </w:rPr>
          <w:instrText xml:space="preserve"> PAGEREF _Toc32384681 \h </w:instrText>
        </w:r>
        <w:r w:rsidR="0058665F">
          <w:rPr>
            <w:webHidden/>
          </w:rPr>
        </w:r>
        <w:r w:rsidR="0058665F">
          <w:rPr>
            <w:webHidden/>
          </w:rPr>
          <w:fldChar w:fldCharType="separate"/>
        </w:r>
        <w:r w:rsidR="0058665F">
          <w:rPr>
            <w:webHidden/>
          </w:rPr>
          <w:t>38</w:t>
        </w:r>
        <w:r w:rsidR="0058665F">
          <w:rPr>
            <w:webHidden/>
          </w:rPr>
          <w:fldChar w:fldCharType="end"/>
        </w:r>
      </w:hyperlink>
    </w:p>
    <w:p w14:paraId="690D4229" w14:textId="77777777" w:rsidR="0058665F" w:rsidRPr="005A3A8F" w:rsidRDefault="0058665F" w:rsidP="0058665F">
      <w:r w:rsidRPr="00631765">
        <w:rPr>
          <w:rStyle w:val="Hyperlink"/>
          <w:color w:val="auto"/>
          <w:u w:val="none"/>
        </w:rPr>
        <w:fldChar w:fldCharType="end"/>
      </w:r>
    </w:p>
    <w:p w14:paraId="3CB00300" w14:textId="77777777" w:rsidR="0058665F" w:rsidRPr="005A3A8F" w:rsidRDefault="0058665F" w:rsidP="0058665F">
      <w:pPr>
        <w:rPr>
          <w:rFonts w:cs="Arial"/>
          <w:szCs w:val="20"/>
        </w:rPr>
      </w:pPr>
      <w:r w:rsidRPr="005A3A8F">
        <w:rPr>
          <w:rFonts w:cs="Arial"/>
          <w:szCs w:val="20"/>
        </w:rPr>
        <w:t xml:space="preserve">ACA provided recommendations and suggested corrective action with respect to certain aspects of </w:t>
      </w:r>
      <w:sdt>
        <w:sdtPr>
          <w:rPr>
            <w:rFonts w:cs="Arial"/>
            <w:szCs w:val="20"/>
          </w:rPr>
          <w:alias w:val="Client acronym possessive"/>
          <w:tag w:val="Client-acronym-possessive"/>
          <w:id w:val="-397439279"/>
          <w:placeholder>
            <w:docPart w:val="2435EF8E7CC447889839D4D03776C03A"/>
          </w:placeholder>
        </w:sdtPr>
        <w:sdtEndPr/>
        <w:sdtContent>
          <w:r w:rsidRPr="005A3A8F">
            <w:rPr>
              <w:rFonts w:cs="Arial"/>
              <w:szCs w:val="20"/>
            </w:rPr>
            <w:t>XYZ’s</w:t>
          </w:r>
        </w:sdtContent>
      </w:sdt>
      <w:r w:rsidRPr="005A3A8F">
        <w:rPr>
          <w:rFonts w:cs="Arial"/>
          <w:szCs w:val="20"/>
        </w:rPr>
        <w:t xml:space="preserve"> business activities as noted below in the “Findings and Recommendations” section.</w:t>
      </w:r>
    </w:p>
    <w:p w14:paraId="476FE440" w14:textId="77777777" w:rsidR="0058665F" w:rsidRPr="005A3A8F" w:rsidRDefault="0058665F" w:rsidP="0058665F">
      <w:pPr>
        <w:rPr>
          <w:rFonts w:cs="Arial"/>
          <w:szCs w:val="20"/>
        </w:rPr>
      </w:pPr>
    </w:p>
    <w:p w14:paraId="2A944F81" w14:textId="77777777" w:rsidR="0058665F" w:rsidRPr="005A3A8F" w:rsidRDefault="0058665F" w:rsidP="0058665F">
      <w:pPr>
        <w:rPr>
          <w:rFonts w:cs="Arial"/>
          <w:szCs w:val="20"/>
        </w:rPr>
      </w:pPr>
      <w:r w:rsidRPr="005A3A8F">
        <w:rPr>
          <w:rFonts w:cs="Arial"/>
          <w:szCs w:val="20"/>
          <w:highlight w:val="yellow"/>
        </w:rPr>
        <w:t>&lt;Right-click the preceding table and select “Update Field</w:t>
      </w:r>
      <w:r>
        <w:rPr>
          <w:rFonts w:cs="Arial"/>
          <w:szCs w:val="20"/>
          <w:highlight w:val="yellow"/>
        </w:rPr>
        <w:t>,</w:t>
      </w:r>
      <w:r w:rsidRPr="005A3A8F">
        <w:rPr>
          <w:rFonts w:cs="Arial"/>
          <w:szCs w:val="20"/>
          <w:highlight w:val="yellow"/>
        </w:rPr>
        <w:t xml:space="preserve">” </w:t>
      </w:r>
      <w:r>
        <w:rPr>
          <w:rFonts w:cs="Arial"/>
          <w:szCs w:val="20"/>
          <w:highlight w:val="yellow"/>
        </w:rPr>
        <w:t xml:space="preserve">make sure “Page Numbers Only” is selected, and then click “Okay” </w:t>
      </w:r>
      <w:r w:rsidRPr="005A3A8F">
        <w:rPr>
          <w:rFonts w:cs="Arial"/>
          <w:szCs w:val="20"/>
          <w:highlight w:val="yellow"/>
        </w:rPr>
        <w:t xml:space="preserve">to </w:t>
      </w:r>
      <w:r>
        <w:rPr>
          <w:rFonts w:cs="Arial"/>
          <w:szCs w:val="20"/>
          <w:highlight w:val="yellow"/>
        </w:rPr>
        <w:t>update</w:t>
      </w:r>
      <w:r w:rsidRPr="005A3A8F">
        <w:rPr>
          <w:rFonts w:cs="Arial"/>
          <w:szCs w:val="20"/>
          <w:highlight w:val="yellow"/>
        </w:rPr>
        <w:t xml:space="preserve"> the page numbers immediately prior to finalizing the report. Also, format those topics where ACA makes specific recommendations in bold.&gt;</w:t>
      </w:r>
    </w:p>
    <w:p w14:paraId="16BAE30E" w14:textId="77777777" w:rsidR="0058665F" w:rsidRPr="005A3A8F" w:rsidRDefault="0058665F" w:rsidP="0058665F">
      <w:pPr>
        <w:rPr>
          <w:rFonts w:cs="Arial"/>
          <w:szCs w:val="20"/>
        </w:rPr>
      </w:pPr>
    </w:p>
    <w:p w14:paraId="1AA545BD" w14:textId="77777777" w:rsidR="0058665F" w:rsidRDefault="0058665F" w:rsidP="0058665F">
      <w:pPr>
        <w:rPr>
          <w:rFonts w:cs="Arial"/>
          <w:szCs w:val="20"/>
        </w:rPr>
      </w:pPr>
      <w:r w:rsidRPr="005A3A8F">
        <w:rPr>
          <w:rFonts w:cs="Arial"/>
          <w:szCs w:val="20"/>
        </w:rPr>
        <w:t xml:space="preserve">Based on ACA’s review, </w:t>
      </w:r>
      <w:sdt>
        <w:sdtPr>
          <w:rPr>
            <w:rFonts w:cs="Arial"/>
            <w:szCs w:val="20"/>
          </w:rPr>
          <w:alias w:val="Client acronym possessive"/>
          <w:tag w:val="Client-acronym-possessive"/>
          <w:id w:val="1841579827"/>
          <w:placeholder>
            <w:docPart w:val="2435EF8E7CC447889839D4D03776C03A"/>
          </w:placeholder>
        </w:sdtPr>
        <w:sdtEndPr/>
        <w:sdtContent>
          <w:r w:rsidRPr="005A3A8F">
            <w:rPr>
              <w:rFonts w:cs="Arial"/>
              <w:szCs w:val="20"/>
            </w:rPr>
            <w:t>XYZ’s</w:t>
          </w:r>
        </w:sdtContent>
      </w:sdt>
      <w:r w:rsidRPr="005A3A8F">
        <w:rPr>
          <w:rFonts w:cs="Arial"/>
          <w:szCs w:val="20"/>
        </w:rPr>
        <w:t xml:space="preserve"> compliance program appears well-tailored and comprehensive relative to the scope and nature of the Company’s operations. </w:t>
      </w:r>
      <w:sdt>
        <w:sdtPr>
          <w:rPr>
            <w:rFonts w:cs="Arial"/>
            <w:szCs w:val="20"/>
          </w:rPr>
          <w:alias w:val="Client acronym"/>
          <w:tag w:val="Client-acronym"/>
          <w:id w:val="821231191"/>
          <w:placeholder>
            <w:docPart w:val="2435EF8E7CC447889839D4D03776C03A"/>
          </w:placeholder>
        </w:sdtPr>
        <w:sdtEndPr/>
        <w:sdtContent>
          <w:r w:rsidRPr="005A3A8F">
            <w:rPr>
              <w:rFonts w:cs="Arial"/>
              <w:szCs w:val="20"/>
            </w:rPr>
            <w:t>XYZ</w:t>
          </w:r>
        </w:sdtContent>
      </w:sdt>
      <w:r w:rsidRPr="005A3A8F">
        <w:rPr>
          <w:rFonts w:cs="Arial"/>
          <w:szCs w:val="20"/>
        </w:rPr>
        <w:t xml:space="preserve"> appears to have created internal controls and risk management policies and procedures that are reasonably designed to address applicable compliance risks.</w:t>
      </w:r>
    </w:p>
    <w:p w14:paraId="5171193C" w14:textId="77777777" w:rsidR="0058665F" w:rsidRPr="005A3A8F" w:rsidRDefault="0058665F" w:rsidP="0058665F">
      <w:pPr>
        <w:rPr>
          <w:rFonts w:cs="Arial"/>
          <w:szCs w:val="20"/>
        </w:rPr>
      </w:pPr>
    </w:p>
    <w:p w14:paraId="7AE1E7C3" w14:textId="77777777" w:rsidR="0058665F" w:rsidRDefault="0058665F" w:rsidP="0058665F">
      <w:pPr>
        <w:spacing w:after="120"/>
        <w:rPr>
          <w:rFonts w:cs="Arial"/>
          <w:szCs w:val="20"/>
        </w:rPr>
      </w:pPr>
      <w:r w:rsidRPr="005A3A8F">
        <w:rPr>
          <w:rFonts w:cs="Arial"/>
          <w:szCs w:val="20"/>
          <w:highlight w:val="yellow"/>
        </w:rPr>
        <w:t>&lt;Tailor the preceding language as appropriate.&gt;</w:t>
      </w:r>
    </w:p>
    <w:bookmarkEnd w:id="0"/>
    <w:p w14:paraId="4785234B" w14:textId="77777777" w:rsidR="0058665F" w:rsidRDefault="0058665F" w:rsidP="0058665F">
      <w:pPr>
        <w:spacing w:after="120"/>
        <w:rPr>
          <w:rFonts w:cs="Arial"/>
          <w:szCs w:val="20"/>
        </w:rPr>
      </w:pPr>
    </w:p>
    <w:p w14:paraId="59A7CD09" w14:textId="77777777" w:rsidR="0058665F" w:rsidRPr="007232DD" w:rsidRDefault="0058665F" w:rsidP="0058665F">
      <w:pPr>
        <w:spacing w:after="120"/>
        <w:rPr>
          <w:rFonts w:cs="Arial"/>
          <w:szCs w:val="20"/>
        </w:rPr>
      </w:pPr>
    </w:p>
    <w:p w14:paraId="1571B57A" w14:textId="77777777" w:rsidR="0058665F" w:rsidRPr="007232DD" w:rsidRDefault="0058665F" w:rsidP="0058665F">
      <w:pPr>
        <w:rPr>
          <w:rFonts w:cs="Arial"/>
          <w:szCs w:val="20"/>
        </w:rPr>
      </w:pPr>
    </w:p>
    <w:p w14:paraId="464BCFAE" w14:textId="77777777" w:rsidR="0058665F" w:rsidRPr="00F54AAA" w:rsidRDefault="0058665F" w:rsidP="0058665F">
      <w:pPr>
        <w:keepNext/>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F54AAA">
        <w:rPr>
          <w:rFonts w:ascii="Arial Bold" w:hAnsi="Arial Bold" w:cs="Arial"/>
          <w:b/>
          <w:color w:val="006CA9"/>
          <w:spacing w:val="5"/>
          <w:kern w:val="36"/>
          <w:sz w:val="40"/>
          <w:szCs w:val="30"/>
        </w:rPr>
        <w:t>II.</w:t>
      </w:r>
      <w:r w:rsidRPr="00F54AAA">
        <w:rPr>
          <w:rFonts w:ascii="Arial Bold" w:hAnsi="Arial Bold" w:cs="Arial"/>
          <w:b/>
          <w:color w:val="006CA9"/>
          <w:spacing w:val="5"/>
          <w:kern w:val="36"/>
          <w:sz w:val="40"/>
          <w:szCs w:val="30"/>
        </w:rPr>
        <w:tab/>
        <w:t>Objectives and Approach</w:t>
      </w:r>
    </w:p>
    <w:p w14:paraId="656B0F30" w14:textId="77777777" w:rsidR="0058665F" w:rsidRPr="00534EA9" w:rsidRDefault="0058665F" w:rsidP="0058665F">
      <w:pPr>
        <w:pStyle w:val="Heading2"/>
        <w:ind w:left="0" w:firstLine="0"/>
        <w:rPr>
          <w:b w:val="0"/>
        </w:rPr>
      </w:pPr>
      <w:r w:rsidRPr="00534EA9">
        <w:t>A.</w:t>
      </w:r>
      <w:r>
        <w:t xml:space="preserve"> </w:t>
      </w:r>
      <w:r w:rsidRPr="00534EA9">
        <w:t>Objectives</w:t>
      </w:r>
    </w:p>
    <w:p w14:paraId="5732A17E" w14:textId="77777777" w:rsidR="0058665F" w:rsidRDefault="0058665F" w:rsidP="0058665F">
      <w:pPr>
        <w:keepNext/>
      </w:pPr>
    </w:p>
    <w:p w14:paraId="4C6A3EAE" w14:textId="77777777" w:rsidR="0058665F" w:rsidRPr="005A3A8F" w:rsidRDefault="0058665F" w:rsidP="0058665F">
      <w:pPr>
        <w:keepNext/>
        <w:rPr>
          <w:rFonts w:cs="Arial"/>
          <w:szCs w:val="20"/>
        </w:rPr>
      </w:pPr>
      <w:r>
        <w:t xml:space="preserve">ACA’s review of </w:t>
      </w:r>
      <w:sdt>
        <w:sdtPr>
          <w:alias w:val="Client acronym possessive"/>
          <w:tag w:val="Client-acronym-possessive"/>
          <w:id w:val="1871185438"/>
          <w:placeholder>
            <w:docPart w:val="2435EF8E7CC447889839D4D03776C03A"/>
          </w:placeholder>
        </w:sdtPr>
        <w:sdtEndPr/>
        <w:sdtContent>
          <w:r>
            <w:t>XYZ’s</w:t>
          </w:r>
        </w:sdtContent>
      </w:sdt>
      <w:r>
        <w:t xml:space="preserve"> compliance program sought to identify issues relevant to the Company’s compliance with</w:t>
      </w:r>
    </w:p>
    <w:p w14:paraId="22F3863C" w14:textId="77777777" w:rsidR="0058665F" w:rsidRPr="005A3A8F" w:rsidRDefault="0058665F" w:rsidP="0058665F">
      <w:pPr>
        <w:pStyle w:val="Bullet1"/>
        <w:keepNext/>
        <w:spacing w:line="240" w:lineRule="auto"/>
      </w:pPr>
      <w:r w:rsidRPr="005A3A8F">
        <w:t>the Investment Advisers Act of 1940 (</w:t>
      </w:r>
      <w:r>
        <w:t xml:space="preserve">the </w:t>
      </w:r>
      <w:r w:rsidRPr="005A3A8F">
        <w:t>“Advisers Act</w:t>
      </w:r>
      <w:r>
        <w:t>”),</w:t>
      </w:r>
    </w:p>
    <w:p w14:paraId="73716A49" w14:textId="77777777" w:rsidR="0058665F" w:rsidRPr="005A3A8F" w:rsidRDefault="0058665F" w:rsidP="0058665F">
      <w:pPr>
        <w:pStyle w:val="Bullet1"/>
        <w:spacing w:line="240" w:lineRule="auto"/>
      </w:pPr>
      <w:r w:rsidRPr="005A3A8F">
        <w:t>internal policies and procedures</w:t>
      </w:r>
      <w:r>
        <w:t>,</w:t>
      </w:r>
    </w:p>
    <w:p w14:paraId="61075F17" w14:textId="77777777" w:rsidR="0058665F" w:rsidRPr="005A3A8F" w:rsidRDefault="0058665F" w:rsidP="0058665F">
      <w:pPr>
        <w:pStyle w:val="Bullet1"/>
        <w:spacing w:line="240" w:lineRule="auto"/>
      </w:pPr>
      <w:r w:rsidRPr="005A3A8F">
        <w:t>industry best practices</w:t>
      </w:r>
      <w:r>
        <w:t>,</w:t>
      </w:r>
    </w:p>
    <w:p w14:paraId="72D7D6D6" w14:textId="77777777" w:rsidR="0058665F" w:rsidRPr="005A3A8F" w:rsidRDefault="0058665F" w:rsidP="0058665F">
      <w:pPr>
        <w:pStyle w:val="Bullet1"/>
        <w:spacing w:line="240" w:lineRule="auto"/>
      </w:pPr>
      <w:r w:rsidRPr="005A3A8F">
        <w:t xml:space="preserve">common practices of </w:t>
      </w:r>
      <w:sdt>
        <w:sdtPr>
          <w:alias w:val="Client acronym possessive"/>
          <w:tag w:val="Client-acronym-possessive"/>
          <w:id w:val="439889455"/>
          <w:placeholder>
            <w:docPart w:val="2435EF8E7CC447889839D4D03776C03A"/>
          </w:placeholder>
        </w:sdtPr>
        <w:sdtEndPr/>
        <w:sdtContent>
          <w:r w:rsidRPr="005A3A8F">
            <w:t>XYZ’s</w:t>
          </w:r>
        </w:sdtContent>
      </w:sdt>
      <w:r w:rsidRPr="005A3A8F">
        <w:t xml:space="preserve"> peers</w:t>
      </w:r>
      <w:r>
        <w:t>, and</w:t>
      </w:r>
    </w:p>
    <w:p w14:paraId="5D59B5A5" w14:textId="77777777" w:rsidR="0058665F" w:rsidRPr="005A3A8F" w:rsidRDefault="0058665F" w:rsidP="0058665F">
      <w:pPr>
        <w:pStyle w:val="Bullet1"/>
        <w:spacing w:line="240" w:lineRule="auto"/>
      </w:pPr>
      <w:r w:rsidRPr="005A3A8F">
        <w:t xml:space="preserve">anticipated </w:t>
      </w:r>
      <w:r>
        <w:t>regulatory expectations.</w:t>
      </w:r>
    </w:p>
    <w:p w14:paraId="559A55FA" w14:textId="77777777" w:rsidR="0058665F" w:rsidRPr="005A3A8F" w:rsidRDefault="0058665F" w:rsidP="0058665F">
      <w:pPr>
        <w:rPr>
          <w:rFonts w:cs="Arial"/>
          <w:szCs w:val="20"/>
        </w:rPr>
      </w:pPr>
      <w:r w:rsidRPr="005A3A8F">
        <w:rPr>
          <w:rFonts w:cs="Arial"/>
          <w:szCs w:val="20"/>
        </w:rPr>
        <w:t xml:space="preserve">ACA’s review included an assessment of the adequacy and effectiveness of </w:t>
      </w:r>
      <w:sdt>
        <w:sdtPr>
          <w:rPr>
            <w:rFonts w:cs="Arial"/>
            <w:szCs w:val="20"/>
          </w:rPr>
          <w:alias w:val="Client acronym possessive"/>
          <w:tag w:val="Client-acronym-possessive"/>
          <w:id w:val="-297076165"/>
          <w:placeholder>
            <w:docPart w:val="2435EF8E7CC447889839D4D03776C03A"/>
          </w:placeholder>
        </w:sdtPr>
        <w:sdtEndPr/>
        <w:sdtContent>
          <w:r w:rsidRPr="005A3A8F">
            <w:rPr>
              <w:rFonts w:cs="Arial"/>
              <w:szCs w:val="20"/>
            </w:rPr>
            <w:t>XYZ’s</w:t>
          </w:r>
        </w:sdtContent>
      </w:sdt>
      <w:r w:rsidRPr="005A3A8F">
        <w:rPr>
          <w:rFonts w:cs="Arial"/>
          <w:szCs w:val="20"/>
        </w:rPr>
        <w:t xml:space="preserve"> policies and procedures in each of the following areas:</w:t>
      </w:r>
    </w:p>
    <w:p w14:paraId="1CE14C43" w14:textId="77777777" w:rsidR="0058665F" w:rsidRPr="005A3A8F" w:rsidRDefault="0058665F" w:rsidP="0058665F">
      <w:pPr>
        <w:pStyle w:val="Bullet1"/>
        <w:spacing w:line="240" w:lineRule="auto"/>
      </w:pPr>
      <w:r w:rsidRPr="005A3A8F">
        <w:t>Portfolio management processes, including the fair allocation of investment opportunities and the consistency of portfolios with clients’ investment objectives and applicable regulatory restrictions</w:t>
      </w:r>
    </w:p>
    <w:p w14:paraId="0A376429" w14:textId="77777777" w:rsidR="0058665F" w:rsidRPr="005A3A8F" w:rsidRDefault="0058665F" w:rsidP="0058665F">
      <w:pPr>
        <w:pStyle w:val="Bullet1"/>
        <w:spacing w:line="240" w:lineRule="auto"/>
      </w:pPr>
      <w:r w:rsidRPr="005A3A8F">
        <w:t>Proxy voting practices</w:t>
      </w:r>
    </w:p>
    <w:p w14:paraId="0A0A26C1" w14:textId="77777777" w:rsidR="0058665F" w:rsidRPr="005A3A8F" w:rsidRDefault="0058665F" w:rsidP="0058665F">
      <w:pPr>
        <w:pStyle w:val="Bullet1"/>
        <w:spacing w:line="240" w:lineRule="auto"/>
      </w:pPr>
      <w:r w:rsidRPr="005A3A8F">
        <w:t xml:space="preserve">Trading practices, including procedures by which the adviser satisfies its best execution obligation </w:t>
      </w:r>
    </w:p>
    <w:p w14:paraId="427D73E2" w14:textId="77777777" w:rsidR="0058665F" w:rsidRPr="005A3A8F" w:rsidRDefault="0058665F" w:rsidP="0058665F">
      <w:pPr>
        <w:pStyle w:val="Bullet1"/>
        <w:spacing w:line="240" w:lineRule="auto"/>
      </w:pPr>
      <w:r w:rsidRPr="005A3A8F">
        <w:t>Proprietary trading of the adviser and personal trading activities of supervised persons</w:t>
      </w:r>
    </w:p>
    <w:p w14:paraId="61D380AA" w14:textId="77777777" w:rsidR="0058665F" w:rsidRPr="005A3A8F" w:rsidRDefault="0058665F" w:rsidP="0058665F">
      <w:pPr>
        <w:pStyle w:val="Bullet1"/>
        <w:spacing w:line="240" w:lineRule="auto"/>
      </w:pPr>
      <w:r w:rsidRPr="005A3A8F">
        <w:t>The accuracy of disclosures made to clients</w:t>
      </w:r>
      <w:r w:rsidRPr="00046249">
        <w:t xml:space="preserve">, </w:t>
      </w:r>
      <w:sdt>
        <w:sdtPr>
          <w:alias w:val="Private Fund Adviser"/>
          <w:tag w:val="Private-Fund-Adviser"/>
          <w:id w:val="1176778833"/>
          <w:placeholder>
            <w:docPart w:val="2435EF8E7CC447889839D4D03776C03A"/>
          </w:placeholder>
        </w:sdtPr>
        <w:sdtEndPr/>
        <w:sdtContent>
          <w:r w:rsidRPr="00046249">
            <w:t>investors,</w:t>
          </w:r>
        </w:sdtContent>
      </w:sdt>
      <w:r w:rsidRPr="005A3A8F">
        <w:t xml:space="preserve"> and regulators, including account statements and advertisements</w:t>
      </w:r>
    </w:p>
    <w:p w14:paraId="09FBD240" w14:textId="77777777" w:rsidR="0058665F" w:rsidRPr="005A3A8F" w:rsidRDefault="0058665F" w:rsidP="0058665F">
      <w:pPr>
        <w:pStyle w:val="Bullet1"/>
        <w:spacing w:line="240" w:lineRule="auto"/>
      </w:pPr>
      <w:r w:rsidRPr="005A3A8F">
        <w:t xml:space="preserve">The creation and maintenance of required records, including policies and procedures designed to protect against unauthorized access and premature destruction </w:t>
      </w:r>
    </w:p>
    <w:p w14:paraId="1CBDA896" w14:textId="77777777" w:rsidR="0058665F" w:rsidRPr="005A3A8F" w:rsidRDefault="0058665F" w:rsidP="0058665F">
      <w:pPr>
        <w:pStyle w:val="Bullet1"/>
        <w:spacing w:line="240" w:lineRule="auto"/>
      </w:pPr>
      <w:r w:rsidRPr="005A3A8F">
        <w:t xml:space="preserve">Marketing practices, including the use of solicitors </w:t>
      </w:r>
    </w:p>
    <w:p w14:paraId="32F932F9" w14:textId="77777777" w:rsidR="0058665F" w:rsidRPr="005A3A8F" w:rsidRDefault="0058665F" w:rsidP="0058665F">
      <w:pPr>
        <w:pStyle w:val="Bullet1"/>
        <w:spacing w:line="240" w:lineRule="auto"/>
      </w:pPr>
      <w:r w:rsidRPr="005A3A8F">
        <w:t xml:space="preserve">Valuation and fee calculation practices </w:t>
      </w:r>
    </w:p>
    <w:p w14:paraId="1D2541F1" w14:textId="77777777" w:rsidR="0058665F" w:rsidRPr="005A3A8F" w:rsidRDefault="0058665F" w:rsidP="0058665F">
      <w:pPr>
        <w:pStyle w:val="Bullet1"/>
        <w:spacing w:line="240" w:lineRule="auto"/>
      </w:pPr>
      <w:r>
        <w:t>Cybersecurity controls, including physical and electronic s</w:t>
      </w:r>
      <w:r w:rsidRPr="005A3A8F">
        <w:t xml:space="preserve">afeguards for the protection of </w:t>
      </w:r>
      <w:r>
        <w:t xml:space="preserve">sensitive information, including </w:t>
      </w:r>
      <w:r w:rsidRPr="005A3A8F">
        <w:t xml:space="preserve">client </w:t>
      </w:r>
      <w:sdt>
        <w:sdtPr>
          <w:alias w:val="Private Fund Adviser"/>
          <w:tag w:val="Private-Fund-Adviser"/>
          <w:id w:val="-1352494324"/>
          <w:placeholder>
            <w:docPart w:val="2435EF8E7CC447889839D4D03776C03A"/>
          </w:placeholder>
        </w:sdtPr>
        <w:sdtEndPr/>
        <w:sdtContent>
          <w:r w:rsidRPr="001E485A">
            <w:t>and investor</w:t>
          </w:r>
        </w:sdtContent>
      </w:sdt>
      <w:r w:rsidRPr="005A3A8F">
        <w:t xml:space="preserve"> records</w:t>
      </w:r>
      <w:r>
        <w:t xml:space="preserve"> and </w:t>
      </w:r>
      <w:sdt>
        <w:sdtPr>
          <w:alias w:val="Client acronym possessive"/>
          <w:tag w:val="Client-acronym-possessive"/>
          <w:id w:val="1311438218"/>
          <w:placeholder>
            <w:docPart w:val="2435EF8E7CC447889839D4D03776C03A"/>
          </w:placeholder>
        </w:sdtPr>
        <w:sdtEndPr/>
        <w:sdtContent>
          <w:r>
            <w:t>XYZ’s</w:t>
          </w:r>
        </w:sdtContent>
      </w:sdt>
      <w:r>
        <w:t xml:space="preserve"> other proprietary</w:t>
      </w:r>
      <w:r w:rsidRPr="005A3A8F">
        <w:t xml:space="preserve"> information </w:t>
      </w:r>
    </w:p>
    <w:p w14:paraId="395F78F7" w14:textId="77777777" w:rsidR="0058665F" w:rsidRDefault="0058665F" w:rsidP="0058665F">
      <w:pPr>
        <w:pStyle w:val="Bullet1"/>
        <w:spacing w:line="240" w:lineRule="auto"/>
      </w:pPr>
      <w:r w:rsidRPr="005A3A8F">
        <w:t>Safeguards for the protection of client assets from conversion or inappropriate use by advisory personnel</w:t>
      </w:r>
    </w:p>
    <w:p w14:paraId="1EB08156" w14:textId="77777777" w:rsidR="0058665F" w:rsidRPr="005A3A8F" w:rsidRDefault="0058665F" w:rsidP="0058665F">
      <w:pPr>
        <w:pStyle w:val="Bullet1"/>
        <w:spacing w:line="240" w:lineRule="auto"/>
      </w:pPr>
      <w:r>
        <w:t>Fee and expense practices, including expense allocations</w:t>
      </w:r>
      <w:r w:rsidRPr="009E4DB1">
        <w:t xml:space="preserve"> </w:t>
      </w:r>
    </w:p>
    <w:p w14:paraId="745E7F67" w14:textId="77777777" w:rsidR="0058665F" w:rsidRPr="005A3A8F" w:rsidRDefault="0058665F" w:rsidP="0058665F">
      <w:pPr>
        <w:pStyle w:val="Bullet1"/>
        <w:spacing w:line="240" w:lineRule="auto"/>
      </w:pPr>
      <w:r w:rsidRPr="005A3A8F">
        <w:t xml:space="preserve">Disaster recovery and business continuity planning </w:t>
      </w:r>
    </w:p>
    <w:p w14:paraId="684A9757" w14:textId="77777777" w:rsidR="0058665F" w:rsidRPr="005A3A8F" w:rsidRDefault="0058665F" w:rsidP="0058665F">
      <w:pPr>
        <w:pStyle w:val="Bullet1"/>
        <w:spacing w:line="240" w:lineRule="auto"/>
      </w:pPr>
      <w:r w:rsidRPr="005A3A8F">
        <w:lastRenderedPageBreak/>
        <w:t xml:space="preserve">Other areas ACA deemed necessary based upon </w:t>
      </w:r>
      <w:sdt>
        <w:sdtPr>
          <w:alias w:val="Client acronym possessive"/>
          <w:tag w:val="Client-acronym-possessive"/>
          <w:id w:val="-295683490"/>
          <w:placeholder>
            <w:docPart w:val="2435EF8E7CC447889839D4D03776C03A"/>
          </w:placeholder>
        </w:sdtPr>
        <w:sdtEndPr/>
        <w:sdtContent>
          <w:r w:rsidRPr="005A3A8F">
            <w:t>XYZ’s</w:t>
          </w:r>
        </w:sdtContent>
      </w:sdt>
      <w:r w:rsidRPr="005A3A8F">
        <w:t xml:space="preserve"> specific compliance and operational risks</w:t>
      </w:r>
    </w:p>
    <w:p w14:paraId="109CC770" w14:textId="77777777" w:rsidR="0058665F" w:rsidRPr="00C72C13" w:rsidRDefault="0058665F" w:rsidP="0058665F">
      <w:pPr>
        <w:rPr>
          <w:rFonts w:cs="Arial"/>
          <w:szCs w:val="20"/>
        </w:rPr>
      </w:pPr>
      <w:r w:rsidRPr="00C72C13">
        <w:rPr>
          <w:rFonts w:cs="Arial"/>
          <w:szCs w:val="20"/>
          <w:highlight w:val="yellow"/>
        </w:rPr>
        <w:t xml:space="preserve">&lt;Tailor the preceding </w:t>
      </w:r>
      <w:r>
        <w:rPr>
          <w:rFonts w:cs="Arial"/>
          <w:szCs w:val="20"/>
          <w:highlight w:val="yellow"/>
        </w:rPr>
        <w:t>list</w:t>
      </w:r>
      <w:r w:rsidRPr="00C72C13">
        <w:rPr>
          <w:rFonts w:cs="Arial"/>
          <w:szCs w:val="20"/>
          <w:highlight w:val="yellow"/>
        </w:rPr>
        <w:t xml:space="preserve"> to reflect the </w:t>
      </w:r>
      <w:r>
        <w:rPr>
          <w:rFonts w:cs="Arial"/>
          <w:szCs w:val="20"/>
          <w:highlight w:val="yellow"/>
        </w:rPr>
        <w:t>scope of your review</w:t>
      </w:r>
      <w:r w:rsidRPr="00C72C13">
        <w:rPr>
          <w:rFonts w:cs="Arial"/>
          <w:szCs w:val="20"/>
          <w:highlight w:val="yellow"/>
        </w:rPr>
        <w:t>.&gt;</w:t>
      </w:r>
    </w:p>
    <w:p w14:paraId="699BDD91" w14:textId="77777777" w:rsidR="0058665F" w:rsidRDefault="0058665F" w:rsidP="0058665F">
      <w:pPr>
        <w:rPr>
          <w:rFonts w:cs="Arial"/>
          <w:szCs w:val="20"/>
        </w:rPr>
      </w:pPr>
    </w:p>
    <w:p w14:paraId="1B8FE144" w14:textId="77777777" w:rsidR="0058665F" w:rsidRDefault="0058665F" w:rsidP="0058665F">
      <w:pPr>
        <w:rPr>
          <w:rFonts w:cs="Arial"/>
          <w:szCs w:val="20"/>
        </w:rPr>
      </w:pPr>
      <w:r w:rsidRPr="005A3A8F">
        <w:rPr>
          <w:rFonts w:cs="Arial"/>
          <w:szCs w:val="20"/>
        </w:rPr>
        <w:t>While ACA’s review addressed each of the areas noted above, ACA prioritized the areas that it believed presented the most risk to the Company and/or its clients.</w:t>
      </w:r>
    </w:p>
    <w:p w14:paraId="79C19C28" w14:textId="77777777" w:rsidR="0058665F" w:rsidRPr="005A3A8F" w:rsidRDefault="0058665F" w:rsidP="0058665F">
      <w:pPr>
        <w:rPr>
          <w:rFonts w:cs="Arial"/>
          <w:szCs w:val="20"/>
        </w:rPr>
      </w:pPr>
      <w:r w:rsidRPr="005A3A8F">
        <w:rPr>
          <w:rFonts w:cs="Arial"/>
          <w:szCs w:val="20"/>
        </w:rPr>
        <w:t xml:space="preserve"> </w:t>
      </w:r>
    </w:p>
    <w:p w14:paraId="13909C0D" w14:textId="77777777" w:rsidR="0058665F" w:rsidRPr="00F54AAA" w:rsidRDefault="0058665F" w:rsidP="0058665F">
      <w:pPr>
        <w:rPr>
          <w:b/>
          <w:sz w:val="28"/>
          <w:szCs w:val="28"/>
        </w:rPr>
      </w:pPr>
      <w:r w:rsidRPr="00F54AAA">
        <w:rPr>
          <w:b/>
          <w:sz w:val="28"/>
          <w:szCs w:val="28"/>
          <w:u w:val="single"/>
        </w:rPr>
        <w:t>B.</w:t>
      </w:r>
      <w:r>
        <w:rPr>
          <w:b/>
          <w:sz w:val="28"/>
          <w:szCs w:val="28"/>
          <w:u w:val="single"/>
        </w:rPr>
        <w:t xml:space="preserve"> </w:t>
      </w:r>
      <w:r w:rsidRPr="00F54AAA">
        <w:rPr>
          <w:b/>
          <w:sz w:val="28"/>
          <w:szCs w:val="28"/>
          <w:u w:val="single"/>
        </w:rPr>
        <w:t>Approach</w:t>
      </w:r>
    </w:p>
    <w:p w14:paraId="2DBF5965" w14:textId="77777777" w:rsidR="0058665F" w:rsidRDefault="0058665F" w:rsidP="0058665F">
      <w:pPr>
        <w:rPr>
          <w:szCs w:val="20"/>
        </w:rPr>
      </w:pPr>
    </w:p>
    <w:p w14:paraId="20D533C9"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090736841"/>
          <w:placeholder>
            <w:docPart w:val="2435EF8E7CC447889839D4D03776C03A"/>
          </w:placeholder>
        </w:sdtPr>
        <w:sdtEndPr/>
        <w:sdtContent>
          <w:r w:rsidRPr="005A3A8F">
            <w:rPr>
              <w:rFonts w:cs="Arial"/>
              <w:szCs w:val="20"/>
            </w:rPr>
            <w:t>XYZ’s</w:t>
          </w:r>
        </w:sdtContent>
      </w:sdt>
      <w:r w:rsidRPr="005A3A8F">
        <w:rPr>
          <w:rFonts w:cs="Arial"/>
          <w:szCs w:val="20"/>
        </w:rPr>
        <w:t xml:space="preserve"> compliance program included the following actions:</w:t>
      </w:r>
    </w:p>
    <w:p w14:paraId="2E30736C" w14:textId="77777777" w:rsidR="0058665F" w:rsidRPr="005A3A8F" w:rsidRDefault="0058665F" w:rsidP="0058665F">
      <w:pPr>
        <w:pStyle w:val="Bullet1"/>
        <w:spacing w:line="240" w:lineRule="auto"/>
      </w:pPr>
      <w:r w:rsidRPr="005A3A8F">
        <w:t xml:space="preserve">We reviewed certain books and records covering the </w:t>
      </w:r>
      <w:proofErr w:type="gramStart"/>
      <w:r w:rsidRPr="005A3A8F">
        <w:t>time period</w:t>
      </w:r>
      <w:proofErr w:type="gramEnd"/>
      <w:r w:rsidRPr="005A3A8F">
        <w:t xml:space="preserve"> from </w:t>
      </w:r>
      <w:sdt>
        <w:sdtPr>
          <w:alias w:val="Review Period Start Date"/>
          <w:tag w:val="Review-Period-Start-Date"/>
          <w:id w:val="-719435624"/>
          <w:placeholder>
            <w:docPart w:val="2435EF8E7CC447889839D4D03776C03A"/>
          </w:placeholder>
        </w:sdtPr>
        <w:sdtEndPr/>
        <w:sdtContent>
          <w:r w:rsidRPr="009E7D7A">
            <w:t>Month XX, 20XX</w:t>
          </w:r>
        </w:sdtContent>
      </w:sdt>
      <w:r w:rsidRPr="009E7D7A">
        <w:t xml:space="preserve"> through </w:t>
      </w:r>
      <w:sdt>
        <w:sdtPr>
          <w:alias w:val="Review Period End Date"/>
          <w:tag w:val="Review-Period-End-Date"/>
          <w:id w:val="480740074"/>
          <w:placeholder>
            <w:docPart w:val="2435EF8E7CC447889839D4D03776C03A"/>
          </w:placeholder>
        </w:sdtPr>
        <w:sdtEndPr/>
        <w:sdtContent>
          <w:r w:rsidRPr="009E7D7A">
            <w:t>Month XX, 20XX</w:t>
          </w:r>
        </w:sdtContent>
      </w:sdt>
      <w:r w:rsidRPr="005A3A8F">
        <w:t xml:space="preserve"> (</w:t>
      </w:r>
      <w:r>
        <w:t xml:space="preserve">the </w:t>
      </w:r>
      <w:r w:rsidRPr="005A3A8F">
        <w:t xml:space="preserve">“Review Period”). ACA’s document request list incorporated broad document requests in each of the following areas: </w:t>
      </w:r>
    </w:p>
    <w:p w14:paraId="13C8C211" w14:textId="77777777" w:rsidR="0058665F" w:rsidRPr="005A3A8F" w:rsidRDefault="0058665F" w:rsidP="0058665F">
      <w:pPr>
        <w:pStyle w:val="Bullet2"/>
        <w:spacing w:line="240" w:lineRule="auto"/>
      </w:pPr>
      <w:r w:rsidRPr="005A3A8F">
        <w:t>Advisory client info</w:t>
      </w:r>
      <w:r w:rsidRPr="00B3157B">
        <w:t>r</w:t>
      </w:r>
      <w:r w:rsidRPr="005A3A8F">
        <w:t>mation</w:t>
      </w:r>
    </w:p>
    <w:p w14:paraId="17C9B2C3" w14:textId="77777777" w:rsidR="0058665F" w:rsidRPr="005A3A8F" w:rsidRDefault="0058665F" w:rsidP="0058665F">
      <w:pPr>
        <w:pStyle w:val="Bullet2"/>
        <w:spacing w:line="240" w:lineRule="auto"/>
      </w:pPr>
      <w:r w:rsidRPr="005A3A8F">
        <w:t>Disclosure documents and agreements</w:t>
      </w:r>
    </w:p>
    <w:p w14:paraId="2FDB993D" w14:textId="77777777" w:rsidR="0058665F" w:rsidRPr="005A3A8F" w:rsidRDefault="0058665F" w:rsidP="0058665F">
      <w:pPr>
        <w:pStyle w:val="Bullet2"/>
        <w:spacing w:line="240" w:lineRule="auto"/>
      </w:pPr>
      <w:r w:rsidRPr="005A3A8F">
        <w:t>Code of ethics</w:t>
      </w:r>
    </w:p>
    <w:p w14:paraId="16928E0F" w14:textId="77777777" w:rsidR="0058665F" w:rsidRPr="005A3A8F" w:rsidRDefault="0058665F" w:rsidP="0058665F">
      <w:pPr>
        <w:pStyle w:val="Bullet2"/>
        <w:spacing w:line="240" w:lineRule="auto"/>
      </w:pPr>
      <w:r w:rsidRPr="005A3A8F">
        <w:t>Trading and portfolio management</w:t>
      </w:r>
    </w:p>
    <w:p w14:paraId="0F608136" w14:textId="77777777" w:rsidR="0058665F" w:rsidRDefault="0058665F" w:rsidP="0058665F">
      <w:pPr>
        <w:pStyle w:val="Bullet2"/>
        <w:spacing w:line="240" w:lineRule="auto"/>
      </w:pPr>
      <w:r w:rsidRPr="005A3A8F">
        <w:t>Risk management</w:t>
      </w:r>
    </w:p>
    <w:p w14:paraId="0449AB18" w14:textId="77777777" w:rsidR="0058665F" w:rsidRPr="005A3A8F" w:rsidRDefault="0058665F" w:rsidP="0058665F">
      <w:pPr>
        <w:pStyle w:val="Bullet2"/>
        <w:spacing w:line="240" w:lineRule="auto"/>
      </w:pPr>
      <w:r>
        <w:t>Fees and expenses</w:t>
      </w:r>
    </w:p>
    <w:p w14:paraId="19356D38" w14:textId="77777777" w:rsidR="0058665F" w:rsidRPr="005A3A8F" w:rsidRDefault="0058665F" w:rsidP="0058665F">
      <w:pPr>
        <w:pStyle w:val="Bullet2"/>
        <w:spacing w:line="240" w:lineRule="auto"/>
      </w:pPr>
      <w:r w:rsidRPr="005A3A8F">
        <w:t>Pricing and valuation</w:t>
      </w:r>
    </w:p>
    <w:p w14:paraId="31ABCB58" w14:textId="77777777" w:rsidR="0058665F" w:rsidRDefault="0058665F" w:rsidP="0058665F">
      <w:pPr>
        <w:pStyle w:val="Bullet2"/>
        <w:spacing w:line="240" w:lineRule="auto"/>
      </w:pPr>
      <w:r w:rsidRPr="005A3A8F">
        <w:t>Advertising and solicitation</w:t>
      </w:r>
    </w:p>
    <w:p w14:paraId="26A4CC2E" w14:textId="77777777" w:rsidR="0058665F" w:rsidRPr="005A3A8F" w:rsidRDefault="0058665F" w:rsidP="0058665F">
      <w:pPr>
        <w:pStyle w:val="Bullet2"/>
        <w:spacing w:line="240" w:lineRule="auto"/>
      </w:pPr>
      <w:r>
        <w:t>Committees, controls, and procedures</w:t>
      </w:r>
    </w:p>
    <w:p w14:paraId="1B39D90E" w14:textId="77777777" w:rsidR="0058665F" w:rsidRPr="005A3A8F" w:rsidRDefault="0058665F" w:rsidP="0058665F">
      <w:pPr>
        <w:pStyle w:val="Bullet2"/>
        <w:spacing w:line="240" w:lineRule="auto"/>
      </w:pPr>
      <w:r w:rsidRPr="005A3A8F">
        <w:t xml:space="preserve">Safety of clients’ </w:t>
      </w:r>
      <w:r>
        <w:t xml:space="preserve">funds and </w:t>
      </w:r>
      <w:r w:rsidRPr="005A3A8F">
        <w:t>assets</w:t>
      </w:r>
    </w:p>
    <w:p w14:paraId="1548A77C" w14:textId="77777777" w:rsidR="0058665F" w:rsidRPr="005A3A8F" w:rsidRDefault="0058665F" w:rsidP="0058665F">
      <w:pPr>
        <w:pStyle w:val="Bullet2"/>
        <w:spacing w:line="240" w:lineRule="auto"/>
      </w:pPr>
      <w:r w:rsidRPr="005A3A8F">
        <w:t>Client privacy</w:t>
      </w:r>
      <w:r>
        <w:t xml:space="preserve"> and information security</w:t>
      </w:r>
    </w:p>
    <w:p w14:paraId="1F4DF8C5" w14:textId="77777777" w:rsidR="0058665F" w:rsidRPr="005A3A8F" w:rsidRDefault="0058665F" w:rsidP="0058665F">
      <w:pPr>
        <w:pStyle w:val="Bullet2"/>
        <w:spacing w:line="240" w:lineRule="auto"/>
      </w:pPr>
      <w:r w:rsidRPr="005A3A8F">
        <w:t>Other documents and business activities</w:t>
      </w:r>
    </w:p>
    <w:p w14:paraId="0D4D644D" w14:textId="77777777" w:rsidR="0058665F" w:rsidRPr="005A3A8F" w:rsidRDefault="0058665F" w:rsidP="0058665F">
      <w:pPr>
        <w:rPr>
          <w:rFonts w:cs="Arial"/>
          <w:szCs w:val="20"/>
        </w:rPr>
      </w:pPr>
      <w:r w:rsidRPr="005A3A8F">
        <w:rPr>
          <w:rFonts w:cs="Arial"/>
          <w:szCs w:val="20"/>
          <w:highlight w:val="yellow"/>
        </w:rPr>
        <w:t>&lt;Tailor the preceding entries to reflect the document request list that you use.&gt;</w:t>
      </w:r>
    </w:p>
    <w:p w14:paraId="6D0DA36E" w14:textId="77777777" w:rsidR="0058665F" w:rsidRPr="00400187" w:rsidRDefault="0058665F" w:rsidP="0058665F">
      <w:pPr>
        <w:pStyle w:val="Bullet1"/>
        <w:spacing w:line="240" w:lineRule="auto"/>
      </w:pPr>
      <w:r w:rsidRPr="00400187">
        <w:t xml:space="preserve">ACA reviewed </w:t>
      </w:r>
      <w:sdt>
        <w:sdtPr>
          <w:alias w:val="Client acronym possessive"/>
          <w:tag w:val="Client-acronym-possessive"/>
          <w:id w:val="-20787505"/>
          <w:placeholder>
            <w:docPart w:val="2435EF8E7CC447889839D4D03776C03A"/>
          </w:placeholder>
        </w:sdtPr>
        <w:sdtEndPr/>
        <w:sdtContent>
          <w:r w:rsidRPr="00400187">
            <w:t>XYZ’s</w:t>
          </w:r>
        </w:sdtContent>
      </w:sdt>
      <w:r w:rsidRPr="00400187">
        <w:t xml:space="preserve"> written policies and procedures, as well as documentation demonstrating the way in which such policies and procedures were implemented.</w:t>
      </w:r>
    </w:p>
    <w:p w14:paraId="3F439B69" w14:textId="77777777" w:rsidR="0058665F" w:rsidRPr="005A3A8F" w:rsidRDefault="0058665F" w:rsidP="0058665F">
      <w:pPr>
        <w:pStyle w:val="Bullet1"/>
        <w:spacing w:line="240" w:lineRule="auto"/>
      </w:pPr>
      <w:r w:rsidRPr="005A3A8F">
        <w:t xml:space="preserve">We interviewed the following personnel to gain additional insight into </w:t>
      </w:r>
      <w:sdt>
        <w:sdtPr>
          <w:alias w:val="Client acronym possessive"/>
          <w:tag w:val="Client-acronym-possessive"/>
          <w:id w:val="-448772583"/>
          <w:placeholder>
            <w:docPart w:val="2435EF8E7CC447889839D4D03776C03A"/>
          </w:placeholder>
        </w:sdtPr>
        <w:sdtEndPr/>
        <w:sdtContent>
          <w:r w:rsidRPr="005A3A8F">
            <w:t>XYZ’s</w:t>
          </w:r>
        </w:sdtContent>
      </w:sdt>
      <w:r w:rsidRPr="005A3A8F">
        <w:t xml:space="preserve"> operations and to compare the Company’s written policies and procedures with its practices:</w:t>
      </w:r>
    </w:p>
    <w:p w14:paraId="1FADED14" w14:textId="77777777" w:rsidR="0058665F" w:rsidRPr="005A3A8F" w:rsidRDefault="0058665F" w:rsidP="0058665F">
      <w:pPr>
        <w:pStyle w:val="Bullet2"/>
        <w:spacing w:line="240" w:lineRule="auto"/>
        <w:rPr>
          <w:highlight w:val="yellow"/>
        </w:rPr>
      </w:pPr>
      <w:r w:rsidRPr="005A3A8F">
        <w:rPr>
          <w:highlight w:val="yellow"/>
        </w:rPr>
        <w:t>&lt;Name, Title, Department&gt;</w:t>
      </w:r>
    </w:p>
    <w:p w14:paraId="6E6CDB40" w14:textId="77777777" w:rsidR="0058665F" w:rsidRPr="005A3A8F" w:rsidRDefault="0058665F" w:rsidP="0058665F">
      <w:pPr>
        <w:pStyle w:val="Bullet2"/>
        <w:spacing w:line="240" w:lineRule="auto"/>
        <w:rPr>
          <w:highlight w:val="yellow"/>
        </w:rPr>
      </w:pPr>
      <w:r w:rsidRPr="005A3A8F">
        <w:rPr>
          <w:highlight w:val="yellow"/>
        </w:rPr>
        <w:lastRenderedPageBreak/>
        <w:t>&lt;Name, Title, Department&gt;</w:t>
      </w:r>
    </w:p>
    <w:p w14:paraId="61240EEC" w14:textId="77777777" w:rsidR="0058665F" w:rsidRPr="005A3A8F" w:rsidRDefault="0058665F" w:rsidP="0058665F">
      <w:pPr>
        <w:pStyle w:val="Bullet2"/>
        <w:spacing w:line="240" w:lineRule="auto"/>
        <w:rPr>
          <w:highlight w:val="yellow"/>
        </w:rPr>
      </w:pPr>
      <w:r w:rsidRPr="005A3A8F">
        <w:rPr>
          <w:highlight w:val="yellow"/>
        </w:rPr>
        <w:t>&lt;Name, Title, Department&gt;</w:t>
      </w:r>
    </w:p>
    <w:p w14:paraId="3F5D6A7F" w14:textId="77777777" w:rsidR="0058665F" w:rsidRDefault="0058665F" w:rsidP="0058665F">
      <w:pPr>
        <w:pStyle w:val="Bullet1"/>
        <w:spacing w:line="240" w:lineRule="auto"/>
      </w:pPr>
      <w:r w:rsidRPr="005A3A8F">
        <w:t xml:space="preserve">We analyzed the testing that </w:t>
      </w:r>
      <w:sdt>
        <w:sdtPr>
          <w:alias w:val="Client acronym"/>
          <w:tag w:val="Client-acronym"/>
          <w:id w:val="-298001921"/>
          <w:placeholder>
            <w:docPart w:val="2435EF8E7CC447889839D4D03776C03A"/>
          </w:placeholder>
        </w:sdtPr>
        <w:sdtEndPr/>
        <w:sdtContent>
          <w:r w:rsidRPr="005A3A8F">
            <w:t>XYZ</w:t>
          </w:r>
        </w:sdtContent>
      </w:sdt>
      <w:r w:rsidRPr="005A3A8F">
        <w:t xml:space="preserve"> uses to evaluate the adequacy and effectiveness of its compliance program, including ongoing reviews, forensic testing, and periodic and systematic analyses. </w:t>
      </w:r>
    </w:p>
    <w:sdt>
      <w:sdtPr>
        <w:alias w:val="Decryptex"/>
        <w:tag w:val="Decryptex"/>
        <w:id w:val="1683010155"/>
        <w:placeholder>
          <w:docPart w:val="40D8C8283FBD450B9D185EC8250BC911"/>
        </w:placeholder>
      </w:sdtPr>
      <w:sdtEndPr/>
      <w:sdtContent>
        <w:p w14:paraId="7DCB6027" w14:textId="77777777" w:rsidR="0058665F" w:rsidRDefault="0058665F" w:rsidP="0058665F">
          <w:pPr>
            <w:pStyle w:val="Bullet1"/>
            <w:spacing w:line="240" w:lineRule="auto"/>
            <w:rPr>
              <w:rFonts w:eastAsia="Times New Roman" w:cs="Times New Roman"/>
              <w:szCs w:val="24"/>
            </w:rPr>
          </w:pPr>
          <w:r>
            <w:t xml:space="preserve">We tested </w:t>
          </w:r>
          <w:sdt>
            <w:sdtPr>
              <w:alias w:val="Client acronym possessive"/>
              <w:tag w:val="Client-acronym-possessive"/>
              <w:id w:val="-1609418163"/>
              <w:placeholder>
                <w:docPart w:val="40D8C8283FBD450B9D185EC8250BC911"/>
              </w:placeholder>
            </w:sdtPr>
            <w:sdtEndPr/>
            <w:sdtContent>
              <w:r>
                <w:t>XYZ’s</w:t>
              </w:r>
            </w:sdtContent>
          </w:sdt>
          <w:r>
            <w:t xml:space="preserve"> trading data for the Review Period using ACA’s </w:t>
          </w:r>
          <w:proofErr w:type="spellStart"/>
          <w:r w:rsidRPr="00FD05F3">
            <w:t>Decryptex</w:t>
          </w:r>
          <w:proofErr w:type="spellEnd"/>
          <w:r w:rsidRPr="00FD05F3">
            <w:t xml:space="preserve">® </w:t>
          </w:r>
          <w:r>
            <w:t>Trade Blotter Review Tool.</w:t>
          </w:r>
        </w:p>
      </w:sdtContent>
    </w:sdt>
    <w:p w14:paraId="7E34A616" w14:textId="77777777" w:rsidR="0058665F" w:rsidRPr="005A3A8F" w:rsidRDefault="0058665F" w:rsidP="0058665F">
      <w:pPr>
        <w:pStyle w:val="Bullet1"/>
        <w:spacing w:line="240" w:lineRule="auto"/>
      </w:pPr>
      <w:r w:rsidRPr="005A3A8F">
        <w:t xml:space="preserve">We reviewed </w:t>
      </w:r>
      <w:sdt>
        <w:sdtPr>
          <w:alias w:val="Client acronym possessive"/>
          <w:tag w:val="Client-acronym-possessive"/>
          <w:id w:val="-2009362785"/>
          <w:placeholder>
            <w:docPart w:val="2435EF8E7CC447889839D4D03776C03A"/>
          </w:placeholder>
        </w:sdtPr>
        <w:sdtEndPr/>
        <w:sdtContent>
          <w:r w:rsidRPr="005A3A8F">
            <w:t>XYZ’s</w:t>
          </w:r>
        </w:sdtContent>
      </w:sdt>
      <w:r w:rsidRPr="005A3A8F">
        <w:t xml:space="preserve"> </w:t>
      </w:r>
      <w:sdt>
        <w:sdtPr>
          <w:alias w:val="Compliance Manual"/>
          <w:tag w:val="Compliance-Manual"/>
          <w:id w:val="1577323761"/>
          <w:placeholder>
            <w:docPart w:val="2435EF8E7CC447889839D4D03776C03A"/>
          </w:placeholder>
        </w:sdtPr>
        <w:sdtEndPr/>
        <w:sdtContent>
          <w:r w:rsidRPr="006F4655">
            <w:t>Compliance Manual</w:t>
          </w:r>
        </w:sdtContent>
      </w:sdt>
      <w:r w:rsidRPr="005A3A8F">
        <w:t>.</w:t>
      </w:r>
    </w:p>
    <w:sdt>
      <w:sdtPr>
        <w:alias w:val="Prior Review"/>
        <w:tag w:val="Prior-Review"/>
        <w:id w:val="2062513876"/>
        <w:placeholder>
          <w:docPart w:val="2435EF8E7CC447889839D4D03776C03A"/>
        </w:placeholder>
      </w:sdtPr>
      <w:sdtEndPr/>
      <w:sdtContent>
        <w:p w14:paraId="44D485D0" w14:textId="77777777" w:rsidR="0058665F" w:rsidRPr="005A3A8F" w:rsidRDefault="0058665F" w:rsidP="0058665F">
          <w:pPr>
            <w:pStyle w:val="Bullet1"/>
            <w:spacing w:line="240" w:lineRule="auto"/>
          </w:pPr>
          <w:r w:rsidRPr="006F4655">
            <w:t>W</w:t>
          </w:r>
          <w:r w:rsidRPr="005A3A8F">
            <w:t xml:space="preserve">e evaluated </w:t>
          </w:r>
          <w:sdt>
            <w:sdtPr>
              <w:alias w:val="Client acronym possessive"/>
              <w:tag w:val="Client-acronym-possessive"/>
              <w:id w:val="207151539"/>
              <w:placeholder>
                <w:docPart w:val="2435EF8E7CC447889839D4D03776C03A"/>
              </w:placeholder>
            </w:sdtPr>
            <w:sdtEndPr/>
            <w:sdtContent>
              <w:r w:rsidRPr="005A3A8F">
                <w:t>XYZ’s</w:t>
              </w:r>
            </w:sdtContent>
          </w:sdt>
          <w:r w:rsidRPr="005A3A8F">
            <w:t xml:space="preserve"> responses to issues noted during ACA’s prior review.</w:t>
          </w:r>
        </w:p>
      </w:sdtContent>
    </w:sdt>
    <w:p w14:paraId="281E6517" w14:textId="77777777" w:rsidR="0058665F" w:rsidRPr="004E429A" w:rsidRDefault="00730394" w:rsidP="0058665F">
      <w:pPr>
        <w:pStyle w:val="Bullet1"/>
        <w:spacing w:line="240" w:lineRule="auto"/>
      </w:pPr>
      <w:sdt>
        <w:sdtPr>
          <w:alias w:val="SEC Client Exam"/>
          <w:tag w:val="SEC-Client-Exam"/>
          <w:id w:val="-1936652984"/>
          <w:placeholder>
            <w:docPart w:val="2435EF8E7CC447889839D4D03776C03A"/>
          </w:placeholder>
        </w:sdtPr>
        <w:sdtEndPr/>
        <w:sdtContent>
          <w:r w:rsidR="0058665F" w:rsidRPr="006F4655">
            <w:t>We evaluated</w:t>
          </w:r>
          <w:r w:rsidR="0058665F" w:rsidRPr="003464D8">
            <w:t xml:space="preserve"> </w:t>
          </w:r>
          <w:sdt>
            <w:sdtPr>
              <w:alias w:val="Client acronym possessive"/>
              <w:tag w:val="Client-acronym-possessive"/>
              <w:id w:val="715777488"/>
              <w:placeholder>
                <w:docPart w:val="2435EF8E7CC447889839D4D03776C03A"/>
              </w:placeholder>
            </w:sdtPr>
            <w:sdtEndPr/>
            <w:sdtContent>
              <w:r w:rsidR="0058665F" w:rsidRPr="003464D8">
                <w:t>XYZ’s</w:t>
              </w:r>
            </w:sdtContent>
          </w:sdt>
          <w:r w:rsidR="0058665F" w:rsidRPr="003464D8">
            <w:t xml:space="preserve"> responses to issues noted during the most recent examination by the Securities and Exchange Commission, which took place in  </w:t>
          </w:r>
        </w:sdtContent>
      </w:sdt>
      <w:r w:rsidR="0058665F" w:rsidRPr="007F4A3E">
        <w:t xml:space="preserve"> </w:t>
      </w:r>
      <w:sdt>
        <w:sdtPr>
          <w:alias w:val="SEC Client Exam Date"/>
          <w:tag w:val="SEC-Client-Exam-Date"/>
          <w:id w:val="-680585564"/>
          <w:placeholder>
            <w:docPart w:val="4CEC7ED18BF247929BD4F553C506A5C6"/>
          </w:placeholder>
        </w:sdtPr>
        <w:sdtEndPr/>
        <w:sdtContent>
          <w:r w:rsidR="0058665F" w:rsidRPr="006F4655">
            <w:t>Month Year</w:t>
          </w:r>
        </w:sdtContent>
      </w:sdt>
    </w:p>
    <w:p w14:paraId="3118E5BE" w14:textId="77777777" w:rsidR="0058665F" w:rsidRPr="004E429A" w:rsidRDefault="0058665F" w:rsidP="0058665F">
      <w:pPr>
        <w:rPr>
          <w:rFonts w:cs="Arial"/>
          <w:szCs w:val="20"/>
        </w:rPr>
      </w:pPr>
    </w:p>
    <w:p w14:paraId="23328151" w14:textId="77777777" w:rsidR="0058665F" w:rsidRPr="00F54AAA" w:rsidRDefault="0058665F" w:rsidP="0058665F">
      <w:pPr>
        <w:keepNext/>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F54AAA">
        <w:rPr>
          <w:rFonts w:ascii="Arial Bold" w:hAnsi="Arial Bold" w:cs="Arial"/>
          <w:b/>
          <w:color w:val="006CA9"/>
          <w:spacing w:val="5"/>
          <w:kern w:val="36"/>
          <w:sz w:val="40"/>
          <w:szCs w:val="30"/>
        </w:rPr>
        <w:t>III.</w:t>
      </w:r>
      <w:r w:rsidRPr="00F54AAA">
        <w:rPr>
          <w:rFonts w:ascii="Arial Bold" w:hAnsi="Arial Bold" w:cs="Arial"/>
          <w:b/>
          <w:color w:val="006CA9"/>
          <w:spacing w:val="5"/>
          <w:kern w:val="36"/>
          <w:sz w:val="40"/>
          <w:szCs w:val="30"/>
        </w:rPr>
        <w:tab/>
        <w:t>Material Business Changes</w:t>
      </w:r>
    </w:p>
    <w:p w14:paraId="6397CB5A" w14:textId="77777777" w:rsidR="0058665F" w:rsidRDefault="0058665F" w:rsidP="0058665F">
      <w:pPr>
        <w:rPr>
          <w:rFonts w:cs="Arial"/>
          <w:szCs w:val="20"/>
        </w:rPr>
      </w:pPr>
    </w:p>
    <w:p w14:paraId="51612E1C" w14:textId="77777777" w:rsidR="0058665F" w:rsidRPr="005A3A8F" w:rsidRDefault="0058665F" w:rsidP="0058665F">
      <w:pPr>
        <w:rPr>
          <w:rFonts w:cs="Arial"/>
          <w:szCs w:val="20"/>
        </w:rPr>
      </w:pPr>
      <w:r w:rsidRPr="005A3A8F">
        <w:rPr>
          <w:rFonts w:cs="Arial"/>
          <w:szCs w:val="20"/>
        </w:rPr>
        <w:t xml:space="preserve">The following material changes in </w:t>
      </w:r>
      <w:sdt>
        <w:sdtPr>
          <w:rPr>
            <w:rFonts w:cs="Arial"/>
            <w:szCs w:val="20"/>
          </w:rPr>
          <w:alias w:val="Client acronym possessive"/>
          <w:tag w:val="Client-acronym-possessive"/>
          <w:id w:val="1743679774"/>
          <w:placeholder>
            <w:docPart w:val="2435EF8E7CC447889839D4D03776C03A"/>
          </w:placeholder>
        </w:sdtPr>
        <w:sdtEndPr/>
        <w:sdtContent>
          <w:r w:rsidRPr="005A3A8F">
            <w:rPr>
              <w:rFonts w:cs="Arial"/>
              <w:szCs w:val="20"/>
            </w:rPr>
            <w:t>XYZ’s</w:t>
          </w:r>
        </w:sdtContent>
      </w:sdt>
      <w:r w:rsidRPr="005A3A8F">
        <w:rPr>
          <w:rFonts w:cs="Arial"/>
          <w:szCs w:val="20"/>
        </w:rPr>
        <w:t xml:space="preserve"> business activities occurred during the Review Period:</w:t>
      </w:r>
    </w:p>
    <w:p w14:paraId="1832D006" w14:textId="77777777" w:rsidR="0058665F" w:rsidRPr="005A3A8F" w:rsidRDefault="0058665F" w:rsidP="0058665F">
      <w:pPr>
        <w:pStyle w:val="Bullet1"/>
        <w:spacing w:line="240" w:lineRule="auto"/>
      </w:pPr>
      <w:r w:rsidRPr="003464D8">
        <w:rPr>
          <w:highlight w:val="yellow"/>
        </w:rPr>
        <w:t>&lt;Discuss any changes in key personnel, business lines, investment strategies, investment vehicles utilized, office locations, etc.</w:t>
      </w:r>
      <w:r>
        <w:rPr>
          <w:highlight w:val="yellow"/>
        </w:rPr>
        <w:t xml:space="preserve"> If there are no changes, make that notation in the sentence above and delete this bullet. If there is only one change to note, place the text after the colon above, replace “changes” above with “change,” and delete this bullet. Consultants should be mindful of what clients considered “material” for ADV purposes when completing this section and may consider removing the references to materiality when discussing certain changes.</w:t>
      </w:r>
      <w:r w:rsidRPr="003464D8">
        <w:rPr>
          <w:highlight w:val="yellow"/>
        </w:rPr>
        <w:t>&gt;</w:t>
      </w:r>
      <w:r w:rsidRPr="003464D8">
        <w:t xml:space="preserve"> </w:t>
      </w:r>
    </w:p>
    <w:p w14:paraId="70634693" w14:textId="77777777" w:rsidR="0058665F" w:rsidRDefault="0058665F" w:rsidP="0058665F"/>
    <w:p w14:paraId="2B9771C9" w14:textId="77777777" w:rsidR="0058665F" w:rsidRPr="00F54AAA" w:rsidRDefault="0058665F" w:rsidP="0058665F">
      <w:pPr>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F54AAA">
        <w:rPr>
          <w:rFonts w:ascii="Arial Bold" w:hAnsi="Arial Bold" w:cs="Arial"/>
          <w:b/>
          <w:color w:val="006CA9"/>
          <w:spacing w:val="5"/>
          <w:kern w:val="36"/>
          <w:sz w:val="40"/>
          <w:szCs w:val="30"/>
        </w:rPr>
        <w:t>IV.</w:t>
      </w:r>
      <w:r w:rsidRPr="00F54AAA">
        <w:rPr>
          <w:rFonts w:ascii="Arial Bold" w:hAnsi="Arial Bold" w:cs="Arial"/>
          <w:b/>
          <w:color w:val="006CA9"/>
          <w:spacing w:val="5"/>
          <w:kern w:val="36"/>
          <w:sz w:val="40"/>
          <w:szCs w:val="30"/>
        </w:rPr>
        <w:tab/>
        <w:t xml:space="preserve">Regulatory Changes and </w:t>
      </w:r>
      <w:r w:rsidRPr="00F54AAA">
        <w:rPr>
          <w:rFonts w:ascii="Arial Bold" w:hAnsi="Arial Bold" w:cs="Arial"/>
          <w:b/>
          <w:color w:val="006CA9"/>
          <w:spacing w:val="5"/>
          <w:kern w:val="36"/>
          <w:sz w:val="40"/>
          <w:szCs w:val="30"/>
          <w:highlight w:val="yellow"/>
        </w:rPr>
        <w:t>&lt;Division of Examination/OCIE&gt;</w:t>
      </w:r>
      <w:r w:rsidRPr="00F54AAA">
        <w:rPr>
          <w:rFonts w:ascii="Arial Bold" w:hAnsi="Arial Bold" w:cs="Arial"/>
          <w:b/>
          <w:color w:val="006CA9"/>
          <w:spacing w:val="5"/>
          <w:kern w:val="36"/>
          <w:sz w:val="40"/>
          <w:szCs w:val="30"/>
        </w:rPr>
        <w:t xml:space="preserve"> Examination Priorities </w:t>
      </w:r>
    </w:p>
    <w:p w14:paraId="6BF4F393" w14:textId="77777777" w:rsidR="0058665F" w:rsidRDefault="0058665F" w:rsidP="0058665F">
      <w:pPr>
        <w:rPr>
          <w:rFonts w:cs="Arial"/>
          <w:szCs w:val="20"/>
        </w:rPr>
      </w:pPr>
    </w:p>
    <w:p w14:paraId="2F313A27" w14:textId="77777777" w:rsidR="0058665F" w:rsidRDefault="0058665F" w:rsidP="0058665F">
      <w:pPr>
        <w:rPr>
          <w:rFonts w:cs="Arial"/>
          <w:szCs w:val="20"/>
        </w:rPr>
      </w:pPr>
      <w:r w:rsidRPr="004D7307">
        <w:rPr>
          <w:rFonts w:cs="Arial"/>
          <w:szCs w:val="20"/>
        </w:rPr>
        <w:t xml:space="preserve">Many registered investment advisers responded to the following regulatory developments during the Review Period. </w:t>
      </w:r>
      <w:r w:rsidRPr="002B28F7">
        <w:rPr>
          <w:rFonts w:cs="Arial"/>
          <w:szCs w:val="20"/>
          <w:highlight w:val="yellow"/>
        </w:rPr>
        <w:t>&lt;Certain of t/T&gt;</w:t>
      </w:r>
      <w:proofErr w:type="spellStart"/>
      <w:r>
        <w:rPr>
          <w:rFonts w:cs="Arial"/>
          <w:szCs w:val="20"/>
        </w:rPr>
        <w:t>hese</w:t>
      </w:r>
      <w:proofErr w:type="spellEnd"/>
      <w:r>
        <w:rPr>
          <w:rFonts w:cs="Arial"/>
          <w:szCs w:val="20"/>
        </w:rPr>
        <w:t xml:space="preserve"> regulatory developments were authored by what was then known as </w:t>
      </w:r>
      <w:r w:rsidRPr="004D7307">
        <w:rPr>
          <w:rFonts w:cs="Arial"/>
          <w:szCs w:val="20"/>
        </w:rPr>
        <w:t>the Securities and Exchange Commission’s (the “SEC” or the “Commission”) Office of Compliance Inspections and Examinations (“OCIE”)</w:t>
      </w:r>
      <w:r>
        <w:rPr>
          <w:rFonts w:cs="Arial"/>
          <w:szCs w:val="20"/>
        </w:rPr>
        <w:t xml:space="preserve">. On December 17, 2020, OCIE announced it had been renamed as the </w:t>
      </w:r>
      <w:r w:rsidRPr="00694564">
        <w:rPr>
          <w:rFonts w:cs="Arial"/>
          <w:szCs w:val="20"/>
        </w:rPr>
        <w:t>Division of Examinations</w:t>
      </w:r>
      <w:r>
        <w:rPr>
          <w:rFonts w:cs="Arial"/>
          <w:szCs w:val="20"/>
        </w:rPr>
        <w:t xml:space="preserve">. This section of the report refers to OCIE (not the Division of Examinations) when discussing publications that were issued prior to December 17, 2020.   </w:t>
      </w:r>
    </w:p>
    <w:p w14:paraId="0E90A571" w14:textId="77777777" w:rsidR="0058665F" w:rsidRDefault="0058665F" w:rsidP="0058665F">
      <w:pPr>
        <w:rPr>
          <w:rFonts w:cs="Arial"/>
          <w:szCs w:val="20"/>
        </w:rPr>
      </w:pPr>
    </w:p>
    <w:p w14:paraId="5E278729" w14:textId="77777777" w:rsidR="0058665F" w:rsidRPr="004D7307" w:rsidRDefault="0058665F" w:rsidP="0058665F">
      <w:pPr>
        <w:rPr>
          <w:rFonts w:cs="Arial"/>
          <w:szCs w:val="20"/>
        </w:rPr>
      </w:pPr>
      <w:r w:rsidRPr="004D7307">
        <w:rPr>
          <w:rFonts w:cs="Arial"/>
          <w:szCs w:val="20"/>
        </w:rPr>
        <w:lastRenderedPageBreak/>
        <w:t>In addition</w:t>
      </w:r>
      <w:r>
        <w:rPr>
          <w:rFonts w:cs="Arial"/>
          <w:szCs w:val="20"/>
        </w:rPr>
        <w:t xml:space="preserve"> to assessing a</w:t>
      </w:r>
      <w:r w:rsidRPr="001A3F84">
        <w:rPr>
          <w:rFonts w:cs="Arial"/>
          <w:szCs w:val="20"/>
        </w:rPr>
        <w:t>ction</w:t>
      </w:r>
      <w:r>
        <w:rPr>
          <w:rFonts w:cs="Arial"/>
          <w:szCs w:val="20"/>
        </w:rPr>
        <w:t>s</w:t>
      </w:r>
      <w:r w:rsidRPr="001A3F84">
        <w:rPr>
          <w:rFonts w:cs="Arial"/>
          <w:szCs w:val="20"/>
        </w:rPr>
        <w:t xml:space="preserve"> </w:t>
      </w:r>
      <w:r>
        <w:rPr>
          <w:rFonts w:cs="Arial"/>
          <w:szCs w:val="20"/>
        </w:rPr>
        <w:t>t</w:t>
      </w:r>
      <w:r w:rsidRPr="001A3F84">
        <w:rPr>
          <w:rFonts w:cs="Arial"/>
          <w:szCs w:val="20"/>
        </w:rPr>
        <w:t xml:space="preserve">aken by </w:t>
      </w:r>
      <w:sdt>
        <w:sdtPr>
          <w:rPr>
            <w:rFonts w:cs="Arial"/>
            <w:szCs w:val="20"/>
          </w:rPr>
          <w:alias w:val="Client acronym"/>
          <w:tag w:val="Client-acronym"/>
          <w:id w:val="-2011982921"/>
          <w:placeholder>
            <w:docPart w:val="2435EF8E7CC447889839D4D03776C03A"/>
          </w:placeholder>
        </w:sdtPr>
        <w:sdtEndPr/>
        <w:sdtContent>
          <w:r w:rsidRPr="001A3F84">
            <w:rPr>
              <w:rFonts w:cs="Arial"/>
              <w:szCs w:val="20"/>
            </w:rPr>
            <w:t>XYZ</w:t>
          </w:r>
        </w:sdtContent>
      </w:sdt>
      <w:r w:rsidRPr="001A3F84">
        <w:rPr>
          <w:rFonts w:cs="Arial"/>
          <w:szCs w:val="20"/>
        </w:rPr>
        <w:t xml:space="preserve"> in </w:t>
      </w:r>
      <w:r>
        <w:rPr>
          <w:rFonts w:cs="Arial"/>
          <w:szCs w:val="20"/>
        </w:rPr>
        <w:t>r</w:t>
      </w:r>
      <w:r w:rsidRPr="001A3F84">
        <w:rPr>
          <w:rFonts w:cs="Arial"/>
          <w:szCs w:val="20"/>
        </w:rPr>
        <w:t xml:space="preserve">esponse to </w:t>
      </w:r>
      <w:r>
        <w:rPr>
          <w:rFonts w:cs="Arial"/>
          <w:szCs w:val="20"/>
        </w:rPr>
        <w:t>r</w:t>
      </w:r>
      <w:r w:rsidRPr="001A3F84">
        <w:rPr>
          <w:rFonts w:cs="Arial"/>
          <w:szCs w:val="20"/>
        </w:rPr>
        <w:t xml:space="preserve">egulatory </w:t>
      </w:r>
      <w:r>
        <w:rPr>
          <w:rFonts w:cs="Arial"/>
          <w:szCs w:val="20"/>
        </w:rPr>
        <w:t>d</w:t>
      </w:r>
      <w:r w:rsidRPr="001A3F84">
        <w:rPr>
          <w:rFonts w:cs="Arial"/>
          <w:szCs w:val="20"/>
        </w:rPr>
        <w:t>evelopment</w:t>
      </w:r>
      <w:r>
        <w:rPr>
          <w:rFonts w:cs="Arial"/>
          <w:szCs w:val="20"/>
        </w:rPr>
        <w:t>s</w:t>
      </w:r>
      <w:r w:rsidRPr="004D7307">
        <w:rPr>
          <w:rFonts w:cs="Arial"/>
          <w:szCs w:val="20"/>
        </w:rPr>
        <w:t xml:space="preserve">, ACA evaluated </w:t>
      </w:r>
      <w:sdt>
        <w:sdtPr>
          <w:rPr>
            <w:rFonts w:cs="Arial"/>
            <w:szCs w:val="20"/>
          </w:rPr>
          <w:alias w:val="Client acronym possessive"/>
          <w:tag w:val="Client-acronym-possessive"/>
          <w:id w:val="883375864"/>
          <w:placeholder>
            <w:docPart w:val="2435EF8E7CC447889839D4D03776C03A"/>
          </w:placeholder>
        </w:sdtPr>
        <w:sdtEndPr/>
        <w:sdtContent>
          <w:r w:rsidRPr="004D7307">
            <w:rPr>
              <w:rFonts w:cs="Arial"/>
              <w:szCs w:val="20"/>
            </w:rPr>
            <w:t>XYZ’s</w:t>
          </w:r>
        </w:sdtContent>
      </w:sdt>
      <w:r w:rsidRPr="004D7307">
        <w:rPr>
          <w:rFonts w:cs="Arial"/>
          <w:szCs w:val="20"/>
        </w:rPr>
        <w:t xml:space="preserve"> ability to address OCIE</w:t>
      </w:r>
      <w:r>
        <w:rPr>
          <w:rFonts w:cs="Arial"/>
          <w:szCs w:val="20"/>
        </w:rPr>
        <w:t>’s</w:t>
      </w:r>
      <w:r w:rsidRPr="004D7307">
        <w:rPr>
          <w:rFonts w:cs="Arial"/>
          <w:szCs w:val="20"/>
        </w:rPr>
        <w:t xml:space="preserve"> </w:t>
      </w:r>
      <w:r w:rsidRPr="009528A2">
        <w:rPr>
          <w:rFonts w:cs="Arial"/>
          <w:szCs w:val="20"/>
        </w:rPr>
        <w:t>20</w:t>
      </w:r>
      <w:r>
        <w:rPr>
          <w:rFonts w:cs="Arial"/>
          <w:szCs w:val="20"/>
        </w:rPr>
        <w:t>20</w:t>
      </w:r>
      <w:r w:rsidRPr="009528A2">
        <w:rPr>
          <w:rFonts w:cs="Arial"/>
          <w:szCs w:val="20"/>
        </w:rPr>
        <w:t xml:space="preserve"> examination priorities</w:t>
      </w:r>
      <w:r w:rsidRPr="004D7307">
        <w:rPr>
          <w:rFonts w:cs="Arial"/>
          <w:vertAlign w:val="superscript"/>
        </w:rPr>
        <w:footnoteReference w:id="2"/>
      </w:r>
      <w:r w:rsidRPr="004D7307">
        <w:rPr>
          <w:rFonts w:cs="Arial"/>
          <w:szCs w:val="20"/>
        </w:rPr>
        <w:t xml:space="preserve"> as set forth below</w:t>
      </w:r>
      <w:r>
        <w:rPr>
          <w:rFonts w:cs="Arial"/>
          <w:szCs w:val="20"/>
        </w:rPr>
        <w:t>.</w:t>
      </w:r>
      <w:r w:rsidRPr="004D7307">
        <w:rPr>
          <w:rFonts w:cs="Arial"/>
          <w:szCs w:val="20"/>
        </w:rPr>
        <w:t xml:space="preserve"> </w:t>
      </w:r>
    </w:p>
    <w:p w14:paraId="2D79290E" w14:textId="77777777" w:rsidR="0058665F" w:rsidRPr="004D7307" w:rsidRDefault="0058665F" w:rsidP="0058665F">
      <w:pPr>
        <w:pStyle w:val="Bullet1"/>
        <w:spacing w:line="240" w:lineRule="auto"/>
      </w:pPr>
      <w:r w:rsidRPr="004D7307">
        <w:rPr>
          <w:u w:val="single"/>
        </w:rPr>
        <w:t>Examination Priorities</w:t>
      </w:r>
      <w:r w:rsidRPr="004D7307">
        <w:t xml:space="preserve"> </w:t>
      </w:r>
      <w:r>
        <w:t>–</w:t>
      </w:r>
      <w:r w:rsidRPr="004D7307">
        <w:t xml:space="preserve"> </w:t>
      </w:r>
      <w:r>
        <w:t xml:space="preserve">On January 7, 2020, OCIE released its examination priorities for 2020. Areas of interest to registered investment advisers include the following: </w:t>
      </w:r>
      <w:r>
        <w:rPr>
          <w:highlight w:val="yellow"/>
        </w:rPr>
        <w:t xml:space="preserve">&lt;Consultants should tailor this list to include initiatives that are relevant to </w:t>
      </w:r>
      <w:proofErr w:type="gramStart"/>
      <w:r>
        <w:rPr>
          <w:highlight w:val="yellow"/>
        </w:rPr>
        <w:t>particular clients</w:t>
      </w:r>
      <w:proofErr w:type="gramEnd"/>
      <w:r>
        <w:rPr>
          <w:highlight w:val="yellow"/>
        </w:rPr>
        <w:t>.&gt;</w:t>
      </w:r>
      <w:r w:rsidRPr="004D7307">
        <w:t xml:space="preserve"> </w:t>
      </w:r>
    </w:p>
    <w:p w14:paraId="1C28CCEA" w14:textId="77777777" w:rsidR="0058665F" w:rsidRDefault="0058665F" w:rsidP="0058665F">
      <w:pPr>
        <w:pStyle w:val="Bullet2"/>
        <w:spacing w:line="240" w:lineRule="auto"/>
      </w:pPr>
      <w:r>
        <w:t xml:space="preserve">Retail Investors, Including </w:t>
      </w:r>
      <w:proofErr w:type="gramStart"/>
      <w:r>
        <w:t>Seniors</w:t>
      </w:r>
      <w:proofErr w:type="gramEnd"/>
      <w:r>
        <w:t xml:space="preserve"> and Individuals Saving for Retirement</w:t>
      </w:r>
    </w:p>
    <w:p w14:paraId="6449E3C7" w14:textId="77777777" w:rsidR="0058665F" w:rsidRDefault="0058665F" w:rsidP="0058665F">
      <w:pPr>
        <w:pStyle w:val="Bullet2"/>
        <w:numPr>
          <w:ilvl w:val="4"/>
          <w:numId w:val="5"/>
        </w:numPr>
        <w:tabs>
          <w:tab w:val="clear" w:pos="3240"/>
        </w:tabs>
        <w:spacing w:line="240" w:lineRule="auto"/>
        <w:ind w:left="2160"/>
      </w:pPr>
      <w:r w:rsidRPr="00B01F63">
        <w:t>Fraud, Sales Practices, and Conflicts</w:t>
      </w:r>
    </w:p>
    <w:p w14:paraId="01B44108" w14:textId="77777777" w:rsidR="0058665F" w:rsidRPr="00B01F63" w:rsidRDefault="0058665F" w:rsidP="0058665F">
      <w:pPr>
        <w:pStyle w:val="Bullet2"/>
        <w:numPr>
          <w:ilvl w:val="0"/>
          <w:numId w:val="41"/>
        </w:numPr>
        <w:spacing w:line="240" w:lineRule="auto"/>
      </w:pPr>
      <w:r w:rsidRPr="00B01F63">
        <w:t>Recommendations and Advice Given to Retail Investors – Examinations will focus on advice given to seniors (particularly by advisers and individuals that target retirement communities), teachers and military personnel.</w:t>
      </w:r>
    </w:p>
    <w:p w14:paraId="7B2F8D6B" w14:textId="77777777" w:rsidR="0058665F" w:rsidRPr="00B01F63" w:rsidRDefault="0058665F" w:rsidP="0058665F">
      <w:pPr>
        <w:pStyle w:val="Bullet2"/>
        <w:numPr>
          <w:ilvl w:val="0"/>
          <w:numId w:val="41"/>
        </w:numPr>
        <w:spacing w:line="240" w:lineRule="auto"/>
      </w:pPr>
      <w:r w:rsidRPr="00B01F63">
        <w:t>Higher Risk Products – Examinations will focus on private placements and securities in new and emerging risk areas, such as those that: are complex or non-transparent; have high fees and expenses; or entail issuer affiliation.</w:t>
      </w:r>
    </w:p>
    <w:p w14:paraId="6A5146F2" w14:textId="77777777" w:rsidR="0058665F" w:rsidRPr="00C95D7E" w:rsidRDefault="0058665F" w:rsidP="0058665F">
      <w:pPr>
        <w:pStyle w:val="Bullet2"/>
        <w:numPr>
          <w:ilvl w:val="0"/>
          <w:numId w:val="41"/>
        </w:numPr>
        <w:spacing w:line="240" w:lineRule="auto"/>
      </w:pPr>
      <w:r w:rsidRPr="00B01F63">
        <w:t xml:space="preserve">Outside Business Activities - Examinations will focus on disclosures and supervision of outside business activities </w:t>
      </w:r>
      <w:r w:rsidRPr="00C95D7E">
        <w:t>and any conflicts that may arise from those activities.</w:t>
      </w:r>
    </w:p>
    <w:p w14:paraId="4B1B933F" w14:textId="77777777" w:rsidR="0058665F" w:rsidRPr="00C95D7E" w:rsidRDefault="0058665F" w:rsidP="0058665F">
      <w:pPr>
        <w:pStyle w:val="Bullet2"/>
        <w:numPr>
          <w:ilvl w:val="0"/>
          <w:numId w:val="41"/>
        </w:numPr>
        <w:spacing w:line="240" w:lineRule="auto"/>
      </w:pPr>
      <w:r w:rsidRPr="00C95D7E">
        <w:t>The Duties of Care and Loyalty - OCIE will assess whether advisers provide advice in the best interests of their clients and whether they have eliminated or disclosed conflicts of interest. OCIE will also continue to focus on risks associated with fees and expenses, and undisclosed or inadequately disclosed compensation arrangements.</w:t>
      </w:r>
    </w:p>
    <w:p w14:paraId="7BECAFD9" w14:textId="77777777" w:rsidR="0058665F" w:rsidRDefault="0058665F" w:rsidP="0058665F">
      <w:pPr>
        <w:pStyle w:val="Bullet2"/>
        <w:numPr>
          <w:ilvl w:val="0"/>
          <w:numId w:val="42"/>
        </w:numPr>
        <w:spacing w:line="240" w:lineRule="auto"/>
      </w:pPr>
      <w:r>
        <w:t xml:space="preserve">Retail-Targeted Investments - OCIE will continue to prioritize the examination of financial incentives provided to financial services firms and professionals that may influence the selection of </w:t>
      </w:r>
      <w:proofErr w:type="gramStart"/>
      <w:r>
        <w:t>particular mutual</w:t>
      </w:r>
      <w:proofErr w:type="gramEnd"/>
      <w:r>
        <w:t xml:space="preserve"> fund share classes. </w:t>
      </w:r>
    </w:p>
    <w:p w14:paraId="4223217A" w14:textId="77777777" w:rsidR="0058665F" w:rsidRDefault="0058665F" w:rsidP="0058665F">
      <w:pPr>
        <w:pStyle w:val="Bullet2"/>
        <w:numPr>
          <w:ilvl w:val="0"/>
          <w:numId w:val="42"/>
        </w:numPr>
        <w:spacing w:line="240" w:lineRule="auto"/>
      </w:pPr>
      <w:r>
        <w:t>Standards of Care - After the applicable compliance date, OCIE intends to assess the content and delivery of Form CRS by advisers. OCIE has already integrated the Interpretation Regarding Standard of Conduct for Investment Advisers into its examination program.</w:t>
      </w:r>
    </w:p>
    <w:p w14:paraId="58C812B8" w14:textId="77777777" w:rsidR="0058665F" w:rsidRDefault="0058665F" w:rsidP="0058665F">
      <w:pPr>
        <w:pStyle w:val="Bullet2"/>
        <w:spacing w:line="240" w:lineRule="auto"/>
      </w:pPr>
      <w:r>
        <w:t>Information Security</w:t>
      </w:r>
    </w:p>
    <w:p w14:paraId="0E830F0A" w14:textId="77777777" w:rsidR="0058665F" w:rsidRPr="00B01F63" w:rsidRDefault="0058665F" w:rsidP="0058665F">
      <w:pPr>
        <w:pStyle w:val="Bullet2"/>
        <w:numPr>
          <w:ilvl w:val="4"/>
          <w:numId w:val="5"/>
        </w:numPr>
        <w:tabs>
          <w:tab w:val="clear" w:pos="3240"/>
          <w:tab w:val="num" w:pos="2160"/>
        </w:tabs>
        <w:spacing w:line="240" w:lineRule="auto"/>
        <w:ind w:left="2160"/>
      </w:pPr>
      <w:r w:rsidRPr="00B01F63">
        <w:t xml:space="preserve">OCIE Examinations Generally – Examinations will focus </w:t>
      </w:r>
      <w:proofErr w:type="gramStart"/>
      <w:r w:rsidRPr="00B01F63">
        <w:t>on:</w:t>
      </w:r>
      <w:proofErr w:type="gramEnd"/>
      <w:r w:rsidRPr="00B01F63">
        <w:t xml:space="preserve"> the proper configuration of network storage devices; information security governance; and retail trading information security. </w:t>
      </w:r>
    </w:p>
    <w:p w14:paraId="54E49F37" w14:textId="77777777" w:rsidR="0058665F" w:rsidRPr="00B01F63" w:rsidRDefault="0058665F" w:rsidP="0058665F">
      <w:pPr>
        <w:pStyle w:val="Bullet2"/>
        <w:numPr>
          <w:ilvl w:val="4"/>
          <w:numId w:val="5"/>
        </w:numPr>
        <w:tabs>
          <w:tab w:val="clear" w:pos="3240"/>
          <w:tab w:val="num" w:pos="2160"/>
        </w:tabs>
        <w:spacing w:line="240" w:lineRule="auto"/>
        <w:ind w:left="2160"/>
      </w:pPr>
      <w:r w:rsidRPr="00B01F63">
        <w:t xml:space="preserve">Adviser Examinations - OCIE will continue to focus on the protection of clients’ personal financial information. Particular focus areas will </w:t>
      </w:r>
      <w:proofErr w:type="gramStart"/>
      <w:r w:rsidRPr="00B01F63">
        <w:t>include:</w:t>
      </w:r>
      <w:proofErr w:type="gramEnd"/>
      <w:r w:rsidRPr="00B01F63">
        <w:t xml:space="preserve"> governance and risk management; access controls; data loss prevention; vendor management; training; incident response and resiliency; compliance with Regulations S-P and S-ID; controls surrounding online and mobile application access to customer brokerage account information; and safeguards around the proper disposal of retired hardware.</w:t>
      </w:r>
    </w:p>
    <w:p w14:paraId="61BCDDBD" w14:textId="77777777" w:rsidR="0058665F" w:rsidRPr="00C95D7E" w:rsidRDefault="0058665F" w:rsidP="0058665F">
      <w:pPr>
        <w:pStyle w:val="Bullet2"/>
        <w:numPr>
          <w:ilvl w:val="4"/>
          <w:numId w:val="5"/>
        </w:numPr>
        <w:tabs>
          <w:tab w:val="clear" w:pos="3240"/>
          <w:tab w:val="num" w:pos="2160"/>
        </w:tabs>
        <w:spacing w:line="240" w:lineRule="auto"/>
        <w:ind w:left="2160"/>
      </w:pPr>
      <w:r w:rsidRPr="00B01F63">
        <w:t>Third</w:t>
      </w:r>
      <w:r w:rsidRPr="00C95D7E">
        <w:t xml:space="preserve">-Party and Vendor Risk Management - OCIE will focus on oversight practices related to certain service providers and network solutions, including those leveraging cloud-based storage. </w:t>
      </w:r>
    </w:p>
    <w:p w14:paraId="259396EB" w14:textId="77777777" w:rsidR="0058665F" w:rsidRPr="00C95D7E" w:rsidRDefault="0058665F" w:rsidP="0058665F">
      <w:pPr>
        <w:pStyle w:val="Bullet2"/>
        <w:spacing w:line="240" w:lineRule="auto"/>
      </w:pPr>
      <w:r w:rsidRPr="00C95D7E">
        <w:t>Financial Technology (Fintech) and Innovation, Including Digital Assets and Electronic Investment Advice</w:t>
      </w:r>
    </w:p>
    <w:p w14:paraId="2A11877F" w14:textId="77777777" w:rsidR="0058665F" w:rsidRPr="00C95D7E" w:rsidRDefault="0058665F" w:rsidP="0058665F">
      <w:pPr>
        <w:pStyle w:val="Bullet2"/>
        <w:numPr>
          <w:ilvl w:val="4"/>
          <w:numId w:val="5"/>
        </w:numPr>
        <w:tabs>
          <w:tab w:val="clear" w:pos="3240"/>
        </w:tabs>
        <w:spacing w:line="240" w:lineRule="auto"/>
        <w:ind w:left="2160"/>
      </w:pPr>
      <w:r w:rsidRPr="00C95D7E">
        <w:lastRenderedPageBreak/>
        <w:t>Alternative Data – OCIE examinations will focus on the use of alternative data technologies and assess the effectiveness of related compliance and control functions.</w:t>
      </w:r>
    </w:p>
    <w:p w14:paraId="7D87C99B" w14:textId="77777777" w:rsidR="0058665F" w:rsidRPr="00B01F63" w:rsidRDefault="0058665F" w:rsidP="0058665F">
      <w:pPr>
        <w:pStyle w:val="Bullet2"/>
        <w:numPr>
          <w:ilvl w:val="4"/>
          <w:numId w:val="5"/>
        </w:numPr>
        <w:tabs>
          <w:tab w:val="clear" w:pos="3240"/>
        </w:tabs>
        <w:spacing w:line="240" w:lineRule="auto"/>
        <w:ind w:left="2160"/>
      </w:pPr>
      <w:r w:rsidRPr="00B01F63">
        <w:t xml:space="preserve">Digital Assets – Examinations will </w:t>
      </w:r>
      <w:proofErr w:type="gramStart"/>
      <w:r w:rsidRPr="00B01F63">
        <w:t>assess:</w:t>
      </w:r>
      <w:proofErr w:type="gramEnd"/>
      <w:r w:rsidRPr="00B01F63">
        <w:t xml:space="preserve"> investment suitability; portfolio management and trading practices; safety of client funds and assets; pricing and valuation; effectiveness of compliance programs and controls; and supervision of employee outside business activities.</w:t>
      </w:r>
    </w:p>
    <w:p w14:paraId="5D4E4188" w14:textId="77777777" w:rsidR="0058665F" w:rsidRPr="00B01F63" w:rsidRDefault="0058665F" w:rsidP="0058665F">
      <w:pPr>
        <w:pStyle w:val="Bullet2"/>
        <w:numPr>
          <w:ilvl w:val="4"/>
          <w:numId w:val="5"/>
        </w:numPr>
        <w:tabs>
          <w:tab w:val="clear" w:pos="3240"/>
        </w:tabs>
        <w:spacing w:line="240" w:lineRule="auto"/>
        <w:ind w:left="2160"/>
      </w:pPr>
      <w:r w:rsidRPr="00B01F63">
        <w:t>Electronic Investment Advice - Areas of focus include: SEC registration eligibility; cybersecurity policies and procedures; marketing practices; adherence to fiduciary duty, including adequacy of disclosures; and effectiveness of compliance programs.</w:t>
      </w:r>
    </w:p>
    <w:p w14:paraId="1E34F2EC" w14:textId="77777777" w:rsidR="0058665F" w:rsidRPr="00B01F63" w:rsidRDefault="0058665F" w:rsidP="0058665F">
      <w:pPr>
        <w:pStyle w:val="Bullet2"/>
        <w:spacing w:line="240" w:lineRule="auto"/>
      </w:pPr>
      <w:r w:rsidRPr="00B01F63">
        <w:t>Additional Focus Areas</w:t>
      </w:r>
    </w:p>
    <w:p w14:paraId="70580C84" w14:textId="77777777" w:rsidR="0058665F" w:rsidRDefault="0058665F" w:rsidP="0058665F">
      <w:pPr>
        <w:pStyle w:val="Bullet2"/>
        <w:numPr>
          <w:ilvl w:val="4"/>
          <w:numId w:val="5"/>
        </w:numPr>
        <w:tabs>
          <w:tab w:val="clear" w:pos="3240"/>
          <w:tab w:val="num" w:pos="2160"/>
        </w:tabs>
        <w:spacing w:line="240" w:lineRule="auto"/>
        <w:ind w:left="2160"/>
      </w:pPr>
      <w:r w:rsidRPr="00B01F63">
        <w:t>Compliance Programs</w:t>
      </w:r>
    </w:p>
    <w:p w14:paraId="7CE51A69" w14:textId="77777777" w:rsidR="0058665F" w:rsidRDefault="0058665F" w:rsidP="0058665F">
      <w:pPr>
        <w:pStyle w:val="Bullet2"/>
        <w:numPr>
          <w:ilvl w:val="0"/>
          <w:numId w:val="44"/>
        </w:numPr>
        <w:spacing w:line="240" w:lineRule="auto"/>
      </w:pPr>
      <w:r w:rsidRPr="00827CD2">
        <w:t xml:space="preserve">Broker-Dealer Arrangements – This examination priority relates to advisers that are dually registered as, or are </w:t>
      </w:r>
      <w:r>
        <w:t>affiliated with, broker-dealers, or that have supervised persons who are registered representatives of unaffiliated broker-dealers. Areas of focus will include whether advisers maintain effective compliance programs to address the risks associated with best execution, prohibited transactions, fiduciary advice, or disclosure of conflicts regarding such arrangements.</w:t>
      </w:r>
    </w:p>
    <w:p w14:paraId="7C333516" w14:textId="77777777" w:rsidR="0058665F" w:rsidRDefault="0058665F" w:rsidP="0058665F">
      <w:pPr>
        <w:pStyle w:val="Bullet2"/>
        <w:numPr>
          <w:ilvl w:val="0"/>
          <w:numId w:val="44"/>
        </w:numPr>
        <w:spacing w:line="240" w:lineRule="auto"/>
      </w:pPr>
      <w:r>
        <w:t xml:space="preserve">Advisers That Use Third-Party Asset Managers - OCIE will assess, among other things, the extent of due diligence practices, policies, and procedures. </w:t>
      </w:r>
    </w:p>
    <w:p w14:paraId="53889270" w14:textId="77777777" w:rsidR="0058665F" w:rsidRPr="0060386B" w:rsidRDefault="0058665F" w:rsidP="0058665F">
      <w:pPr>
        <w:pStyle w:val="Bullet2"/>
        <w:numPr>
          <w:ilvl w:val="0"/>
          <w:numId w:val="44"/>
        </w:numPr>
        <w:spacing w:line="240" w:lineRule="auto"/>
      </w:pPr>
      <w:r w:rsidRPr="0060386B">
        <w:t>New or Emerging Investment Strategies - OCIE has a particular interest in the accuracy and adequacy of disclosures provided by advisers that offer new types of or emerging investment strategies, such as strategies focused on sustainable and responsible investing, which incorporate environmental, social, and governance (ESG) criteria.</w:t>
      </w:r>
    </w:p>
    <w:p w14:paraId="3966BFDC" w14:textId="77777777" w:rsidR="0058665F" w:rsidRDefault="0058665F" w:rsidP="0058665F">
      <w:pPr>
        <w:pStyle w:val="Bullet2"/>
        <w:numPr>
          <w:ilvl w:val="4"/>
          <w:numId w:val="5"/>
        </w:numPr>
        <w:tabs>
          <w:tab w:val="clear" w:pos="3240"/>
        </w:tabs>
        <w:spacing w:line="240" w:lineRule="auto"/>
        <w:ind w:left="2160"/>
      </w:pPr>
      <w:r>
        <w:t xml:space="preserve">Never-Before and Not </w:t>
      </w:r>
      <w:proofErr w:type="gramStart"/>
      <w:r>
        <w:t>Recently-Examined</w:t>
      </w:r>
      <w:proofErr w:type="gramEnd"/>
      <w:r>
        <w:t xml:space="preserve"> Advisers - In addition to new advisers, OCIE will prioritize examinations of advisers registered for several years that have yet to be examined, as well as advisers that have not been examined for several years.</w:t>
      </w:r>
    </w:p>
    <w:p w14:paraId="35DB275A" w14:textId="77777777" w:rsidR="0058665F" w:rsidRDefault="0058665F" w:rsidP="0058665F">
      <w:pPr>
        <w:pStyle w:val="Bullet2"/>
        <w:numPr>
          <w:ilvl w:val="4"/>
          <w:numId w:val="5"/>
        </w:numPr>
        <w:tabs>
          <w:tab w:val="clear" w:pos="3240"/>
        </w:tabs>
        <w:spacing w:line="240" w:lineRule="auto"/>
        <w:ind w:left="2160"/>
      </w:pPr>
      <w:r>
        <w:t xml:space="preserve">Advisers to Mutual Funds and ETFs - Examinations will focus </w:t>
      </w:r>
      <w:proofErr w:type="gramStart"/>
      <w:r>
        <w:t>on:</w:t>
      </w:r>
      <w:proofErr w:type="gramEnd"/>
      <w:r>
        <w:t xml:space="preserve"> advisers that use third-party administrators to sponsor the mutual funds they advise or are affiliated with; and advisers to private funds that also manage a registered investment company with a similar investment strategy.</w:t>
      </w:r>
    </w:p>
    <w:p w14:paraId="338165A9" w14:textId="77777777" w:rsidR="0058665F" w:rsidRDefault="0058665F" w:rsidP="0058665F">
      <w:pPr>
        <w:pStyle w:val="Bullet2"/>
        <w:numPr>
          <w:ilvl w:val="4"/>
          <w:numId w:val="5"/>
        </w:numPr>
        <w:tabs>
          <w:tab w:val="clear" w:pos="3240"/>
        </w:tabs>
        <w:spacing w:line="240" w:lineRule="auto"/>
        <w:ind w:left="2160"/>
      </w:pPr>
      <w:r>
        <w:t xml:space="preserve">Advisers to Private Funds - OCIE will focus on private fund advisers that have a greater impact on retail investors, such as firms that provide management to separately managed accounts side-by-side with private funds. OCIE will </w:t>
      </w:r>
      <w:proofErr w:type="gramStart"/>
      <w:r>
        <w:t>assess:</w:t>
      </w:r>
      <w:proofErr w:type="gramEnd"/>
      <w:r>
        <w:t xml:space="preserve"> controls to prevent the misuse of material, non-public information; and conflicts of interest, such as undisclosed or inadequately disclosed fees and expenses, and the use of affiliates to provide services to clients. </w:t>
      </w:r>
    </w:p>
    <w:p w14:paraId="0625E68E" w14:textId="77777777" w:rsidR="0058665F" w:rsidRDefault="0058665F" w:rsidP="0058665F">
      <w:pPr>
        <w:spacing w:before="120" w:after="120"/>
        <w:ind w:left="720"/>
        <w:rPr>
          <w:rFonts w:cs="Arial"/>
          <w:szCs w:val="20"/>
        </w:rPr>
      </w:pPr>
      <w:r w:rsidRPr="004D7307">
        <w:rPr>
          <w:rFonts w:cs="Arial"/>
          <w:i/>
          <w:szCs w:val="20"/>
          <w:u w:val="single"/>
        </w:rPr>
        <w:t xml:space="preserve">Action Taken by </w:t>
      </w:r>
      <w:sdt>
        <w:sdtPr>
          <w:rPr>
            <w:rFonts w:cs="Arial"/>
            <w:i/>
            <w:szCs w:val="20"/>
            <w:u w:val="single"/>
          </w:rPr>
          <w:alias w:val="Client acronym"/>
          <w:tag w:val="Client-acronym"/>
          <w:id w:val="377355879"/>
          <w:placeholder>
            <w:docPart w:val="2435EF8E7CC447889839D4D03776C03A"/>
          </w:placeholder>
        </w:sdtPr>
        <w:sdtEndPr/>
        <w:sdtContent>
          <w:r w:rsidRPr="004D7307">
            <w:rPr>
              <w:rFonts w:cs="Arial"/>
              <w:i/>
              <w:szCs w:val="20"/>
              <w:u w:val="single"/>
            </w:rPr>
            <w:t>XYZ</w:t>
          </w:r>
        </w:sdtContent>
      </w:sdt>
      <w:r w:rsidRPr="004D7307">
        <w:rPr>
          <w:rFonts w:cs="Arial"/>
          <w:i/>
          <w:szCs w:val="20"/>
          <w:u w:val="single"/>
        </w:rPr>
        <w:t xml:space="preserve"> in Response to the Examination Priorities</w:t>
      </w:r>
      <w:r w:rsidRPr="004D7307">
        <w:rPr>
          <w:rFonts w:cs="Arial"/>
          <w:szCs w:val="20"/>
        </w:rPr>
        <w:t xml:space="preserve"> – </w:t>
      </w:r>
      <w:r w:rsidRPr="004D7307">
        <w:rPr>
          <w:rFonts w:cs="Arial"/>
          <w:szCs w:val="20"/>
          <w:highlight w:val="yellow"/>
        </w:rPr>
        <w:t xml:space="preserve">&lt;Consultant to complete a short summary of the action(s) taken by </w:t>
      </w:r>
      <w:sdt>
        <w:sdtPr>
          <w:rPr>
            <w:rFonts w:cs="Arial"/>
            <w:szCs w:val="20"/>
            <w:highlight w:val="yellow"/>
          </w:rPr>
          <w:alias w:val="Client acronym"/>
          <w:tag w:val="Client-acronym"/>
          <w:id w:val="1671988700"/>
          <w:placeholder>
            <w:docPart w:val="2435EF8E7CC447889839D4D03776C03A"/>
          </w:placeholder>
        </w:sdtPr>
        <w:sdtEndPr/>
        <w:sdtContent>
          <w:r w:rsidRPr="004D7307">
            <w:rPr>
              <w:rFonts w:cs="Arial"/>
              <w:szCs w:val="20"/>
              <w:highlight w:val="yellow"/>
            </w:rPr>
            <w:t>XYZ</w:t>
          </w:r>
        </w:sdtContent>
      </w:sdt>
      <w:r w:rsidRPr="004D7307">
        <w:rPr>
          <w:rFonts w:cs="Arial"/>
          <w:szCs w:val="20"/>
          <w:highlight w:val="yellow"/>
        </w:rPr>
        <w:t xml:space="preserve"> to address the examination priorities. If the consultant has any comments regarding these priorities, </w:t>
      </w:r>
      <w:proofErr w:type="gramStart"/>
      <w:r w:rsidRPr="004D7307">
        <w:rPr>
          <w:rFonts w:cs="Arial"/>
          <w:szCs w:val="20"/>
          <w:highlight w:val="yellow"/>
        </w:rPr>
        <w:t>make reference</w:t>
      </w:r>
      <w:proofErr w:type="gramEnd"/>
      <w:r w:rsidRPr="004D7307">
        <w:rPr>
          <w:rFonts w:cs="Arial"/>
          <w:szCs w:val="20"/>
          <w:highlight w:val="yellow"/>
        </w:rPr>
        <w:t xml:space="preserve"> to further discussion later in the report.&gt;</w:t>
      </w:r>
    </w:p>
    <w:p w14:paraId="770A871C" w14:textId="77777777" w:rsidR="0058665F" w:rsidRDefault="0058665F" w:rsidP="0058665F">
      <w:pPr>
        <w:pStyle w:val="ListParagraph"/>
        <w:numPr>
          <w:ilvl w:val="0"/>
          <w:numId w:val="38"/>
        </w:numPr>
        <w:spacing w:line="240" w:lineRule="auto"/>
      </w:pPr>
      <w:r>
        <w:rPr>
          <w:rFonts w:cs="Arial"/>
          <w:u w:val="single"/>
        </w:rPr>
        <w:lastRenderedPageBreak/>
        <w:t>Large Trader Obligations</w:t>
      </w:r>
      <w:r>
        <w:rPr>
          <w:rFonts w:cs="Arial"/>
        </w:rPr>
        <w:t xml:space="preserve"> – In December 2020, OCIE issued a Risk Alert which was </w:t>
      </w:r>
      <w:r w:rsidRPr="001A0DCC">
        <w:rPr>
          <w:rFonts w:cs="Arial"/>
        </w:rPr>
        <w:t xml:space="preserve">intended to assist investment advisers in reviewing and enhancing their compliance programs with respect </w:t>
      </w:r>
      <w:r>
        <w:rPr>
          <w:rFonts w:cs="Arial"/>
        </w:rPr>
        <w:t xml:space="preserve">to Rule 13h-1 </w:t>
      </w:r>
      <w:r>
        <w:t>under the Securities Exchange Act of 1934.</w:t>
      </w:r>
      <w:r>
        <w:rPr>
          <w:rStyle w:val="FootnoteReference"/>
        </w:rPr>
        <w:footnoteReference w:id="3"/>
      </w:r>
      <w:r>
        <w:t xml:space="preserve"> OCIE encouraged investment advisers that transacted in applicable securities to review compliance policies and procedures pertaining to: identifying situations that could lead to an adviser becoming a “large trader”; the timely filing of Form 13H and amendments thereto; and notifying applicable broker-dealers of the adviser’s “large trader” status. </w:t>
      </w:r>
    </w:p>
    <w:p w14:paraId="69EE3FD8" w14:textId="77777777" w:rsidR="0058665F" w:rsidRDefault="0058665F" w:rsidP="0058665F">
      <w:pPr>
        <w:spacing w:before="120" w:after="120"/>
        <w:ind w:left="720"/>
      </w:pPr>
      <w:r w:rsidRPr="00557B84">
        <w:rPr>
          <w:i/>
          <w:u w:val="single"/>
        </w:rPr>
        <w:t xml:space="preserve">Action Taken by </w:t>
      </w:r>
      <w:sdt>
        <w:sdtPr>
          <w:rPr>
            <w:i/>
            <w:u w:val="single"/>
          </w:rPr>
          <w:alias w:val="Client acronym"/>
          <w:tag w:val="Client-acronym"/>
          <w:id w:val="-1449469211"/>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210801033"/>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74143947" w14:textId="77777777" w:rsidR="0058665F" w:rsidRDefault="0058665F" w:rsidP="0058665F">
      <w:pPr>
        <w:pStyle w:val="ListParagraph"/>
        <w:numPr>
          <w:ilvl w:val="0"/>
          <w:numId w:val="38"/>
        </w:numPr>
        <w:spacing w:line="240" w:lineRule="auto"/>
      </w:pPr>
      <w:r>
        <w:rPr>
          <w:rFonts w:cs="Arial"/>
          <w:u w:val="single"/>
        </w:rPr>
        <w:t>Accredited Investor Definition</w:t>
      </w:r>
      <w:r>
        <w:rPr>
          <w:rFonts w:cs="Arial"/>
        </w:rPr>
        <w:t xml:space="preserve"> – In December 2020, the definition of “Accredited Investor” in Rule 501 under Regulation D was amended to: </w:t>
      </w:r>
      <w:r>
        <w:t xml:space="preserve">include various types of natural persons, entities and accounts that previously did not meet the definition; and to </w:t>
      </w:r>
      <w:r w:rsidRPr="00C9764E">
        <w:t>add the term “spousal equivalent” to the accredited investor definition so that spousal equivalents may pool their finances for the purpose of qualifying as accredited investors.</w:t>
      </w:r>
      <w:r>
        <w:t xml:space="preserve">   </w:t>
      </w:r>
      <w:r w:rsidRPr="00D40AB1">
        <w:t xml:space="preserve"> </w:t>
      </w:r>
    </w:p>
    <w:p w14:paraId="46E643A4" w14:textId="77777777" w:rsidR="0058665F" w:rsidRDefault="0058665F" w:rsidP="0058665F">
      <w:pPr>
        <w:spacing w:before="120" w:after="120"/>
        <w:ind w:left="720"/>
      </w:pPr>
      <w:r w:rsidRPr="00557B84">
        <w:rPr>
          <w:i/>
          <w:u w:val="single"/>
        </w:rPr>
        <w:t xml:space="preserve">Action Taken by </w:t>
      </w:r>
      <w:sdt>
        <w:sdtPr>
          <w:rPr>
            <w:i/>
            <w:u w:val="single"/>
          </w:rPr>
          <w:alias w:val="Client acronym"/>
          <w:tag w:val="Client-acronym"/>
          <w:id w:val="-408612886"/>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655576369"/>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0ABDC552" w14:textId="77777777" w:rsidR="0058665F" w:rsidRDefault="0058665F" w:rsidP="0058665F">
      <w:pPr>
        <w:pStyle w:val="ListParagraph"/>
        <w:numPr>
          <w:ilvl w:val="0"/>
          <w:numId w:val="38"/>
        </w:numPr>
        <w:spacing w:line="240" w:lineRule="auto"/>
        <w:rPr>
          <w:rFonts w:cs="Arial"/>
        </w:rPr>
      </w:pPr>
      <w:r>
        <w:rPr>
          <w:rFonts w:cs="Arial"/>
          <w:u w:val="single"/>
        </w:rPr>
        <w:t>Compliance Programs</w:t>
      </w:r>
      <w:r>
        <w:rPr>
          <w:rFonts w:cs="Arial"/>
        </w:rPr>
        <w:t xml:space="preserve"> – In November 2020, OCIE issued a Risk Alert in which i</w:t>
      </w:r>
      <w:r w:rsidRPr="005B1D61">
        <w:rPr>
          <w:rFonts w:cs="Arial"/>
        </w:rPr>
        <w:t>t provide</w:t>
      </w:r>
      <w:r>
        <w:rPr>
          <w:rFonts w:cs="Arial"/>
        </w:rPr>
        <w:t>d</w:t>
      </w:r>
      <w:r w:rsidRPr="005B1D61">
        <w:rPr>
          <w:rFonts w:cs="Arial"/>
        </w:rPr>
        <w:t xml:space="preserve"> an overview of notable compliance issues</w:t>
      </w:r>
      <w:r>
        <w:rPr>
          <w:rFonts w:cs="Arial"/>
        </w:rPr>
        <w:t xml:space="preserve"> it had</w:t>
      </w:r>
      <w:r w:rsidRPr="005B1D61">
        <w:rPr>
          <w:rFonts w:cs="Arial"/>
        </w:rPr>
        <w:t xml:space="preserve"> identified relat</w:t>
      </w:r>
      <w:r>
        <w:rPr>
          <w:rFonts w:cs="Arial"/>
        </w:rPr>
        <w:t>ing</w:t>
      </w:r>
      <w:r w:rsidRPr="005B1D61">
        <w:rPr>
          <w:rFonts w:cs="Arial"/>
        </w:rPr>
        <w:t xml:space="preserve"> to Rule 206(4)-7</w:t>
      </w:r>
      <w:r>
        <w:rPr>
          <w:rFonts w:cs="Arial"/>
        </w:rPr>
        <w:t xml:space="preserve"> under the Advisers Act.</w:t>
      </w:r>
      <w:r>
        <w:rPr>
          <w:rStyle w:val="FootnoteReference"/>
          <w:rFonts w:cs="Arial"/>
        </w:rPr>
        <w:footnoteReference w:id="4"/>
      </w:r>
      <w:r>
        <w:rPr>
          <w:rFonts w:cs="Arial"/>
        </w:rPr>
        <w:t xml:space="preserve"> These included: inadequate compliance resources; chief compliance officers with insufficient authority; deficient annual reviews; failures to implement actions required by written policies and procedures; failures to m</w:t>
      </w:r>
      <w:r w:rsidRPr="003F269A">
        <w:rPr>
          <w:rFonts w:cs="Arial"/>
        </w:rPr>
        <w:t xml:space="preserve">aintain </w:t>
      </w:r>
      <w:r>
        <w:rPr>
          <w:rFonts w:cs="Arial"/>
        </w:rPr>
        <w:t>a</w:t>
      </w:r>
      <w:r w:rsidRPr="003F269A">
        <w:rPr>
          <w:rFonts w:cs="Arial"/>
        </w:rPr>
        <w:t xml:space="preserve">ccurate and </w:t>
      </w:r>
      <w:r>
        <w:rPr>
          <w:rFonts w:cs="Arial"/>
        </w:rPr>
        <w:t>c</w:t>
      </w:r>
      <w:r w:rsidRPr="003F269A">
        <w:rPr>
          <w:rFonts w:cs="Arial"/>
        </w:rPr>
        <w:t xml:space="preserve">omplete </w:t>
      </w:r>
      <w:r>
        <w:rPr>
          <w:rFonts w:cs="Arial"/>
        </w:rPr>
        <w:t>i</w:t>
      </w:r>
      <w:r w:rsidRPr="003F269A">
        <w:rPr>
          <w:rFonts w:cs="Arial"/>
        </w:rPr>
        <w:t xml:space="preserve">nformation in </w:t>
      </w:r>
      <w:r>
        <w:rPr>
          <w:rFonts w:cs="Arial"/>
        </w:rPr>
        <w:t>p</w:t>
      </w:r>
      <w:r w:rsidRPr="003F269A">
        <w:rPr>
          <w:rFonts w:cs="Arial"/>
        </w:rPr>
        <w:t xml:space="preserve">olicies and </w:t>
      </w:r>
      <w:r>
        <w:rPr>
          <w:rFonts w:cs="Arial"/>
        </w:rPr>
        <w:t>p</w:t>
      </w:r>
      <w:r w:rsidRPr="003F269A">
        <w:rPr>
          <w:rFonts w:cs="Arial"/>
        </w:rPr>
        <w:t>rocedures</w:t>
      </w:r>
      <w:r>
        <w:rPr>
          <w:rFonts w:cs="Arial"/>
        </w:rPr>
        <w:t>; and failures to m</w:t>
      </w:r>
      <w:r w:rsidRPr="00282771">
        <w:rPr>
          <w:rFonts w:cs="Arial"/>
        </w:rPr>
        <w:t xml:space="preserve">aintain or </w:t>
      </w:r>
      <w:r>
        <w:rPr>
          <w:rFonts w:cs="Arial"/>
        </w:rPr>
        <w:t>e</w:t>
      </w:r>
      <w:r w:rsidRPr="00282771">
        <w:rPr>
          <w:rFonts w:cs="Arial"/>
        </w:rPr>
        <w:t>stablis</w:t>
      </w:r>
      <w:r>
        <w:rPr>
          <w:rFonts w:cs="Arial"/>
        </w:rPr>
        <w:t>h</w:t>
      </w:r>
      <w:r w:rsidRPr="00282771">
        <w:rPr>
          <w:rFonts w:cs="Arial"/>
        </w:rPr>
        <w:t xml:space="preserve"> </w:t>
      </w:r>
      <w:r>
        <w:rPr>
          <w:rFonts w:cs="Arial"/>
        </w:rPr>
        <w:t>r</w:t>
      </w:r>
      <w:r w:rsidRPr="00282771">
        <w:rPr>
          <w:rFonts w:cs="Arial"/>
        </w:rPr>
        <w:t xml:space="preserve">easonably </w:t>
      </w:r>
      <w:r>
        <w:rPr>
          <w:rFonts w:cs="Arial"/>
        </w:rPr>
        <w:t>d</w:t>
      </w:r>
      <w:r w:rsidRPr="00282771">
        <w:rPr>
          <w:rFonts w:cs="Arial"/>
        </w:rPr>
        <w:t xml:space="preserve">esigned </w:t>
      </w:r>
      <w:r>
        <w:rPr>
          <w:rFonts w:cs="Arial"/>
        </w:rPr>
        <w:t>w</w:t>
      </w:r>
      <w:r w:rsidRPr="00282771">
        <w:rPr>
          <w:rFonts w:cs="Arial"/>
        </w:rPr>
        <w:t xml:space="preserve">ritten </w:t>
      </w:r>
      <w:r>
        <w:rPr>
          <w:rFonts w:cs="Arial"/>
        </w:rPr>
        <w:t>p</w:t>
      </w:r>
      <w:r w:rsidRPr="00282771">
        <w:rPr>
          <w:rFonts w:cs="Arial"/>
        </w:rPr>
        <w:t xml:space="preserve">olicies and </w:t>
      </w:r>
      <w:r>
        <w:rPr>
          <w:rFonts w:cs="Arial"/>
        </w:rPr>
        <w:t>p</w:t>
      </w:r>
      <w:r w:rsidRPr="00282771">
        <w:rPr>
          <w:rFonts w:cs="Arial"/>
        </w:rPr>
        <w:t>rocedures</w:t>
      </w:r>
      <w:r>
        <w:rPr>
          <w:rFonts w:cs="Arial"/>
        </w:rPr>
        <w:t xml:space="preserve">.    </w:t>
      </w:r>
    </w:p>
    <w:p w14:paraId="2D478CFE" w14:textId="77777777" w:rsidR="0058665F" w:rsidRDefault="0058665F" w:rsidP="0058665F">
      <w:pPr>
        <w:spacing w:before="120" w:after="120"/>
        <w:ind w:left="720"/>
      </w:pPr>
      <w:r w:rsidRPr="00557B84">
        <w:rPr>
          <w:i/>
          <w:u w:val="single"/>
        </w:rPr>
        <w:t xml:space="preserve">Action Taken by </w:t>
      </w:r>
      <w:sdt>
        <w:sdtPr>
          <w:rPr>
            <w:i/>
            <w:u w:val="single"/>
          </w:rPr>
          <w:alias w:val="Client acronym"/>
          <w:tag w:val="Client-acronym"/>
          <w:id w:val="1212463902"/>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395055795"/>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2CF8BA93" w14:textId="77777777" w:rsidR="0058665F" w:rsidRPr="00C45E82" w:rsidRDefault="0058665F" w:rsidP="0058665F">
      <w:pPr>
        <w:pStyle w:val="ListParagraph"/>
        <w:numPr>
          <w:ilvl w:val="0"/>
          <w:numId w:val="38"/>
        </w:numPr>
        <w:spacing w:line="240" w:lineRule="auto"/>
      </w:pPr>
      <w:r w:rsidRPr="008D1EF4">
        <w:rPr>
          <w:rFonts w:cs="Arial"/>
          <w:u w:val="single"/>
        </w:rPr>
        <w:t>Supervision, Compliance and Multiple Branch Offices</w:t>
      </w:r>
      <w:r w:rsidRPr="008D1EF4">
        <w:rPr>
          <w:rFonts w:cs="Arial"/>
        </w:rPr>
        <w:t xml:space="preserve"> – In November 2020, OCIE issued a Risk Alert in which it reported on its observations from a series of examinations that focused on investment advisers operating from numerous branch offices and with operations geographically dispersed from </w:t>
      </w:r>
      <w:r>
        <w:rPr>
          <w:rFonts w:cs="Arial"/>
        </w:rPr>
        <w:t>an</w:t>
      </w:r>
      <w:r w:rsidRPr="008D1EF4">
        <w:rPr>
          <w:rFonts w:cs="Arial"/>
        </w:rPr>
        <w:t xml:space="preserve"> adviser’s principal or main office.</w:t>
      </w:r>
      <w:r>
        <w:rPr>
          <w:rStyle w:val="FootnoteReference"/>
          <w:rFonts w:cs="Arial"/>
        </w:rPr>
        <w:footnoteReference w:id="5"/>
      </w:r>
      <w:r w:rsidRPr="008D1EF4">
        <w:rPr>
          <w:rFonts w:cs="Arial"/>
        </w:rPr>
        <w:t xml:space="preserve"> In the Risk Alert, OCIE discussed a range of practices with respect to</w:t>
      </w:r>
      <w:r>
        <w:rPr>
          <w:rFonts w:cs="Arial"/>
        </w:rPr>
        <w:t xml:space="preserve"> </w:t>
      </w:r>
      <w:r w:rsidRPr="009F66F9">
        <w:rPr>
          <w:rFonts w:cs="Arial"/>
        </w:rPr>
        <w:t>branch office activities that</w:t>
      </w:r>
      <w:r>
        <w:rPr>
          <w:rFonts w:cs="Arial"/>
        </w:rPr>
        <w:t xml:space="preserve"> advisers</w:t>
      </w:r>
      <w:r w:rsidRPr="009F66F9">
        <w:rPr>
          <w:rFonts w:cs="Arial"/>
        </w:rPr>
        <w:t xml:space="preserve"> </w:t>
      </w:r>
      <w:r>
        <w:rPr>
          <w:rFonts w:cs="Arial"/>
        </w:rPr>
        <w:t>could</w:t>
      </w:r>
      <w:r w:rsidRPr="009F66F9">
        <w:rPr>
          <w:rFonts w:cs="Arial"/>
        </w:rPr>
        <w:t xml:space="preserve"> find helpful in their compliance oversight efforts</w:t>
      </w:r>
      <w:r>
        <w:rPr>
          <w:rFonts w:cs="Arial"/>
        </w:rPr>
        <w:t xml:space="preserve">. The first such practice was </w:t>
      </w:r>
      <w:r>
        <w:t xml:space="preserve">adopting and implementing written compliance policies and procedures that: were applicable to all office locations and all supervised persons; included unique aspects associated with individual branch offices; and specifically addressed compliance practices necessary for effective branch office oversight. Further practices included: performing compliance testing or periodic reviews of key activities at branch offices at least annually, if not more frequently; establishing compliance policies and procedures to check for prior disciplinary events when hiring supervised persons and periodically confirming the accuracy of such disclosures; and </w:t>
      </w:r>
      <w:r w:rsidRPr="00D50B73">
        <w:t>requir</w:t>
      </w:r>
      <w:r>
        <w:t>ing</w:t>
      </w:r>
      <w:r w:rsidRPr="00D50B73">
        <w:t xml:space="preserve"> compliance training for branch office employees</w:t>
      </w:r>
      <w:r>
        <w:t xml:space="preserve">. </w:t>
      </w:r>
    </w:p>
    <w:p w14:paraId="5D1A6C1F" w14:textId="77777777" w:rsidR="0058665F" w:rsidRDefault="0058665F" w:rsidP="0058665F">
      <w:pPr>
        <w:spacing w:before="120" w:after="120"/>
        <w:ind w:left="720"/>
        <w:rPr>
          <w:rFonts w:cs="Arial"/>
          <w:iCs/>
          <w:szCs w:val="20"/>
        </w:rPr>
      </w:pPr>
      <w:r w:rsidRPr="00557B84">
        <w:rPr>
          <w:i/>
          <w:u w:val="single"/>
        </w:rPr>
        <w:t xml:space="preserve">Action Taken by </w:t>
      </w:r>
      <w:sdt>
        <w:sdtPr>
          <w:rPr>
            <w:i/>
            <w:u w:val="single"/>
          </w:rPr>
          <w:alias w:val="Client acronym"/>
          <w:tag w:val="Client-acronym"/>
          <w:id w:val="333809368"/>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829640151"/>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59B2CF7B" w14:textId="77777777" w:rsidR="0058665F" w:rsidRPr="008D336D" w:rsidRDefault="0058665F" w:rsidP="0058665F">
      <w:pPr>
        <w:pStyle w:val="ListParagraph"/>
        <w:numPr>
          <w:ilvl w:val="0"/>
          <w:numId w:val="38"/>
        </w:numPr>
        <w:spacing w:line="240" w:lineRule="auto"/>
        <w:rPr>
          <w:rFonts w:cs="Arial"/>
        </w:rPr>
      </w:pPr>
      <w:r w:rsidRPr="008E0A05">
        <w:rPr>
          <w:rFonts w:cs="Arial"/>
          <w:u w:val="single"/>
        </w:rPr>
        <w:lastRenderedPageBreak/>
        <w:t>Safeguarding Client Accounts against Credential Compromise</w:t>
      </w:r>
      <w:r>
        <w:rPr>
          <w:rFonts w:cs="Arial"/>
        </w:rPr>
        <w:t xml:space="preserve"> – In September 2020, OCIE issued a Risk Alert in which it publicized an</w:t>
      </w:r>
      <w:r w:rsidRPr="0042702A">
        <w:rPr>
          <w:rFonts w:cs="Arial"/>
        </w:rPr>
        <w:t xml:space="preserve"> increase in the number of cyber-attacks against investment advisers using credential stuffing, a method of cyber-attack to client accounts that uses compromised client login credentials, resulting in the possible loss of customer assets and unauthorized disclosure of sensitive personal information.</w:t>
      </w:r>
      <w:r>
        <w:rPr>
          <w:rStyle w:val="FootnoteReference"/>
          <w:rFonts w:cs="Arial"/>
        </w:rPr>
        <w:footnoteReference w:id="6"/>
      </w:r>
      <w:r w:rsidRPr="0042702A">
        <w:rPr>
          <w:rFonts w:cs="Arial"/>
        </w:rPr>
        <w:t xml:space="preserve"> </w:t>
      </w:r>
      <w:r>
        <w:rPr>
          <w:rFonts w:cs="Arial"/>
        </w:rPr>
        <w:t xml:space="preserve">In the Risk Alert, </w:t>
      </w:r>
      <w:r w:rsidRPr="0042702A">
        <w:rPr>
          <w:rFonts w:cs="Arial"/>
        </w:rPr>
        <w:t>OCIE</w:t>
      </w:r>
      <w:r>
        <w:rPr>
          <w:rFonts w:cs="Arial"/>
        </w:rPr>
        <w:t>:</w:t>
      </w:r>
      <w:r w:rsidRPr="0042702A">
        <w:rPr>
          <w:rFonts w:cs="Arial"/>
        </w:rPr>
        <w:t xml:space="preserve"> encourage</w:t>
      </w:r>
      <w:r>
        <w:rPr>
          <w:rFonts w:cs="Arial"/>
        </w:rPr>
        <w:t>d</w:t>
      </w:r>
      <w:r w:rsidRPr="0042702A">
        <w:rPr>
          <w:rFonts w:cs="Arial"/>
        </w:rPr>
        <w:t xml:space="preserve"> firms to review their customer account protection safeguards and identity theft prevention programs </w:t>
      </w:r>
      <w:r>
        <w:rPr>
          <w:rFonts w:cs="Arial"/>
        </w:rPr>
        <w:t xml:space="preserve">to address this emergent risk; described various </w:t>
      </w:r>
      <w:r>
        <w:t>practices that firms have implemented to help protect client accounts; and set out other c</w:t>
      </w:r>
      <w:r w:rsidRPr="008D336D">
        <w:t xml:space="preserve">onsiderations in </w:t>
      </w:r>
      <w:r>
        <w:t>p</w:t>
      </w:r>
      <w:r w:rsidRPr="008D336D">
        <w:t xml:space="preserve">reparing for </w:t>
      </w:r>
      <w:r>
        <w:t>c</w:t>
      </w:r>
      <w:r w:rsidRPr="008D336D">
        <w:t xml:space="preserve">redential </w:t>
      </w:r>
      <w:r>
        <w:t>s</w:t>
      </w:r>
      <w:r w:rsidRPr="008D336D">
        <w:t xml:space="preserve">tuffing </w:t>
      </w:r>
      <w:r>
        <w:t>a</w:t>
      </w:r>
      <w:r w:rsidRPr="008D336D">
        <w:t>ttacks</w:t>
      </w:r>
      <w:r>
        <w:t>.</w:t>
      </w:r>
    </w:p>
    <w:p w14:paraId="3BCE82F1" w14:textId="77777777" w:rsidR="0058665F" w:rsidRDefault="0058665F" w:rsidP="0058665F">
      <w:pPr>
        <w:pStyle w:val="ListParagraph"/>
        <w:rPr>
          <w:rFonts w:cs="Arial"/>
        </w:rPr>
      </w:pPr>
    </w:p>
    <w:p w14:paraId="7C82288B" w14:textId="77777777" w:rsidR="0058665F" w:rsidRPr="00D65DA8"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1658960723"/>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73461247"/>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285A6A43" w14:textId="77777777" w:rsidR="0058665F" w:rsidRDefault="0058665F" w:rsidP="0058665F">
      <w:pPr>
        <w:pStyle w:val="ListParagraph"/>
        <w:rPr>
          <w:rFonts w:cs="Arial"/>
        </w:rPr>
      </w:pPr>
    </w:p>
    <w:p w14:paraId="2FAB594B" w14:textId="77777777" w:rsidR="0058665F" w:rsidRDefault="0058665F" w:rsidP="0058665F">
      <w:pPr>
        <w:pStyle w:val="ListParagraph"/>
        <w:numPr>
          <w:ilvl w:val="0"/>
          <w:numId w:val="38"/>
        </w:numPr>
        <w:spacing w:line="240" w:lineRule="auto"/>
        <w:rPr>
          <w:rFonts w:cs="Arial"/>
        </w:rPr>
      </w:pPr>
      <w:r w:rsidRPr="008E0A05">
        <w:rPr>
          <w:u w:val="single"/>
        </w:rPr>
        <w:t>Supplement to Commission Guidance Regarding Proxy Voting Responsibilities of Investment Advisers</w:t>
      </w:r>
      <w:r>
        <w:rPr>
          <w:rFonts w:cs="Arial"/>
        </w:rPr>
        <w:t xml:space="preserve"> – In August 2020, the SEC </w:t>
      </w:r>
      <w:r>
        <w:t>published supplementary guidance regarding the proxy voting responsibilities of investment advisers under its regulations issued under the Advisers Act in light of the SEC’s amendments to the rules governing proxy solicitations under the Securities Exchange Act of 1934.</w:t>
      </w:r>
      <w:r>
        <w:rPr>
          <w:rStyle w:val="FootnoteReference"/>
        </w:rPr>
        <w:footnoteReference w:id="7"/>
      </w:r>
      <w:r>
        <w:t xml:space="preserve"> Specifically, the guidance addressed: the consideration of additional information that may become more readily available as a result of these amendments; and, disclosure obligations and considerations that may arise when investment advisers use proxy advisory firms’ electronic vote management systems.</w:t>
      </w:r>
    </w:p>
    <w:p w14:paraId="5B8D5AA0" w14:textId="77777777" w:rsidR="0058665F" w:rsidRDefault="0058665F" w:rsidP="0058665F">
      <w:pPr>
        <w:pStyle w:val="ListParagraph"/>
        <w:rPr>
          <w:rFonts w:cs="Arial"/>
        </w:rPr>
      </w:pPr>
    </w:p>
    <w:p w14:paraId="58DA97CC" w14:textId="77777777" w:rsidR="0058665F" w:rsidRPr="00D65DA8"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248116868"/>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174256887"/>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54FE479F" w14:textId="77777777" w:rsidR="0058665F" w:rsidRPr="0042702A" w:rsidRDefault="0058665F" w:rsidP="0058665F">
      <w:pPr>
        <w:pStyle w:val="ListParagraph"/>
        <w:rPr>
          <w:rFonts w:cs="Arial"/>
        </w:rPr>
      </w:pPr>
    </w:p>
    <w:p w14:paraId="3A0E88C9" w14:textId="77777777" w:rsidR="0058665F" w:rsidRDefault="0058665F" w:rsidP="0058665F">
      <w:pPr>
        <w:pStyle w:val="ListParagraph"/>
        <w:numPr>
          <w:ilvl w:val="0"/>
          <w:numId w:val="38"/>
        </w:numPr>
        <w:spacing w:line="240" w:lineRule="auto"/>
        <w:rPr>
          <w:rFonts w:cs="Arial"/>
        </w:rPr>
      </w:pPr>
      <w:r w:rsidRPr="007D5FAE">
        <w:rPr>
          <w:rFonts w:cs="Arial"/>
          <w:u w:val="single"/>
        </w:rPr>
        <w:t>Ransomware</w:t>
      </w:r>
      <w:r>
        <w:rPr>
          <w:rFonts w:cs="Arial"/>
        </w:rPr>
        <w:t xml:space="preserve"> – In July 2020, OCIE issued a Risk Alert noting an observed increase in the sophistication of ransomware attacks on SEC registrants, including investment advisers.</w:t>
      </w:r>
      <w:r>
        <w:rPr>
          <w:rStyle w:val="FootnoteReference"/>
          <w:rFonts w:cs="Arial"/>
        </w:rPr>
        <w:footnoteReference w:id="8"/>
      </w:r>
      <w:r>
        <w:rPr>
          <w:rFonts w:cs="Arial"/>
        </w:rPr>
        <w:t xml:space="preserve"> In light of this threat, OCIE referred registrants to the Department of Homeland Security Cybersecurity and Infrastructure Security Agency </w:t>
      </w:r>
      <w:r w:rsidRPr="009037C3">
        <w:rPr>
          <w:rFonts w:cs="Arial"/>
        </w:rPr>
        <w:t>(“CISA”)</w:t>
      </w:r>
      <w:r>
        <w:rPr>
          <w:rFonts w:cs="Arial"/>
        </w:rPr>
        <w:t xml:space="preserve"> alert on ransomware published in June 2020</w:t>
      </w:r>
      <w:r>
        <w:rPr>
          <w:rStyle w:val="FootnoteReference"/>
          <w:rFonts w:cs="Arial"/>
        </w:rPr>
        <w:footnoteReference w:id="9"/>
      </w:r>
      <w:r>
        <w:rPr>
          <w:rFonts w:cs="Arial"/>
        </w:rPr>
        <w:t xml:space="preserve"> and described how advisers are protecting against ransomware by implementing: (</w:t>
      </w:r>
      <w:proofErr w:type="spellStart"/>
      <w:r>
        <w:rPr>
          <w:rFonts w:cs="Arial"/>
        </w:rPr>
        <w:t>i</w:t>
      </w:r>
      <w:proofErr w:type="spellEnd"/>
      <w:r>
        <w:rPr>
          <w:rFonts w:cs="Arial"/>
        </w:rPr>
        <w:t>) incident response and resiliency policies, procedures and plans; (ii) assessments of operational resiliency; (iii) awareness and training programs; (iv) vulnerability scanning and patch management; (v) access management; and (vi) perimeter security.</w:t>
      </w:r>
    </w:p>
    <w:p w14:paraId="5AA261AE" w14:textId="77777777" w:rsidR="0058665F" w:rsidRDefault="0058665F" w:rsidP="0058665F">
      <w:pPr>
        <w:rPr>
          <w:rFonts w:cs="Arial"/>
        </w:rPr>
      </w:pPr>
    </w:p>
    <w:p w14:paraId="228A482C" w14:textId="77777777" w:rsidR="0058665F" w:rsidRDefault="0058665F" w:rsidP="0058665F">
      <w:pPr>
        <w:pStyle w:val="ListParagraph"/>
      </w:pPr>
      <w:r w:rsidRPr="00557B84">
        <w:rPr>
          <w:i/>
          <w:u w:val="single"/>
        </w:rPr>
        <w:t xml:space="preserve">Action Taken by </w:t>
      </w:r>
      <w:sdt>
        <w:sdtPr>
          <w:rPr>
            <w:i/>
            <w:u w:val="single"/>
          </w:rPr>
          <w:alias w:val="Client acronym"/>
          <w:tag w:val="Client-acronym"/>
          <w:id w:val="2000997936"/>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915319027"/>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2DFF9268" w14:textId="77777777" w:rsidR="0058665F" w:rsidRDefault="0058665F" w:rsidP="0058665F">
      <w:pPr>
        <w:pStyle w:val="ListParagraph"/>
        <w:rPr>
          <w:rFonts w:cs="Arial"/>
        </w:rPr>
      </w:pPr>
    </w:p>
    <w:p w14:paraId="40A07221" w14:textId="77777777" w:rsidR="0058665F" w:rsidRDefault="0058665F" w:rsidP="0058665F">
      <w:pPr>
        <w:pStyle w:val="ListParagraph"/>
        <w:numPr>
          <w:ilvl w:val="0"/>
          <w:numId w:val="38"/>
        </w:numPr>
        <w:spacing w:line="240" w:lineRule="auto"/>
        <w:rPr>
          <w:rFonts w:cs="Arial"/>
        </w:rPr>
      </w:pPr>
      <w:r w:rsidRPr="00B85EA4">
        <w:rPr>
          <w:rFonts w:cs="Arial"/>
          <w:u w:val="single"/>
        </w:rPr>
        <w:t>Form CRS Relationship Summary</w:t>
      </w:r>
      <w:r>
        <w:rPr>
          <w:rFonts w:cs="Arial"/>
        </w:rPr>
        <w:t xml:space="preserve"> – Advisers to “retail investors” that were registered with the SEC before June 30, 2020 were required to file an initial Form CRS by no later than such date and begin delivering the Form to applicable clients thereafter.</w:t>
      </w:r>
      <w:r>
        <w:rPr>
          <w:rStyle w:val="FootnoteReference"/>
          <w:rFonts w:cs="Arial"/>
        </w:rPr>
        <w:footnoteReference w:id="10"/>
      </w:r>
      <w:r>
        <w:rPr>
          <w:rFonts w:cs="Arial"/>
        </w:rPr>
        <w:t xml:space="preserve"> Previously, in April 2020, </w:t>
      </w:r>
      <w:r>
        <w:rPr>
          <w:rFonts w:cs="Arial"/>
        </w:rPr>
        <w:lastRenderedPageBreak/>
        <w:t>OCIE had issued a Risk Alert providing investment advisers with information about the anticipated scope and content of initial examinations of Form CRS compliance after the Form CRS compliance date.</w:t>
      </w:r>
      <w:r>
        <w:rPr>
          <w:rStyle w:val="FootnoteReference"/>
          <w:rFonts w:cs="Arial"/>
        </w:rPr>
        <w:footnoteReference w:id="11"/>
      </w:r>
      <w:r w:rsidRPr="00C672F4">
        <w:rPr>
          <w:rFonts w:cs="Arial"/>
        </w:rPr>
        <w:t xml:space="preserve"> </w:t>
      </w:r>
    </w:p>
    <w:p w14:paraId="6647275D" w14:textId="77777777" w:rsidR="0058665F" w:rsidRPr="009A4039" w:rsidRDefault="0058665F" w:rsidP="0058665F">
      <w:pPr>
        <w:pStyle w:val="ListParagraph"/>
        <w:rPr>
          <w:rFonts w:cs="Arial"/>
        </w:rPr>
      </w:pPr>
    </w:p>
    <w:p w14:paraId="52BE10A6" w14:textId="77777777" w:rsidR="0058665F" w:rsidRPr="00DC2B46" w:rsidRDefault="0058665F" w:rsidP="0058665F">
      <w:pPr>
        <w:pStyle w:val="ListParagraph"/>
      </w:pPr>
      <w:r w:rsidRPr="00557B84">
        <w:rPr>
          <w:i/>
          <w:u w:val="single"/>
        </w:rPr>
        <w:t xml:space="preserve">Action Taken by </w:t>
      </w:r>
      <w:sdt>
        <w:sdtPr>
          <w:rPr>
            <w:i/>
            <w:u w:val="single"/>
          </w:rPr>
          <w:alias w:val="Client acronym"/>
          <w:tag w:val="Client-acronym"/>
          <w:id w:val="311608401"/>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687860688"/>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60917F6D" w14:textId="77777777" w:rsidR="0058665F" w:rsidRDefault="0058665F" w:rsidP="0058665F">
      <w:pPr>
        <w:pStyle w:val="ListParagraph"/>
        <w:rPr>
          <w:rFonts w:cs="Arial"/>
        </w:rPr>
      </w:pPr>
    </w:p>
    <w:p w14:paraId="48D2719B" w14:textId="77777777" w:rsidR="0058665F" w:rsidRDefault="0058665F" w:rsidP="0058665F">
      <w:pPr>
        <w:pStyle w:val="ListParagraph"/>
        <w:numPr>
          <w:ilvl w:val="0"/>
          <w:numId w:val="38"/>
        </w:numPr>
        <w:spacing w:line="240" w:lineRule="auto"/>
        <w:rPr>
          <w:rFonts w:cs="Arial"/>
        </w:rPr>
      </w:pPr>
      <w:r w:rsidRPr="007D5FAE">
        <w:rPr>
          <w:rFonts w:cs="Arial"/>
          <w:u w:val="single"/>
        </w:rPr>
        <w:t xml:space="preserve">Private Fund Adviser Conflicts of Interest, Fees and Expenses, and </w:t>
      </w:r>
      <w:r>
        <w:rPr>
          <w:rFonts w:cs="Arial"/>
          <w:u w:val="single"/>
        </w:rPr>
        <w:t xml:space="preserve">Material Non-Public Information / </w:t>
      </w:r>
      <w:r w:rsidRPr="007D5FAE">
        <w:rPr>
          <w:rFonts w:cs="Arial"/>
          <w:u w:val="single"/>
        </w:rPr>
        <w:t>Code of Ethics</w:t>
      </w:r>
      <w:r>
        <w:rPr>
          <w:rFonts w:cs="Arial"/>
        </w:rPr>
        <w:t xml:space="preserve"> – In June 2020, OCIE issued a Risk Alert providing an overview of compliance issues and deficiencies observed in examinations of registered investment advisers that manage private funds.</w:t>
      </w:r>
      <w:r>
        <w:rPr>
          <w:rStyle w:val="FootnoteReference"/>
          <w:rFonts w:cs="Arial"/>
        </w:rPr>
        <w:footnoteReference w:id="12"/>
      </w:r>
      <w:r>
        <w:rPr>
          <w:rFonts w:cs="Arial"/>
        </w:rPr>
        <w:t xml:space="preserve"> Among other things, OCIE highlighted situations where OCIE staff believed private fund advisers provided inadequate disclosures or failed to implement additional policies or controls to address potential conflicts or the potential receipt of material non-public information.</w:t>
      </w:r>
    </w:p>
    <w:p w14:paraId="4C5D2E8F" w14:textId="77777777" w:rsidR="0058665F" w:rsidRDefault="0058665F" w:rsidP="0058665F">
      <w:pPr>
        <w:rPr>
          <w:rFonts w:cs="Arial"/>
        </w:rPr>
      </w:pPr>
    </w:p>
    <w:p w14:paraId="2DD00954" w14:textId="77777777" w:rsidR="0058665F" w:rsidRPr="00077783"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2023047359"/>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103100384"/>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2102AC24" w14:textId="77777777" w:rsidR="0058665F" w:rsidRDefault="0058665F" w:rsidP="0058665F">
      <w:pPr>
        <w:pStyle w:val="ListParagraph"/>
        <w:rPr>
          <w:rFonts w:cs="Arial"/>
        </w:rPr>
      </w:pPr>
    </w:p>
    <w:p w14:paraId="7E92A5A2" w14:textId="77777777" w:rsidR="0058665F" w:rsidRDefault="0058665F" w:rsidP="0058665F">
      <w:pPr>
        <w:pStyle w:val="ListParagraph"/>
        <w:numPr>
          <w:ilvl w:val="0"/>
          <w:numId w:val="38"/>
        </w:numPr>
        <w:spacing w:line="240" w:lineRule="auto"/>
        <w:rPr>
          <w:rFonts w:cs="Arial"/>
        </w:rPr>
      </w:pPr>
      <w:r w:rsidRPr="00E65195">
        <w:rPr>
          <w:rFonts w:cs="Arial"/>
          <w:u w:val="single"/>
        </w:rPr>
        <w:t>LIBOR Transition Preparedness</w:t>
      </w:r>
      <w:r>
        <w:rPr>
          <w:rFonts w:cs="Arial"/>
        </w:rPr>
        <w:t xml:space="preserve"> – LIBOR, a primary benchmark for global short-term interest rates, will cease to be published after year-end 2021. In June 2020, OCIE issued a Risk Alert on LIBOR transition preparedness noting that the discontinuation of LIBOR may present a material risk for certain market participants, including SEC-registered investment advisers.</w:t>
      </w:r>
      <w:r>
        <w:rPr>
          <w:rStyle w:val="FootnoteReference"/>
          <w:rFonts w:cs="Arial"/>
        </w:rPr>
        <w:footnoteReference w:id="13"/>
      </w:r>
      <w:r>
        <w:rPr>
          <w:rFonts w:cs="Arial"/>
        </w:rPr>
        <w:t xml:space="preserve"> Specifically, OCIE stated it will review whether and how advisers have evaluated the potential impact of the LIBOR transition on the organization’s: (</w:t>
      </w:r>
      <w:proofErr w:type="spellStart"/>
      <w:r>
        <w:rPr>
          <w:rFonts w:cs="Arial"/>
        </w:rPr>
        <w:t>i</w:t>
      </w:r>
      <w:proofErr w:type="spellEnd"/>
      <w:r>
        <w:rPr>
          <w:rFonts w:cs="Arial"/>
        </w:rPr>
        <w:t>) business activities; (ii) operations; (iii) services; and (iv) customers, clients, and/or investors.</w:t>
      </w:r>
    </w:p>
    <w:p w14:paraId="5AE93FC5" w14:textId="77777777" w:rsidR="0058665F" w:rsidRPr="002C03DE" w:rsidRDefault="0058665F" w:rsidP="0058665F">
      <w:pPr>
        <w:pStyle w:val="ListParagraph"/>
        <w:rPr>
          <w:rFonts w:cs="Arial"/>
        </w:rPr>
      </w:pPr>
    </w:p>
    <w:p w14:paraId="41405596" w14:textId="77777777" w:rsidR="0058665F" w:rsidRPr="002C03DE"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439218752"/>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369580307"/>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5C204058" w14:textId="77777777" w:rsidR="0058665F" w:rsidRPr="006D2EF3" w:rsidRDefault="0058665F" w:rsidP="0058665F">
      <w:pPr>
        <w:pStyle w:val="ListParagraph"/>
        <w:rPr>
          <w:rFonts w:cs="Arial"/>
        </w:rPr>
      </w:pPr>
    </w:p>
    <w:p w14:paraId="5C515C8A" w14:textId="77777777" w:rsidR="0058665F" w:rsidRPr="00ED5917" w:rsidRDefault="0058665F" w:rsidP="0058665F">
      <w:pPr>
        <w:pStyle w:val="ListParagraph"/>
        <w:numPr>
          <w:ilvl w:val="0"/>
          <w:numId w:val="38"/>
        </w:numPr>
        <w:spacing w:line="240" w:lineRule="auto"/>
        <w:rPr>
          <w:rFonts w:cs="Arial"/>
        </w:rPr>
      </w:pPr>
      <w:r w:rsidRPr="009776DB">
        <w:rPr>
          <w:rFonts w:cs="Arial"/>
          <w:u w:val="single"/>
        </w:rPr>
        <w:t>Coronavirus Disease 2019 (COVID-19)</w:t>
      </w:r>
      <w:r>
        <w:rPr>
          <w:rFonts w:cs="Arial"/>
        </w:rPr>
        <w:t xml:space="preserve"> – In 2020, many businesses, including investment advisory firms and their vendors, closed physical offices in response to the COVID-19 global pandemic. </w:t>
      </w:r>
      <w:proofErr w:type="gramStart"/>
      <w:r>
        <w:rPr>
          <w:rFonts w:cs="Arial"/>
        </w:rPr>
        <w:t>The new economic conditions,</w:t>
      </w:r>
      <w:proofErr w:type="gramEnd"/>
      <w:r>
        <w:rPr>
          <w:rFonts w:cs="Arial"/>
        </w:rPr>
        <w:t xml:space="preserve"> increased remote human interaction, and government policies and relief programs deriving from the COVID-19 global pandemic have refocused key compliance and risk considerations for many advisers. In </w:t>
      </w:r>
      <w:r w:rsidRPr="00ED5917">
        <w:rPr>
          <w:rFonts w:cs="Arial"/>
        </w:rPr>
        <w:t>response, the SEC has published guidance reminding advisers of their regulatory obligations</w:t>
      </w:r>
      <w:r>
        <w:rPr>
          <w:rFonts w:cs="Arial"/>
        </w:rPr>
        <w:t xml:space="preserve"> during the COVID-19 global pandemic</w:t>
      </w:r>
      <w:r w:rsidRPr="00ED5917">
        <w:rPr>
          <w:rFonts w:cs="Arial"/>
        </w:rPr>
        <w:t xml:space="preserve"> and provided limited relief, particularly </w:t>
      </w:r>
      <w:r>
        <w:rPr>
          <w:rFonts w:cs="Arial"/>
        </w:rPr>
        <w:t>pertaining to</w:t>
      </w:r>
      <w:r w:rsidRPr="00ED5917">
        <w:rPr>
          <w:rFonts w:cs="Arial"/>
        </w:rPr>
        <w:t xml:space="preserve"> certain regulatory filings.</w:t>
      </w:r>
      <w:r>
        <w:rPr>
          <w:rStyle w:val="FootnoteReference"/>
          <w:rFonts w:cs="Arial"/>
        </w:rPr>
        <w:footnoteReference w:id="14"/>
      </w:r>
      <w:r>
        <w:rPr>
          <w:rFonts w:cs="Arial"/>
        </w:rPr>
        <w:t xml:space="preserve"> In August 2020, OCIE issued a Risk Alert </w:t>
      </w:r>
      <w:r>
        <w:t>concerning COVID-19-related issues, risks, and practices relevant to investment advisers. OCIE’s observations and recommendations fell broadly into six categories: (</w:t>
      </w:r>
      <w:proofErr w:type="spellStart"/>
      <w:r>
        <w:t>i</w:t>
      </w:r>
      <w:proofErr w:type="spellEnd"/>
      <w:r>
        <w:t>) protection of investors’ assets; (ii) supervision of personnel; (iii) practices relating to fees, expenses, and financial transactions; (iv) investment fraud; (v) business continuity; and (vi) the protection of investor and other sensitive information.</w:t>
      </w:r>
      <w:r>
        <w:rPr>
          <w:rStyle w:val="FootnoteReference"/>
        </w:rPr>
        <w:footnoteReference w:id="15"/>
      </w:r>
    </w:p>
    <w:p w14:paraId="3857FB8A" w14:textId="77777777" w:rsidR="0058665F" w:rsidRDefault="0058665F" w:rsidP="0058665F">
      <w:pPr>
        <w:rPr>
          <w:rFonts w:cs="Arial"/>
        </w:rPr>
      </w:pPr>
    </w:p>
    <w:p w14:paraId="2259BC12" w14:textId="77777777" w:rsidR="0058665F" w:rsidRPr="0038514E" w:rsidRDefault="0058665F" w:rsidP="0058665F">
      <w:pPr>
        <w:pStyle w:val="ListParagraph"/>
        <w:rPr>
          <w:rFonts w:cs="Arial"/>
        </w:rPr>
      </w:pPr>
      <w:r w:rsidRPr="00557B84">
        <w:rPr>
          <w:i/>
          <w:u w:val="single"/>
        </w:rPr>
        <w:lastRenderedPageBreak/>
        <w:t xml:space="preserve">Action Taken by </w:t>
      </w:r>
      <w:sdt>
        <w:sdtPr>
          <w:rPr>
            <w:i/>
            <w:u w:val="single"/>
          </w:rPr>
          <w:alias w:val="Client acronym"/>
          <w:tag w:val="Client-acronym"/>
          <w:id w:val="1644469863"/>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58385835"/>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w:t>
      </w:r>
      <w:r>
        <w:rPr>
          <w:highlight w:val="yellow"/>
        </w:rPr>
        <w:t xml:space="preserve"> Consider addressing </w:t>
      </w:r>
      <w:sdt>
        <w:sdtPr>
          <w:rPr>
            <w:highlight w:val="yellow"/>
          </w:rPr>
          <w:alias w:val="Client acronym possessive"/>
          <w:tag w:val="Client-acronym-possessive"/>
          <w:id w:val="1771660254"/>
          <w:placeholder>
            <w:docPart w:val="2435EF8E7CC447889839D4D03776C03A"/>
          </w:placeholder>
        </w:sdtPr>
        <w:sdtEndPr/>
        <w:sdtContent>
          <w:r>
            <w:rPr>
              <w:highlight w:val="yellow"/>
            </w:rPr>
            <w:t>XYZ’s</w:t>
          </w:r>
        </w:sdtContent>
      </w:sdt>
      <w:r>
        <w:rPr>
          <w:highlight w:val="yellow"/>
        </w:rPr>
        <w:t xml:space="preserve"> remote supervision, business continuity planning, vendor management, or remote cybersecurity efforts as well as </w:t>
      </w:r>
      <w:sdt>
        <w:sdtPr>
          <w:rPr>
            <w:highlight w:val="yellow"/>
          </w:rPr>
          <w:alias w:val="Client acronym possessive"/>
          <w:tag w:val="Client-acronym-possessive"/>
          <w:id w:val="-1712266287"/>
          <w:placeholder>
            <w:docPart w:val="2435EF8E7CC447889839D4D03776C03A"/>
          </w:placeholder>
        </w:sdtPr>
        <w:sdtEndPr/>
        <w:sdtContent>
          <w:r>
            <w:rPr>
              <w:highlight w:val="yellow"/>
            </w:rPr>
            <w:t>XYZ’s</w:t>
          </w:r>
        </w:sdtContent>
      </w:sdt>
      <w:r>
        <w:rPr>
          <w:highlight w:val="yellow"/>
        </w:rPr>
        <w:t xml:space="preserve"> response to SEC guidance or relief.</w:t>
      </w:r>
      <w:r w:rsidRPr="00557B84">
        <w:rPr>
          <w:highlight w:val="yellow"/>
        </w:rPr>
        <w:t>&gt;</w:t>
      </w:r>
    </w:p>
    <w:p w14:paraId="6790B755" w14:textId="77777777" w:rsidR="0058665F" w:rsidRPr="009776DB" w:rsidRDefault="0058665F" w:rsidP="0058665F">
      <w:pPr>
        <w:pStyle w:val="ListParagraph"/>
        <w:rPr>
          <w:rFonts w:cs="Arial"/>
        </w:rPr>
      </w:pPr>
    </w:p>
    <w:p w14:paraId="35D62BF2" w14:textId="77777777" w:rsidR="0058665F" w:rsidRDefault="0058665F" w:rsidP="0058665F">
      <w:pPr>
        <w:pStyle w:val="ListParagraph"/>
        <w:numPr>
          <w:ilvl w:val="0"/>
          <w:numId w:val="38"/>
        </w:numPr>
        <w:spacing w:line="240" w:lineRule="auto"/>
        <w:rPr>
          <w:rFonts w:cs="Arial"/>
        </w:rPr>
      </w:pPr>
      <w:r w:rsidRPr="00EE6B16">
        <w:rPr>
          <w:rFonts w:cs="Arial"/>
          <w:u w:val="single"/>
        </w:rPr>
        <w:t>Cybersecurity and Resiliency</w:t>
      </w:r>
      <w:r>
        <w:rPr>
          <w:rFonts w:cs="Arial"/>
        </w:rPr>
        <w:t xml:space="preserve"> – In January 2020, OCIE published a report describing the cybersecurity and operational resiliency practices observed by OCIE staff when examining market participants, including investment advisers.</w:t>
      </w:r>
      <w:r>
        <w:rPr>
          <w:rStyle w:val="FootnoteReference"/>
          <w:rFonts w:cs="Arial"/>
        </w:rPr>
        <w:footnoteReference w:id="16"/>
      </w:r>
      <w:r>
        <w:rPr>
          <w:rFonts w:cs="Arial"/>
        </w:rPr>
        <w:t xml:space="preserve"> The report discusses observed practices relating to: (</w:t>
      </w:r>
      <w:proofErr w:type="spellStart"/>
      <w:r>
        <w:rPr>
          <w:rFonts w:cs="Arial"/>
        </w:rPr>
        <w:t>i</w:t>
      </w:r>
      <w:proofErr w:type="spellEnd"/>
      <w:r>
        <w:rPr>
          <w:rFonts w:cs="Arial"/>
        </w:rPr>
        <w:t xml:space="preserve">) governance and risk management; (ii) access rights and controls; (iii) data loss prevention; (iv) mobile security; (v) incident response and resiliency; (vi) vendor management; and (vii) training and awareness. OCIE concludes in the report that market participants, including investment advisers, should review their practices, </w:t>
      </w:r>
      <w:proofErr w:type="gramStart"/>
      <w:r>
        <w:rPr>
          <w:rFonts w:cs="Arial"/>
        </w:rPr>
        <w:t>policies</w:t>
      </w:r>
      <w:proofErr w:type="gramEnd"/>
      <w:r>
        <w:rPr>
          <w:rFonts w:cs="Arial"/>
        </w:rPr>
        <w:t xml:space="preserve"> and procedures with respect to cybersecurity and operational resiliency.</w:t>
      </w:r>
    </w:p>
    <w:p w14:paraId="7460A440" w14:textId="77777777" w:rsidR="0058665F" w:rsidRDefault="0058665F" w:rsidP="0058665F">
      <w:pPr>
        <w:rPr>
          <w:rFonts w:cs="Arial"/>
        </w:rPr>
      </w:pPr>
    </w:p>
    <w:p w14:paraId="3A8A1413" w14:textId="77777777" w:rsidR="0058665F" w:rsidRPr="001734FB"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1658570245"/>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503092575"/>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5E30FB3C" w14:textId="77777777" w:rsidR="0058665F" w:rsidRPr="00B06321" w:rsidRDefault="0058665F" w:rsidP="0058665F">
      <w:pPr>
        <w:pStyle w:val="ListParagraph"/>
        <w:rPr>
          <w:rFonts w:cs="Arial"/>
        </w:rPr>
      </w:pPr>
    </w:p>
    <w:p w14:paraId="182320F0" w14:textId="77777777" w:rsidR="0058665F" w:rsidRDefault="0058665F" w:rsidP="0058665F">
      <w:pPr>
        <w:pStyle w:val="ListParagraph"/>
        <w:numPr>
          <w:ilvl w:val="0"/>
          <w:numId w:val="38"/>
        </w:numPr>
        <w:spacing w:line="240" w:lineRule="auto"/>
        <w:rPr>
          <w:rFonts w:cs="Arial"/>
        </w:rPr>
      </w:pPr>
      <w:r w:rsidRPr="007E1F48">
        <w:rPr>
          <w:rFonts w:cs="Arial"/>
          <w:u w:val="single"/>
        </w:rPr>
        <w:t>Principal and Agency Cross Trading</w:t>
      </w:r>
      <w:r>
        <w:rPr>
          <w:rFonts w:cs="Arial"/>
        </w:rPr>
        <w:t xml:space="preserve"> – </w:t>
      </w:r>
      <w:r>
        <w:t>In September 2019, OCIE issued a Risk Alert describing the most common deficiencies identified by OCIE staff in connection with Section 206(3), which covers principal trades and agency cross trades when acting as a broker, and Rule 206(3)-2, which permits certain agency cross transactions without requiring the adviser to provide transaction-by-transaction disclosure and consent under certain conditions.</w:t>
      </w:r>
      <w:r>
        <w:rPr>
          <w:rStyle w:val="FootnoteReference"/>
        </w:rPr>
        <w:footnoteReference w:id="17"/>
      </w:r>
      <w:r>
        <w:t xml:space="preserve"> Commonly identified deficiencies included: failing to obtain appropriate prior client consent for principal and agency cross trades; failing to provide sufficient disclosure regarding the potential conflicts of interest involved with principal trading; and failure to maintain documentation evidencing compliance with Rule 206(3)-2. </w:t>
      </w:r>
      <w:r w:rsidRPr="00014213">
        <w:t>OCIE staff also observed advisers that effected trades between advisory clients and an affiliated pooled investment vehicle but failed to recognize that the advisers’ significant ownership interests in the pooled investment vehicle would cause the transaction to be subject to Section 206(3).</w:t>
      </w:r>
      <w:r w:rsidRPr="007E1F48">
        <w:rPr>
          <w:rFonts w:cs="Arial"/>
        </w:rPr>
        <w:t xml:space="preserve"> </w:t>
      </w:r>
    </w:p>
    <w:p w14:paraId="16B35F7F" w14:textId="77777777" w:rsidR="0058665F" w:rsidRDefault="0058665F" w:rsidP="0058665F">
      <w:pPr>
        <w:pStyle w:val="ListParagraph"/>
        <w:rPr>
          <w:rFonts w:cs="Arial"/>
        </w:rPr>
      </w:pPr>
    </w:p>
    <w:p w14:paraId="7A634979" w14:textId="77777777" w:rsidR="0058665F" w:rsidRPr="007E1F48"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1139151098"/>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440019441"/>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4E06ABF4" w14:textId="77777777" w:rsidR="0058665F" w:rsidRPr="007E1F48" w:rsidRDefault="0058665F" w:rsidP="0058665F">
      <w:pPr>
        <w:pStyle w:val="ListParagraph"/>
        <w:rPr>
          <w:rFonts w:cs="Arial"/>
        </w:rPr>
      </w:pPr>
    </w:p>
    <w:p w14:paraId="70FF995D" w14:textId="77777777" w:rsidR="0058665F" w:rsidRDefault="0058665F" w:rsidP="0058665F">
      <w:pPr>
        <w:pStyle w:val="ListParagraph"/>
        <w:numPr>
          <w:ilvl w:val="0"/>
          <w:numId w:val="38"/>
        </w:numPr>
        <w:spacing w:line="240" w:lineRule="auto"/>
        <w:rPr>
          <w:rFonts w:cs="Arial"/>
        </w:rPr>
      </w:pPr>
      <w:r w:rsidRPr="00B85EA4">
        <w:rPr>
          <w:rFonts w:cs="Arial"/>
          <w:u w:val="single"/>
        </w:rPr>
        <w:t>Guidance on Proxy Voting Responsibilities of Investment Advisers</w:t>
      </w:r>
      <w:r>
        <w:rPr>
          <w:rFonts w:cs="Arial"/>
        </w:rPr>
        <w:t xml:space="preserve"> – In August 2019, the SEC provided guidance discussing the ability of registered investment advisers to establish a variety of different proxy voting arrangements with their clients and matters they should consider when they use the services of proxy advisory firms.</w:t>
      </w:r>
      <w:r>
        <w:rPr>
          <w:rStyle w:val="FootnoteReference"/>
          <w:rFonts w:cs="Arial"/>
        </w:rPr>
        <w:footnoteReference w:id="18"/>
      </w:r>
    </w:p>
    <w:p w14:paraId="18AB69F1" w14:textId="77777777" w:rsidR="0058665F" w:rsidRPr="00121564" w:rsidRDefault="0058665F" w:rsidP="0058665F">
      <w:pPr>
        <w:rPr>
          <w:rFonts w:cs="Arial"/>
        </w:rPr>
      </w:pPr>
    </w:p>
    <w:p w14:paraId="030BFE6C" w14:textId="77777777" w:rsidR="0058665F" w:rsidRPr="007E1F48" w:rsidRDefault="0058665F" w:rsidP="0058665F">
      <w:pPr>
        <w:pStyle w:val="ListParagraph"/>
        <w:rPr>
          <w:rFonts w:cs="Arial"/>
        </w:rPr>
      </w:pPr>
      <w:r w:rsidRPr="00557B84">
        <w:rPr>
          <w:i/>
          <w:u w:val="single"/>
        </w:rPr>
        <w:t xml:space="preserve">Action Taken by </w:t>
      </w:r>
      <w:sdt>
        <w:sdtPr>
          <w:rPr>
            <w:i/>
            <w:u w:val="single"/>
          </w:rPr>
          <w:alias w:val="Client acronym"/>
          <w:tag w:val="Client-acronym"/>
          <w:id w:val="-1174641979"/>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657645430"/>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7E2C2DBA" w14:textId="77777777" w:rsidR="0058665F" w:rsidRPr="00F41340" w:rsidRDefault="0058665F" w:rsidP="0058665F">
      <w:pPr>
        <w:pStyle w:val="ListParagraph"/>
        <w:rPr>
          <w:rFonts w:cs="Arial"/>
          <w:u w:val="single"/>
        </w:rPr>
      </w:pPr>
    </w:p>
    <w:p w14:paraId="7FE3371F" w14:textId="77777777" w:rsidR="0058665F" w:rsidRDefault="0058665F" w:rsidP="0058665F">
      <w:pPr>
        <w:pStyle w:val="ListParagraph"/>
        <w:numPr>
          <w:ilvl w:val="0"/>
          <w:numId w:val="38"/>
        </w:numPr>
        <w:spacing w:line="240" w:lineRule="auto"/>
        <w:rPr>
          <w:rFonts w:cs="Arial"/>
        </w:rPr>
      </w:pPr>
      <w:r w:rsidRPr="003A46A7">
        <w:rPr>
          <w:rFonts w:cs="Arial"/>
          <w:u w:val="single"/>
        </w:rPr>
        <w:lastRenderedPageBreak/>
        <w:t>Supervisory Oversight and Conflicts of Interest</w:t>
      </w:r>
      <w:r>
        <w:rPr>
          <w:rFonts w:cs="Arial"/>
        </w:rPr>
        <w:t xml:space="preserve"> – In July 2019, OCIE issued a Risk Alert summarizing the findings of its “Supervision Initiative” conducted to assess the oversight practices of registered investment advisers.</w:t>
      </w:r>
      <w:r>
        <w:rPr>
          <w:rStyle w:val="FootnoteReference"/>
          <w:rFonts w:cs="Arial"/>
        </w:rPr>
        <w:footnoteReference w:id="19"/>
      </w:r>
      <w:r>
        <w:rPr>
          <w:rFonts w:cs="Arial"/>
        </w:rPr>
        <w:t xml:space="preserve"> In addition to noting deficiencies related to supervisory oversight, disclosure and supervision of employees with disciplinary histories, and conflicts of interest; the Risk Alert outlined ways advisers that hire or employ supervised persons with disciplinary histories can improve compliance.</w:t>
      </w:r>
    </w:p>
    <w:p w14:paraId="4AC6AF73" w14:textId="77777777" w:rsidR="0058665F" w:rsidRPr="004E429A" w:rsidRDefault="0058665F" w:rsidP="0058665F">
      <w:pPr>
        <w:pStyle w:val="Bullet1"/>
        <w:numPr>
          <w:ilvl w:val="0"/>
          <w:numId w:val="0"/>
        </w:numPr>
        <w:ind w:left="720"/>
      </w:pPr>
      <w:r w:rsidRPr="00557B84">
        <w:rPr>
          <w:i/>
          <w:u w:val="single"/>
        </w:rPr>
        <w:t xml:space="preserve">Action Taken by </w:t>
      </w:r>
      <w:sdt>
        <w:sdtPr>
          <w:rPr>
            <w:i/>
            <w:u w:val="single"/>
          </w:rPr>
          <w:alias w:val="Client acronym"/>
          <w:tag w:val="Client-acronym"/>
          <w:id w:val="-1035273767"/>
          <w:placeholder>
            <w:docPart w:val="2435EF8E7CC447889839D4D03776C03A"/>
          </w:placeholder>
        </w:sdtPr>
        <w:sdtEndPr/>
        <w:sdtContent>
          <w:r w:rsidRPr="00557B84">
            <w:rPr>
              <w:i/>
              <w:u w:val="single"/>
            </w:rPr>
            <w:t>XYZ</w:t>
          </w:r>
        </w:sdtContent>
      </w:sdt>
      <w:r w:rsidRPr="00557B84">
        <w:rPr>
          <w:i/>
          <w:u w:val="single"/>
        </w:rPr>
        <w:t xml:space="preserve"> in Response to the Regulatory Development</w:t>
      </w:r>
      <w:r w:rsidRPr="00557B84">
        <w:t xml:space="preserve"> – </w:t>
      </w:r>
      <w:r w:rsidRPr="00557B84">
        <w:rPr>
          <w:highlight w:val="yellow"/>
        </w:rPr>
        <w:t xml:space="preserve">&lt;Consultant to complete a short summary of the action(s) taken by </w:t>
      </w:r>
      <w:sdt>
        <w:sdtPr>
          <w:rPr>
            <w:highlight w:val="yellow"/>
          </w:rPr>
          <w:alias w:val="Client acronym"/>
          <w:tag w:val="Client-acronym"/>
          <w:id w:val="-1251116633"/>
          <w:placeholder>
            <w:docPart w:val="2435EF8E7CC447889839D4D03776C03A"/>
          </w:placeholder>
        </w:sdtPr>
        <w:sdtEndPr/>
        <w:sdtContent>
          <w:r w:rsidRPr="00557B84">
            <w:rPr>
              <w:highlight w:val="yellow"/>
            </w:rPr>
            <w:t>XYZ</w:t>
          </w:r>
        </w:sdtContent>
      </w:sdt>
      <w:r w:rsidRPr="00557B84">
        <w:rPr>
          <w:highlight w:val="yellow"/>
        </w:rPr>
        <w:t xml:space="preserve"> to address the regulatory development.&gt;</w:t>
      </w:r>
    </w:p>
    <w:p w14:paraId="4345AD1D" w14:textId="77777777" w:rsidR="0058665F" w:rsidRPr="00F54AAA" w:rsidRDefault="0058665F" w:rsidP="0058665F">
      <w:pPr>
        <w:keepNext/>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F54AAA">
        <w:rPr>
          <w:rFonts w:ascii="Arial Bold" w:hAnsi="Arial Bold" w:cs="Arial"/>
          <w:b/>
          <w:color w:val="006CA9"/>
          <w:spacing w:val="5"/>
          <w:kern w:val="36"/>
          <w:sz w:val="40"/>
          <w:szCs w:val="30"/>
        </w:rPr>
        <w:t>V.</w:t>
      </w:r>
      <w:r w:rsidRPr="00F54AAA">
        <w:rPr>
          <w:rFonts w:ascii="Arial Bold" w:hAnsi="Arial Bold" w:cs="Arial"/>
          <w:b/>
          <w:color w:val="006CA9"/>
          <w:spacing w:val="5"/>
          <w:kern w:val="36"/>
          <w:sz w:val="40"/>
          <w:szCs w:val="30"/>
        </w:rPr>
        <w:tab/>
        <w:t>Report Structure</w:t>
      </w:r>
    </w:p>
    <w:p w14:paraId="630EFF4F" w14:textId="77777777" w:rsidR="0058665F" w:rsidRDefault="0058665F" w:rsidP="0058665F">
      <w:pPr>
        <w:rPr>
          <w:rFonts w:cs="Arial"/>
          <w:szCs w:val="20"/>
        </w:rPr>
      </w:pPr>
    </w:p>
    <w:p w14:paraId="5165685E" w14:textId="77777777" w:rsidR="0058665F" w:rsidRPr="005A3A8F" w:rsidRDefault="0058665F" w:rsidP="0058665F">
      <w:pPr>
        <w:rPr>
          <w:rFonts w:cs="Arial"/>
          <w:szCs w:val="20"/>
        </w:rPr>
      </w:pPr>
      <w:r w:rsidRPr="005A3A8F">
        <w:rPr>
          <w:rFonts w:cs="Arial"/>
          <w:szCs w:val="20"/>
        </w:rPr>
        <w:t xml:space="preserve">This report contains specific observations and recommendations about </w:t>
      </w:r>
      <w:sdt>
        <w:sdtPr>
          <w:rPr>
            <w:rFonts w:cs="Arial"/>
            <w:szCs w:val="20"/>
          </w:rPr>
          <w:alias w:val="Client acronym possessive"/>
          <w:tag w:val="Client-acronym-possessive"/>
          <w:id w:val="994144060"/>
          <w:placeholder>
            <w:docPart w:val="2435EF8E7CC447889839D4D03776C03A"/>
          </w:placeholder>
        </w:sdtPr>
        <w:sdtEndPr/>
        <w:sdtContent>
          <w:r w:rsidRPr="005A3A8F">
            <w:rPr>
              <w:rFonts w:cs="Arial"/>
              <w:szCs w:val="20"/>
            </w:rPr>
            <w:t>XYZ’s</w:t>
          </w:r>
        </w:sdtContent>
      </w:sdt>
      <w:r w:rsidRPr="005A3A8F">
        <w:rPr>
          <w:rFonts w:cs="Arial"/>
          <w:szCs w:val="20"/>
        </w:rPr>
        <w:t xml:space="preserve"> operations, as well as more general context and summaries regarding certain Federal Securities Laws.</w:t>
      </w:r>
      <w:r w:rsidRPr="005A3A8F">
        <w:rPr>
          <w:rStyle w:val="FootnoteReference"/>
          <w:rFonts w:cs="Arial"/>
          <w:szCs w:val="20"/>
        </w:rPr>
        <w:footnoteReference w:id="20"/>
      </w:r>
      <w:r w:rsidRPr="005A3A8F">
        <w:rPr>
          <w:rFonts w:cs="Arial"/>
          <w:szCs w:val="20"/>
        </w:rPr>
        <w:t xml:space="preserve"> For the sake of brevity and clarity, general commentary regarding the Federal Securities Laws does not fully describe every potentially applicable regulation. </w:t>
      </w:r>
    </w:p>
    <w:p w14:paraId="3A61C2DA" w14:textId="77777777" w:rsidR="0058665F" w:rsidRPr="005A3A8F" w:rsidRDefault="0058665F" w:rsidP="0058665F">
      <w:pPr>
        <w:rPr>
          <w:rFonts w:cs="Arial"/>
          <w:szCs w:val="20"/>
        </w:rPr>
      </w:pPr>
    </w:p>
    <w:p w14:paraId="537D03D4" w14:textId="77777777" w:rsidR="0058665F" w:rsidRPr="005A3A8F" w:rsidRDefault="0058665F" w:rsidP="0058665F">
      <w:pPr>
        <w:rPr>
          <w:rFonts w:cs="Arial"/>
          <w:szCs w:val="20"/>
        </w:rPr>
      </w:pPr>
      <w:r w:rsidRPr="005A3A8F">
        <w:rPr>
          <w:rFonts w:cs="Arial"/>
          <w:szCs w:val="20"/>
        </w:rPr>
        <w:t xml:space="preserve">The matrices included in this report are designed to </w:t>
      </w:r>
      <w:r>
        <w:rPr>
          <w:rFonts w:cs="Arial"/>
          <w:szCs w:val="20"/>
        </w:rPr>
        <w:t>(</w:t>
      </w:r>
      <w:proofErr w:type="spellStart"/>
      <w:r>
        <w:rPr>
          <w:rFonts w:cs="Arial"/>
          <w:szCs w:val="20"/>
        </w:rPr>
        <w:t>i</w:t>
      </w:r>
      <w:proofErr w:type="spellEnd"/>
      <w:r>
        <w:rPr>
          <w:rFonts w:cs="Arial"/>
          <w:szCs w:val="20"/>
        </w:rPr>
        <w:t xml:space="preserve">) </w:t>
      </w:r>
      <w:r w:rsidRPr="005A3A8F">
        <w:rPr>
          <w:rFonts w:cs="Arial"/>
          <w:szCs w:val="20"/>
        </w:rPr>
        <w:t>address the areas that ACA reviewed</w:t>
      </w:r>
      <w:r>
        <w:rPr>
          <w:rFonts w:cs="Arial"/>
          <w:szCs w:val="20"/>
        </w:rPr>
        <w:t xml:space="preserve"> and (ii) identify</w:t>
      </w:r>
      <w:r w:rsidRPr="005A3A8F">
        <w:rPr>
          <w:rFonts w:cs="Arial"/>
          <w:szCs w:val="20"/>
        </w:rPr>
        <w:t xml:space="preserve"> any perceived weakness</w:t>
      </w:r>
      <w:r>
        <w:rPr>
          <w:rFonts w:cs="Arial"/>
          <w:szCs w:val="20"/>
        </w:rPr>
        <w:t>es</w:t>
      </w:r>
      <w:r w:rsidRPr="005A3A8F">
        <w:rPr>
          <w:rFonts w:cs="Arial"/>
          <w:szCs w:val="20"/>
        </w:rPr>
        <w:t xml:space="preserve"> or potential compliance issues. Each matrix has the following sections:</w:t>
      </w:r>
    </w:p>
    <w:p w14:paraId="7E08C5A9" w14:textId="77777777" w:rsidR="0058665F" w:rsidRPr="005A3A8F" w:rsidRDefault="0058665F" w:rsidP="0058665F">
      <w:pPr>
        <w:pStyle w:val="Bullet1"/>
        <w:spacing w:line="240" w:lineRule="auto"/>
      </w:pPr>
      <w:r w:rsidRPr="005A3A8F">
        <w:rPr>
          <w:u w:val="single"/>
        </w:rPr>
        <w:t>Issue</w:t>
      </w:r>
      <w:r w:rsidRPr="005A3A8F">
        <w:t xml:space="preserve"> – The </w:t>
      </w:r>
      <w:r>
        <w:t>“</w:t>
      </w:r>
      <w:r w:rsidRPr="005A3A8F">
        <w:t>Issue</w:t>
      </w:r>
      <w:r>
        <w:t>”</w:t>
      </w:r>
      <w:r w:rsidRPr="005A3A8F">
        <w:t xml:space="preserve"> section is intended to identify the areas that ACA believes may require action from </w:t>
      </w:r>
      <w:sdt>
        <w:sdtPr>
          <w:alias w:val="Client acronym"/>
          <w:tag w:val="Client-acronym"/>
          <w:id w:val="1723407149"/>
          <w:placeholder>
            <w:docPart w:val="2435EF8E7CC447889839D4D03776C03A"/>
          </w:placeholder>
        </w:sdtPr>
        <w:sdtEndPr/>
        <w:sdtContent>
          <w:r w:rsidRPr="005A3A8F">
            <w:t>XYZ</w:t>
          </w:r>
        </w:sdtContent>
      </w:sdt>
      <w:r w:rsidRPr="005A3A8F">
        <w:t>.</w:t>
      </w:r>
    </w:p>
    <w:p w14:paraId="3193E8F2" w14:textId="77777777" w:rsidR="0058665F" w:rsidRPr="005A3A8F" w:rsidRDefault="0058665F" w:rsidP="0058665F">
      <w:pPr>
        <w:pStyle w:val="Bullet1"/>
        <w:spacing w:line="240" w:lineRule="auto"/>
      </w:pPr>
      <w:r w:rsidRPr="005A3A8F">
        <w:rPr>
          <w:u w:val="single"/>
        </w:rPr>
        <w:t>Findings and Recommendation</w:t>
      </w:r>
      <w:r>
        <w:rPr>
          <w:u w:val="single"/>
        </w:rPr>
        <w:t>s</w:t>
      </w:r>
      <w:r w:rsidRPr="005A3A8F">
        <w:t xml:space="preserve"> – This component of the report generally describes ACA’s observations and findings about the Company’s practices</w:t>
      </w:r>
      <w:r>
        <w:t>, as well as</w:t>
      </w:r>
      <w:r w:rsidRPr="005A3A8F">
        <w:t xml:space="preserve"> any perceived weaknesses or compliance issues. ACA supplements its findings with detailed recommendations that </w:t>
      </w:r>
      <w:sdt>
        <w:sdtPr>
          <w:alias w:val="Client acronym"/>
          <w:tag w:val="Client-acronym"/>
          <w:id w:val="-31881362"/>
          <w:placeholder>
            <w:docPart w:val="2435EF8E7CC447889839D4D03776C03A"/>
          </w:placeholder>
        </w:sdtPr>
        <w:sdtEndPr/>
        <w:sdtContent>
          <w:r w:rsidRPr="005A3A8F">
            <w:t>XYZ</w:t>
          </w:r>
        </w:sdtContent>
      </w:sdt>
      <w:r w:rsidRPr="005A3A8F">
        <w:t xml:space="preserve"> may choose to implement to mitigate the risks created by each finding noted. </w:t>
      </w:r>
      <w:sdt>
        <w:sdtPr>
          <w:alias w:val="Client acronym"/>
          <w:tag w:val="Client-acronym"/>
          <w:id w:val="1644847237"/>
          <w:placeholder>
            <w:docPart w:val="2435EF8E7CC447889839D4D03776C03A"/>
          </w:placeholder>
        </w:sdtPr>
        <w:sdtEndPr/>
        <w:sdtContent>
          <w:r w:rsidRPr="005A3A8F">
            <w:t>XYZ</w:t>
          </w:r>
        </w:sdtContent>
      </w:sdt>
      <w:r w:rsidRPr="005A3A8F">
        <w:t xml:space="preserve"> should be aware that ACA’s recommendations are not intended to represent the sole </w:t>
      </w:r>
      <w:proofErr w:type="gramStart"/>
      <w:r w:rsidRPr="005A3A8F">
        <w:t>manner in which</w:t>
      </w:r>
      <w:proofErr w:type="gramEnd"/>
      <w:r w:rsidRPr="005A3A8F">
        <w:t xml:space="preserve"> the Company may implement corrective action. ACA’s recommendations are generally based upon regulatory requirements but may also encompass industry best practices and/or anticipated regulatory expectations.</w:t>
      </w:r>
    </w:p>
    <w:p w14:paraId="125C4BD5" w14:textId="77777777" w:rsidR="0058665F" w:rsidRPr="005A3A8F" w:rsidRDefault="0058665F" w:rsidP="0058665F">
      <w:pPr>
        <w:pStyle w:val="Bullet1"/>
        <w:spacing w:line="240" w:lineRule="auto"/>
      </w:pPr>
      <w:r w:rsidRPr="005A3A8F">
        <w:rPr>
          <w:u w:val="single"/>
        </w:rPr>
        <w:t>Risk Level</w:t>
      </w:r>
      <w:r w:rsidRPr="005A3A8F">
        <w:t xml:space="preserve"> – Each </w:t>
      </w:r>
      <w:r>
        <w:t>r</w:t>
      </w:r>
      <w:r w:rsidRPr="005A3A8F">
        <w:t xml:space="preserve">isk </w:t>
      </w:r>
      <w:r>
        <w:t>l</w:t>
      </w:r>
      <w:r w:rsidRPr="005A3A8F">
        <w:t xml:space="preserve">evel reflects ACA’s assessment of the potential regulatory risk of the relevant activity </w:t>
      </w:r>
      <w:proofErr w:type="gramStart"/>
      <w:r>
        <w:t>in light of</w:t>
      </w:r>
      <w:proofErr w:type="gramEnd"/>
      <w:r>
        <w:t xml:space="preserve"> </w:t>
      </w:r>
      <w:r w:rsidRPr="005A3A8F">
        <w:t xml:space="preserve">the Company’s internal control processes and any other mitigating factors. Each </w:t>
      </w:r>
      <w:r>
        <w:t>r</w:t>
      </w:r>
      <w:r w:rsidRPr="005A3A8F">
        <w:t xml:space="preserve">isk </w:t>
      </w:r>
      <w:r>
        <w:t>l</w:t>
      </w:r>
      <w:r w:rsidRPr="005A3A8F">
        <w:t xml:space="preserve">evel is subjective, based on the expertise of ACA, and has not been adopted or approved by any </w:t>
      </w:r>
      <w:r>
        <w:t xml:space="preserve">regulator, </w:t>
      </w:r>
      <w:r w:rsidRPr="005A3A8F">
        <w:t>rating agency</w:t>
      </w:r>
      <w:r>
        <w:t>,</w:t>
      </w:r>
      <w:r w:rsidRPr="005A3A8F">
        <w:t xml:space="preserve"> or other outside party. ACA’s risk assessments should be interpreted as follows:</w:t>
      </w:r>
    </w:p>
    <w:p w14:paraId="79D5DB87" w14:textId="77777777" w:rsidR="0058665F" w:rsidRPr="00B71E3C" w:rsidRDefault="0058665F" w:rsidP="0058665F">
      <w:pPr>
        <w:pStyle w:val="Bullet2"/>
        <w:spacing w:line="240" w:lineRule="auto"/>
        <w:rPr>
          <w:u w:val="single"/>
        </w:rPr>
      </w:pPr>
      <w:r w:rsidRPr="00D70AD7">
        <w:rPr>
          <w:b/>
          <w:color w:val="00B050"/>
          <w:u w:val="single"/>
        </w:rPr>
        <w:t>LOW</w:t>
      </w:r>
      <w:r w:rsidRPr="00B71E3C">
        <w:rPr>
          <w:b/>
          <w:color w:val="00B050"/>
        </w:rPr>
        <w:t xml:space="preserve"> </w:t>
      </w:r>
      <w:r w:rsidRPr="00D70AD7">
        <w:t xml:space="preserve">risk levels generally reflect minor technical rule violations or recommended enhancements to </w:t>
      </w:r>
      <w:sdt>
        <w:sdtPr>
          <w:alias w:val="Client acronym possessive"/>
          <w:tag w:val="Client-acronym-possessive"/>
          <w:id w:val="375599935"/>
          <w:placeholder>
            <w:docPart w:val="2435EF8E7CC447889839D4D03776C03A"/>
          </w:placeholder>
        </w:sdtPr>
        <w:sdtEndPr/>
        <w:sdtContent>
          <w:r w:rsidRPr="00D70AD7">
            <w:t>XYZ’s</w:t>
          </w:r>
        </w:sdtContent>
      </w:sdt>
      <w:r w:rsidRPr="00D70AD7">
        <w:t xml:space="preserve"> policies and procedures. ACA believes that observations and/or findings that are assigned </w:t>
      </w:r>
      <w:r>
        <w:t>“</w:t>
      </w:r>
      <w:r w:rsidRPr="00D70AD7">
        <w:t>Low</w:t>
      </w:r>
      <w:r>
        <w:t>”</w:t>
      </w:r>
      <w:r w:rsidRPr="00D70AD7">
        <w:t xml:space="preserve"> risk levels may be commented on </w:t>
      </w:r>
      <w:proofErr w:type="gramStart"/>
      <w:r w:rsidRPr="00D70AD7">
        <w:t>as a result of</w:t>
      </w:r>
      <w:proofErr w:type="gramEnd"/>
      <w:r w:rsidRPr="00D70AD7">
        <w:t xml:space="preserve"> an SEC </w:t>
      </w:r>
      <w:r w:rsidRPr="00B3157B">
        <w:t>inspection</w:t>
      </w:r>
      <w:r>
        <w:t>.</w:t>
      </w:r>
      <w:r w:rsidRPr="00B71E3C">
        <w:t xml:space="preserve"> </w:t>
      </w:r>
    </w:p>
    <w:p w14:paraId="1C53D03E" w14:textId="77777777" w:rsidR="0058665F" w:rsidRPr="005A3A8F" w:rsidRDefault="0058665F" w:rsidP="0058665F">
      <w:pPr>
        <w:pStyle w:val="Bullet2"/>
        <w:spacing w:line="240" w:lineRule="auto"/>
      </w:pPr>
      <w:r w:rsidRPr="000A0EC9">
        <w:rPr>
          <w:b/>
          <w:color w:val="FFC000"/>
          <w:u w:val="single"/>
        </w:rPr>
        <w:lastRenderedPageBreak/>
        <w:t>MODERATE</w:t>
      </w:r>
      <w:r w:rsidRPr="000A0EC9">
        <w:rPr>
          <w:color w:val="FFC000"/>
        </w:rPr>
        <w:t xml:space="preserve"> </w:t>
      </w:r>
      <w:r w:rsidRPr="005A3A8F">
        <w:t xml:space="preserve">risk levels are generally areas of concern that ACA believes could attract increased regulatory attention and may require moderate revisions to </w:t>
      </w:r>
      <w:sdt>
        <w:sdtPr>
          <w:alias w:val="Client acronym possessive"/>
          <w:tag w:val="Client-acronym-possessive"/>
          <w:id w:val="-1992634605"/>
          <w:placeholder>
            <w:docPart w:val="2435EF8E7CC447889839D4D03776C03A"/>
          </w:placeholder>
        </w:sdtPr>
        <w:sdtEndPr/>
        <w:sdtContent>
          <w:r w:rsidRPr="005A3A8F">
            <w:t>XYZ’s</w:t>
          </w:r>
        </w:sdtContent>
      </w:sdt>
      <w:r w:rsidRPr="005A3A8F">
        <w:t xml:space="preserve"> policies and procedures. </w:t>
      </w:r>
      <w:r>
        <w:t>In addition</w:t>
      </w:r>
      <w:r w:rsidRPr="005A3A8F">
        <w:t xml:space="preserve">, ACA believes that observations and/or findings that are assigned </w:t>
      </w:r>
      <w:r>
        <w:t>“</w:t>
      </w:r>
      <w:r w:rsidRPr="005A3A8F">
        <w:t>Moderate</w:t>
      </w:r>
      <w:r>
        <w:t>”</w:t>
      </w:r>
      <w:r w:rsidRPr="005A3A8F">
        <w:t xml:space="preserve"> risk levels are likely to be formally commented on </w:t>
      </w:r>
      <w:proofErr w:type="gramStart"/>
      <w:r w:rsidRPr="005A3A8F">
        <w:t xml:space="preserve">as </w:t>
      </w:r>
      <w:r>
        <w:t>a</w:t>
      </w:r>
      <w:r w:rsidRPr="005A3A8F">
        <w:t xml:space="preserve"> result of</w:t>
      </w:r>
      <w:proofErr w:type="gramEnd"/>
      <w:r w:rsidRPr="005A3A8F">
        <w:t xml:space="preserve"> an SEC inspection. </w:t>
      </w:r>
    </w:p>
    <w:p w14:paraId="56689A49" w14:textId="77777777" w:rsidR="0058665F" w:rsidRPr="005A3A8F" w:rsidRDefault="0058665F" w:rsidP="0058665F">
      <w:pPr>
        <w:pStyle w:val="Bullet2"/>
        <w:spacing w:line="240" w:lineRule="auto"/>
      </w:pPr>
      <w:r w:rsidRPr="000A0EC9">
        <w:rPr>
          <w:b/>
          <w:color w:val="FF0000"/>
          <w:u w:val="single"/>
        </w:rPr>
        <w:t>HIGH</w:t>
      </w:r>
      <w:r w:rsidRPr="000A0EC9">
        <w:rPr>
          <w:color w:val="FF0000"/>
        </w:rPr>
        <w:t xml:space="preserve"> </w:t>
      </w:r>
      <w:r w:rsidRPr="005A3A8F">
        <w:t xml:space="preserve">risk levels are generally areas of concern that ACA believes warrant the highest priority of attention from </w:t>
      </w:r>
      <w:sdt>
        <w:sdtPr>
          <w:alias w:val="Client acronym"/>
          <w:tag w:val="Client-acronym"/>
          <w:id w:val="-54391255"/>
          <w:placeholder>
            <w:docPart w:val="2435EF8E7CC447889839D4D03776C03A"/>
          </w:placeholder>
        </w:sdtPr>
        <w:sdtEndPr/>
        <w:sdtContent>
          <w:r w:rsidRPr="005A3A8F">
            <w:t>XYZ</w:t>
          </w:r>
        </w:sdtContent>
      </w:sdt>
      <w:r w:rsidRPr="005A3A8F">
        <w:t xml:space="preserve">. Such matters may expose </w:t>
      </w:r>
      <w:sdt>
        <w:sdtPr>
          <w:alias w:val="Client acronym"/>
          <w:tag w:val="Client-acronym"/>
          <w:id w:val="-220993970"/>
          <w:placeholder>
            <w:docPart w:val="2435EF8E7CC447889839D4D03776C03A"/>
          </w:placeholder>
        </w:sdtPr>
        <w:sdtEndPr/>
        <w:sdtContent>
          <w:r w:rsidRPr="005A3A8F">
            <w:t>XYZ</w:t>
          </w:r>
        </w:sdtContent>
      </w:sdt>
      <w:r w:rsidRPr="005A3A8F">
        <w:t xml:space="preserve"> to increased regulatory and/or financial risk. If ignored, ACA believes that these issues may generate the highest level of attention from regulators.</w:t>
      </w:r>
    </w:p>
    <w:p w14:paraId="05F3D277" w14:textId="77777777" w:rsidR="0058665F" w:rsidRDefault="0058665F" w:rsidP="0058665F">
      <w:pPr>
        <w:rPr>
          <w:rFonts w:cs="Arial"/>
          <w:szCs w:val="20"/>
        </w:rPr>
      </w:pPr>
      <w:r w:rsidRPr="005A3A8F">
        <w:rPr>
          <w:rFonts w:cs="Arial"/>
          <w:szCs w:val="20"/>
        </w:rPr>
        <w:t xml:space="preserve">The areas that ACA reviewed and </w:t>
      </w:r>
      <w:r>
        <w:rPr>
          <w:rFonts w:cs="Arial"/>
          <w:szCs w:val="20"/>
        </w:rPr>
        <w:t xml:space="preserve">for which it </w:t>
      </w:r>
      <w:r w:rsidRPr="005A3A8F">
        <w:rPr>
          <w:rFonts w:cs="Arial"/>
          <w:szCs w:val="20"/>
        </w:rPr>
        <w:t xml:space="preserve">did not identify any </w:t>
      </w:r>
      <w:r>
        <w:rPr>
          <w:rFonts w:cs="Arial"/>
          <w:szCs w:val="20"/>
        </w:rPr>
        <w:t xml:space="preserve">notable </w:t>
      </w:r>
      <w:r w:rsidRPr="005A3A8F">
        <w:rPr>
          <w:rFonts w:cs="Arial"/>
          <w:szCs w:val="20"/>
        </w:rPr>
        <w:t xml:space="preserve">compliance issues are </w:t>
      </w:r>
      <w:r>
        <w:rPr>
          <w:rFonts w:cs="Arial"/>
          <w:szCs w:val="20"/>
        </w:rPr>
        <w:t xml:space="preserve">set forth </w:t>
      </w:r>
      <w:r w:rsidRPr="005A3A8F">
        <w:rPr>
          <w:rFonts w:cs="Arial"/>
          <w:szCs w:val="20"/>
        </w:rPr>
        <w:t>in summary form within each section of the report</w:t>
      </w:r>
      <w:r>
        <w:rPr>
          <w:rFonts w:cs="Arial"/>
          <w:szCs w:val="20"/>
        </w:rPr>
        <w:t>.</w:t>
      </w:r>
    </w:p>
    <w:p w14:paraId="75DDE0F1" w14:textId="77777777" w:rsidR="0058665F" w:rsidRPr="00F54AAA" w:rsidRDefault="0058665F" w:rsidP="0058665F">
      <w:pPr>
        <w:pageBreakBefore/>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F54AAA">
        <w:rPr>
          <w:rFonts w:ascii="Arial Bold" w:hAnsi="Arial Bold" w:cs="Arial"/>
          <w:b/>
          <w:color w:val="006CA9"/>
          <w:spacing w:val="5"/>
          <w:kern w:val="36"/>
          <w:sz w:val="40"/>
          <w:szCs w:val="30"/>
        </w:rPr>
        <w:lastRenderedPageBreak/>
        <w:t>VI.</w:t>
      </w:r>
      <w:r w:rsidRPr="00F54AAA">
        <w:rPr>
          <w:rFonts w:ascii="Arial Bold" w:hAnsi="Arial Bold" w:cs="Arial"/>
          <w:b/>
          <w:color w:val="006CA9"/>
          <w:spacing w:val="5"/>
          <w:kern w:val="36"/>
          <w:sz w:val="40"/>
          <w:szCs w:val="30"/>
        </w:rPr>
        <w:tab/>
        <w:t>Findings and Recommendations</w:t>
      </w:r>
    </w:p>
    <w:p w14:paraId="5C0B62DA" w14:textId="77777777" w:rsidR="0058665F" w:rsidRPr="00AC67FC" w:rsidRDefault="0058665F" w:rsidP="0058665F">
      <w:pPr>
        <w:pStyle w:val="Heading2"/>
        <w:ind w:left="0" w:firstLine="0"/>
      </w:pPr>
      <w:r w:rsidRPr="00AC67FC">
        <w:t xml:space="preserve">A. Portfolio Management </w:t>
      </w:r>
    </w:p>
    <w:p w14:paraId="3BDC3537" w14:textId="77777777" w:rsidR="0058665F" w:rsidRDefault="0058665F" w:rsidP="0058665F">
      <w:pPr>
        <w:rPr>
          <w:rFonts w:cs="Arial"/>
          <w:szCs w:val="20"/>
        </w:rPr>
      </w:pPr>
      <w:r w:rsidRPr="005A3A8F">
        <w:rPr>
          <w:rFonts w:cs="Arial"/>
          <w:szCs w:val="20"/>
        </w:rPr>
        <w:t xml:space="preserve">The final rule release relating to Rule 206(4)-7 under the Advisers Act, </w:t>
      </w:r>
      <w:r w:rsidRPr="00FC65E9">
        <w:rPr>
          <w:rFonts w:cs="Arial"/>
          <w:i/>
          <w:szCs w:val="20"/>
        </w:rPr>
        <w:t>Compliance Programs of Investment Companies and Investment Advisers</w:t>
      </w:r>
      <w:r w:rsidRPr="00B71E3C">
        <w:t xml:space="preserve">, </w:t>
      </w:r>
      <w:r w:rsidRPr="00FC65E9">
        <w:rPr>
          <w:rFonts w:cs="Arial"/>
          <w:i/>
          <w:szCs w:val="20"/>
        </w:rPr>
        <w:t>Advisers Act Release No. IA 2204</w:t>
      </w:r>
      <w:r w:rsidRPr="005A3A8F">
        <w:rPr>
          <w:rFonts w:cs="Arial"/>
          <w:szCs w:val="20"/>
        </w:rPr>
        <w:t xml:space="preserve"> (December 17, 2003) (“</w:t>
      </w:r>
      <w:r w:rsidRPr="005A3A8F">
        <w:rPr>
          <w:rFonts w:cs="Arial"/>
          <w:i/>
          <w:szCs w:val="20"/>
        </w:rPr>
        <w:t>Release IA-2204</w:t>
      </w:r>
      <w:r w:rsidRPr="005A3A8F">
        <w:rPr>
          <w:rFonts w:cs="Arial"/>
          <w:szCs w:val="20"/>
        </w:rPr>
        <w:t xml:space="preserve">”), </w:t>
      </w:r>
      <w:r>
        <w:rPr>
          <w:rFonts w:cs="Arial"/>
          <w:szCs w:val="20"/>
        </w:rPr>
        <w:t>states that</w:t>
      </w:r>
      <w:r w:rsidRPr="005A3A8F">
        <w:rPr>
          <w:rFonts w:cs="Arial"/>
          <w:szCs w:val="20"/>
        </w:rPr>
        <w:t xml:space="preserve"> a registered adviser’s policies and procedures </w:t>
      </w:r>
      <w:r>
        <w:rPr>
          <w:rFonts w:cs="Arial"/>
          <w:szCs w:val="20"/>
        </w:rPr>
        <w:t>should</w:t>
      </w:r>
      <w:r w:rsidRPr="005A3A8F">
        <w:rPr>
          <w:rFonts w:cs="Arial"/>
          <w:szCs w:val="20"/>
        </w:rPr>
        <w:t xml:space="preserve"> address portfolio management processes</w:t>
      </w:r>
      <w:r>
        <w:rPr>
          <w:rFonts w:cs="Arial"/>
          <w:szCs w:val="20"/>
        </w:rPr>
        <w:t>. These</w:t>
      </w:r>
      <w:r w:rsidRPr="005A3A8F">
        <w:rPr>
          <w:rFonts w:cs="Arial"/>
          <w:szCs w:val="20"/>
        </w:rPr>
        <w:t xml:space="preserve"> includ</w:t>
      </w:r>
      <w:r>
        <w:rPr>
          <w:rFonts w:cs="Arial"/>
          <w:szCs w:val="20"/>
        </w:rPr>
        <w:t>e</w:t>
      </w:r>
      <w:r w:rsidRPr="005A3A8F">
        <w:rPr>
          <w:rFonts w:cs="Arial"/>
          <w:szCs w:val="20"/>
        </w:rPr>
        <w:t xml:space="preserve"> the allocation of investment opportunities among clients and </w:t>
      </w:r>
      <w:r>
        <w:rPr>
          <w:rFonts w:cs="Arial"/>
          <w:szCs w:val="20"/>
        </w:rPr>
        <w:t xml:space="preserve">the </w:t>
      </w:r>
      <w:r w:rsidRPr="005A3A8F">
        <w:rPr>
          <w:rFonts w:cs="Arial"/>
          <w:szCs w:val="20"/>
        </w:rPr>
        <w:t>consistency of portfolio</w:t>
      </w:r>
      <w:r>
        <w:rPr>
          <w:rFonts w:cs="Arial"/>
          <w:szCs w:val="20"/>
        </w:rPr>
        <w:t>s</w:t>
      </w:r>
      <w:r w:rsidRPr="005A3A8F">
        <w:rPr>
          <w:rFonts w:cs="Arial"/>
          <w:szCs w:val="20"/>
        </w:rPr>
        <w:t xml:space="preserve"> with clients’ investment objectives, disclosures by the adviser, and applicable regulatory restrictions. As part of an adviser’s fiduciary duty to its clients, the adviser must have a reasonable basis to believe that its investment recommendations are suitable. An adviser must act with prudence and exercise due care throughout the portfolio management process and must allocate investment opportunities and resolve any conflicts of interest in a manner that is fair to all clients. An adviser also has a duty to periodically review accounts under management to ensure that such accounts are invested consistently with clients’ mandates and the adviser’s disclosures. </w:t>
      </w:r>
    </w:p>
    <w:p w14:paraId="09F247AA" w14:textId="77777777" w:rsidR="0058665F" w:rsidRPr="005A3A8F" w:rsidRDefault="0058665F" w:rsidP="0058665F">
      <w:pPr>
        <w:rPr>
          <w:rFonts w:cs="Arial"/>
          <w:szCs w:val="20"/>
        </w:rPr>
      </w:pPr>
    </w:p>
    <w:p w14:paraId="2EB3FF94" w14:textId="77777777" w:rsidR="0058665F" w:rsidRPr="00122438" w:rsidRDefault="0058665F" w:rsidP="0058665F">
      <w:pPr>
        <w:ind w:left="432" w:right="432"/>
        <w:rPr>
          <w:rFonts w:cs="Arial"/>
          <w:szCs w:val="20"/>
          <w:highlight w:val="yellow"/>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4A609ACB" w14:textId="77777777" w:rsidR="0058665F" w:rsidRPr="005A3A8F" w:rsidRDefault="0058665F" w:rsidP="0058665F">
      <w:pPr>
        <w:rPr>
          <w:rFonts w:cs="Arial"/>
          <w:szCs w:val="20"/>
        </w:rPr>
      </w:pPr>
    </w:p>
    <w:p w14:paraId="771F4944"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703325239"/>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portfolio management resulted in no </w:t>
      </w:r>
      <w:r>
        <w:rPr>
          <w:rFonts w:cs="Arial"/>
          <w:szCs w:val="20"/>
        </w:rPr>
        <w:t>notable issues</w:t>
      </w:r>
      <w:r w:rsidRPr="005A3A8F">
        <w:rPr>
          <w:rFonts w:cs="Arial"/>
          <w:szCs w:val="20"/>
        </w:rPr>
        <w:t xml:space="preserve"> with respect to the following </w:t>
      </w:r>
      <w:r w:rsidRPr="00FA60F9">
        <w:rPr>
          <w:rFonts w:cs="Arial"/>
          <w:szCs w:val="20"/>
        </w:rPr>
        <w:t>areas:</w:t>
      </w:r>
      <w:r w:rsidRPr="005A3A8F">
        <w:rPr>
          <w:rFonts w:cs="Arial"/>
          <w:szCs w:val="20"/>
        </w:rPr>
        <w:t xml:space="preserve"> </w:t>
      </w:r>
    </w:p>
    <w:p w14:paraId="064AA8A6" w14:textId="77777777" w:rsidR="0058665F" w:rsidRDefault="0058665F" w:rsidP="0058665F">
      <w:pPr>
        <w:pStyle w:val="Bullet1"/>
        <w:spacing w:line="240" w:lineRule="auto"/>
      </w:pPr>
      <w:r w:rsidRPr="005A3A8F">
        <w:t xml:space="preserve">Adequacy of </w:t>
      </w:r>
      <w:sdt>
        <w:sdtPr>
          <w:alias w:val="Client acronym possessive"/>
          <w:tag w:val="Client-acronym-possessive"/>
          <w:id w:val="370891640"/>
          <w:placeholder>
            <w:docPart w:val="2435EF8E7CC447889839D4D03776C03A"/>
          </w:placeholder>
        </w:sdtPr>
        <w:sdtEndPr/>
        <w:sdtContent>
          <w:r w:rsidRPr="005A3A8F">
            <w:t>XYZ’s</w:t>
          </w:r>
        </w:sdtContent>
      </w:sdt>
      <w:r w:rsidRPr="005A3A8F">
        <w:t xml:space="preserve"> written portfolio management policies and procedures </w:t>
      </w:r>
    </w:p>
    <w:p w14:paraId="79348DFE" w14:textId="77777777" w:rsidR="0058665F" w:rsidRDefault="0058665F" w:rsidP="0058665F">
      <w:pPr>
        <w:pStyle w:val="Bullet1"/>
        <w:spacing w:line="240" w:lineRule="auto"/>
      </w:pPr>
      <w:r w:rsidRPr="005A3A8F">
        <w:t xml:space="preserve">Adherence to investment objectives </w:t>
      </w:r>
      <w:r>
        <w:t>and disclosed investment mandates</w:t>
      </w:r>
    </w:p>
    <w:p w14:paraId="7038311F" w14:textId="77777777" w:rsidR="0058665F" w:rsidRPr="005A3A8F" w:rsidRDefault="0058665F" w:rsidP="0058665F">
      <w:pPr>
        <w:pStyle w:val="Bullet1"/>
        <w:spacing w:line="240" w:lineRule="auto"/>
      </w:pPr>
      <w:r>
        <w:t>Documentation of and c</w:t>
      </w:r>
      <w:r w:rsidRPr="005A3A8F">
        <w:t>ompliance with client-mandated investment restrictions</w:t>
      </w:r>
    </w:p>
    <w:p w14:paraId="36C1692C" w14:textId="77777777" w:rsidR="0058665F" w:rsidRDefault="0058665F" w:rsidP="0058665F">
      <w:pPr>
        <w:pStyle w:val="Bullet1"/>
        <w:spacing w:line="240" w:lineRule="auto"/>
      </w:pPr>
      <w:r w:rsidRPr="005A3A8F">
        <w:t>Compliance with internal investment risk management procedures</w:t>
      </w:r>
    </w:p>
    <w:p w14:paraId="34ECA104" w14:textId="77777777" w:rsidR="0058665F" w:rsidRDefault="0058665F" w:rsidP="0058665F">
      <w:pPr>
        <w:pStyle w:val="Bullet1"/>
        <w:spacing w:line="240" w:lineRule="auto"/>
      </w:pPr>
      <w:r w:rsidRPr="005A3A8F">
        <w:t>Maintenance of due diligence</w:t>
      </w:r>
      <w:r>
        <w:t xml:space="preserve"> and </w:t>
      </w:r>
      <w:r w:rsidRPr="005A3A8F">
        <w:t>research files</w:t>
      </w:r>
    </w:p>
    <w:p w14:paraId="74E9DCBC" w14:textId="77777777" w:rsidR="0058665F" w:rsidRDefault="0058665F" w:rsidP="0058665F">
      <w:pPr>
        <w:pStyle w:val="Bullet1"/>
        <w:spacing w:line="240" w:lineRule="auto"/>
      </w:pPr>
      <w:r>
        <w:t>Supervision of sub-advisers and third-party managers</w:t>
      </w:r>
    </w:p>
    <w:p w14:paraId="4AC600AC" w14:textId="77777777" w:rsidR="0058665F" w:rsidRDefault="0058665F" w:rsidP="0058665F">
      <w:pPr>
        <w:pStyle w:val="Bullet1"/>
        <w:spacing w:line="240" w:lineRule="auto"/>
      </w:pPr>
      <w:r>
        <w:t>Side-by-side management of client portfolios and a</w:t>
      </w:r>
      <w:r w:rsidRPr="005A3A8F">
        <w:t>llocation of limited investment opportunities</w:t>
      </w:r>
    </w:p>
    <w:p w14:paraId="2914A160" w14:textId="77777777" w:rsidR="0058665F" w:rsidRDefault="0058665F" w:rsidP="0058665F">
      <w:pPr>
        <w:pStyle w:val="Bullet1"/>
        <w:spacing w:line="240" w:lineRule="auto"/>
      </w:pPr>
      <w:r w:rsidRPr="005A3A8F">
        <w:t>Compliance with FINRA Rule</w:t>
      </w:r>
      <w:r>
        <w:t>s</w:t>
      </w:r>
      <w:r w:rsidRPr="005A3A8F">
        <w:t xml:space="preserve"> 5130 </w:t>
      </w:r>
      <w:r>
        <w:t xml:space="preserve">and 5131 </w:t>
      </w:r>
      <w:r w:rsidRPr="005A3A8F">
        <w:t>related to IPO eligibility</w:t>
      </w:r>
    </w:p>
    <w:p w14:paraId="177FA004" w14:textId="77777777" w:rsidR="0058665F" w:rsidRDefault="0058665F" w:rsidP="0058665F">
      <w:pPr>
        <w:pStyle w:val="Bullet1"/>
        <w:spacing w:line="240" w:lineRule="auto"/>
      </w:pPr>
      <w:r w:rsidRPr="005A3A8F">
        <w:t xml:space="preserve">Monitoring </w:t>
      </w:r>
      <w:r>
        <w:t xml:space="preserve">compliance with </w:t>
      </w:r>
      <w:r w:rsidRPr="005A3A8F">
        <w:t>the safe harbor set forth in Rule 3a-4 under the IC Act regarding operating an unregistered investment company</w:t>
      </w:r>
    </w:p>
    <w:p w14:paraId="162A7F84" w14:textId="77777777" w:rsidR="0058665F" w:rsidRDefault="0058665F" w:rsidP="0058665F">
      <w:pPr>
        <w:rPr>
          <w:rFonts w:cs="Arial"/>
          <w:szCs w:val="20"/>
        </w:rPr>
      </w:pPr>
      <w:r w:rsidRPr="005A3A8F">
        <w:rPr>
          <w:rFonts w:cs="Arial"/>
          <w:szCs w:val="20"/>
        </w:rPr>
        <w:t xml:space="preserve">ACA’s review of the portfolio management activity resulted in the </w:t>
      </w:r>
      <w:r w:rsidRPr="00FA60F9">
        <w:rPr>
          <w:rFonts w:cs="Arial"/>
          <w:szCs w:val="20"/>
        </w:rPr>
        <w:t xml:space="preserve">following </w:t>
      </w:r>
      <w:r w:rsidRPr="00FD4259">
        <w:rPr>
          <w:rFonts w:cs="Arial"/>
          <w:szCs w:val="20"/>
          <w:highlight w:val="yellow"/>
        </w:rPr>
        <w:t xml:space="preserve">&lt;comment </w:t>
      </w:r>
      <w:r>
        <w:rPr>
          <w:rFonts w:cs="Arial"/>
          <w:szCs w:val="20"/>
          <w:highlight w:val="yellow"/>
        </w:rPr>
        <w:t>OR</w:t>
      </w:r>
      <w:r w:rsidRPr="00FD4259">
        <w:rPr>
          <w:rFonts w:cs="Arial"/>
          <w:szCs w:val="20"/>
          <w:highlight w:val="yellow"/>
        </w:rPr>
        <w:t xml:space="preserve"> </w:t>
      </w:r>
      <w:r w:rsidRPr="00B71E3C">
        <w:rPr>
          <w:highlight w:val="yellow"/>
        </w:rPr>
        <w:t>comments</w:t>
      </w:r>
      <w:r w:rsidRPr="00FD4259">
        <w:rPr>
          <w:rFonts w:cs="Arial"/>
          <w:szCs w:val="20"/>
          <w:highlight w:val="yellow"/>
        </w:rPr>
        <w:t>&gt;</w:t>
      </w:r>
      <w:r>
        <w:rPr>
          <w:rFonts w:cs="Arial"/>
          <w:szCs w:val="20"/>
        </w:rPr>
        <w:t>.</w:t>
      </w:r>
    </w:p>
    <w:p w14:paraId="776A980F" w14:textId="77777777" w:rsidR="0058665F" w:rsidRDefault="0058665F" w:rsidP="0058665F">
      <w:pPr>
        <w:rPr>
          <w:rFonts w:cs="Arial"/>
          <w:szCs w:val="20"/>
        </w:rPr>
      </w:pPr>
    </w:p>
    <w:p w14:paraId="4F585EA0" w14:textId="77777777" w:rsidR="0058665F" w:rsidRPr="00E27633" w:rsidRDefault="0058665F" w:rsidP="0058665F">
      <w:pPr>
        <w:ind w:left="432" w:right="432"/>
        <w:rPr>
          <w:rFonts w:cs="Arial"/>
          <w:szCs w:val="20"/>
          <w:highlight w:val="yellow"/>
        </w:rPr>
      </w:pPr>
      <w:r w:rsidRPr="00E27633">
        <w:rPr>
          <w:rFonts w:cs="Arial"/>
          <w:szCs w:val="20"/>
          <w:highlight w:val="yellow"/>
        </w:rPr>
        <w:lastRenderedPageBreak/>
        <w:t>&lt;Note to consultants: Throughout the report, generally order your comments from most serious to least serious unless it is better for the flow of the report to lead with a less-serious issue that lays the groundwork for other items.&gt;</w:t>
      </w:r>
    </w:p>
    <w:p w14:paraId="0C32FE9D"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3DC4F6DF"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1B5E826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13BCD008"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4D8581FF"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15D8EB3B"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3AE8D487"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483FAAF1" w14:textId="77777777" w:rsidR="0058665F" w:rsidRPr="005A3A8F" w:rsidRDefault="0058665F" w:rsidP="00534EA9">
            <w:pPr>
              <w:rPr>
                <w:rFonts w:cs="Arial"/>
                <w:szCs w:val="20"/>
              </w:rPr>
            </w:pPr>
            <w:r>
              <w:rPr>
                <w:rFonts w:cs="Arial"/>
                <w:szCs w:val="20"/>
              </w:rPr>
              <w:t>A.1</w:t>
            </w:r>
          </w:p>
        </w:tc>
        <w:tc>
          <w:tcPr>
            <w:tcW w:w="2578" w:type="dxa"/>
            <w:tcBorders>
              <w:top w:val="single" w:sz="6" w:space="0" w:color="auto"/>
              <w:left w:val="single" w:sz="4" w:space="0" w:color="auto"/>
              <w:bottom w:val="single" w:sz="6" w:space="0" w:color="auto"/>
              <w:right w:val="single" w:sz="6" w:space="0" w:color="auto"/>
            </w:tcBorders>
            <w:vAlign w:val="center"/>
          </w:tcPr>
          <w:p w14:paraId="4D8DC8E6" w14:textId="77777777" w:rsidR="0058665F" w:rsidRPr="005A3A8F" w:rsidRDefault="0058665F" w:rsidP="00534EA9">
            <w:pPr>
              <w:jc w:val="left"/>
              <w:rPr>
                <w:rFonts w:cs="Arial"/>
                <w:szCs w:val="20"/>
              </w:rPr>
            </w:pPr>
            <w:r>
              <w:rPr>
                <w:rFonts w:cs="Arial"/>
                <w:szCs w:val="20"/>
              </w:rPr>
              <w:t xml:space="preserve">EXAMPLE: </w:t>
            </w:r>
            <w:r w:rsidRPr="005A3A8F">
              <w:rPr>
                <w:rFonts w:cs="Arial"/>
                <w:szCs w:val="20"/>
              </w:rPr>
              <w:t>Adherence to Investment Restrictions</w:t>
            </w:r>
          </w:p>
        </w:tc>
        <w:tc>
          <w:tcPr>
            <w:tcW w:w="8161" w:type="dxa"/>
            <w:tcBorders>
              <w:top w:val="single" w:sz="6" w:space="0" w:color="auto"/>
              <w:left w:val="single" w:sz="6" w:space="0" w:color="auto"/>
              <w:bottom w:val="single" w:sz="6" w:space="0" w:color="auto"/>
              <w:right w:val="single" w:sz="6" w:space="0" w:color="auto"/>
            </w:tcBorders>
            <w:vAlign w:val="center"/>
          </w:tcPr>
          <w:p w14:paraId="5361083B" w14:textId="77777777" w:rsidR="0058665F" w:rsidRPr="005A3A8F" w:rsidRDefault="0058665F" w:rsidP="00534EA9">
            <w:pPr>
              <w:rPr>
                <w:rFonts w:cs="Arial"/>
                <w:szCs w:val="20"/>
              </w:rPr>
            </w:pPr>
            <w:r>
              <w:t xml:space="preserve">EXAMPLE: </w:t>
            </w:r>
            <w:r w:rsidRPr="005A3A8F">
              <w:t>While the adviser has implemented a written policy to monitor for adherence to investment restrictions, ACA noted that Account A appeared to purchase securities issued by a company that was included on a list of client-mandated investment restrictions.</w:t>
            </w:r>
            <w:r>
              <w:t xml:space="preserve"> </w:t>
            </w:r>
            <w:r w:rsidRPr="005A3A8F">
              <w:t xml:space="preserve">ACA recommends that the adviser review the trading in Account A to ensure that no other securities were purchased from the client-mandated restricted list. </w:t>
            </w:r>
            <w:r>
              <w:t>In a</w:t>
            </w:r>
            <w:r w:rsidRPr="005A3A8F">
              <w:t xml:space="preserve">ddition, ACA recommends that the adviser determine whether any other advisory accounts may have breached investment restrictions. Finally, ACA recommends that the adviser review the cause of the breach and strengthen its written policy and </w:t>
            </w:r>
            <w:proofErr w:type="gramStart"/>
            <w:r w:rsidRPr="005A3A8F">
              <w:t>procedures</w:t>
            </w:r>
            <w:proofErr w:type="gramEnd"/>
            <w:r w:rsidRPr="005A3A8F">
              <w:t xml:space="preserve"> as necessary.</w:t>
            </w: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4C858FC2"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0B7A8C8B"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112E0AB9" w14:textId="77777777" w:rsidR="0058665F" w:rsidRPr="005A3A8F" w:rsidRDefault="0058665F" w:rsidP="00534EA9">
            <w:pPr>
              <w:rPr>
                <w:rFonts w:cs="Arial"/>
                <w:szCs w:val="20"/>
              </w:rPr>
            </w:pPr>
            <w:r>
              <w:rPr>
                <w:rFonts w:cs="Arial"/>
                <w:szCs w:val="20"/>
              </w:rPr>
              <w:t>A</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2E5E2038"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6C06C2FB"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5A7311B1"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3B0361F9"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776E70C8" w14:textId="77777777" w:rsidR="0058665F" w:rsidRPr="005A3A8F" w:rsidRDefault="0058665F" w:rsidP="00534EA9">
            <w:pPr>
              <w:rPr>
                <w:rFonts w:cs="Arial"/>
                <w:szCs w:val="20"/>
              </w:rPr>
            </w:pPr>
            <w:r>
              <w:rPr>
                <w:rFonts w:cs="Arial"/>
                <w:szCs w:val="20"/>
              </w:rPr>
              <w:t>A</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62E9A303"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81F9BC2"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2FA72A02"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0BD25FBB" w14:textId="77777777" w:rsidR="0058665F" w:rsidRPr="002E7500" w:rsidRDefault="0058665F" w:rsidP="0058665F">
      <w:pPr>
        <w:spacing w:before="240" w:after="240"/>
        <w:rPr>
          <w:rFonts w:cs="Arial"/>
          <w:szCs w:val="20"/>
        </w:rPr>
      </w:pPr>
    </w:p>
    <w:p w14:paraId="20AF4D58" w14:textId="77777777" w:rsidR="0058665F" w:rsidRPr="00AC67FC" w:rsidRDefault="0058665F" w:rsidP="0058665F">
      <w:pPr>
        <w:pStyle w:val="Heading2"/>
      </w:pPr>
      <w:r w:rsidRPr="00905A5A">
        <w:br w:type="page"/>
      </w:r>
      <w:r w:rsidRPr="00AC67FC">
        <w:lastRenderedPageBreak/>
        <w:t>B.</w:t>
      </w:r>
      <w:r w:rsidRPr="00AC67FC">
        <w:tab/>
        <w:t>Proxy Voting</w:t>
      </w:r>
    </w:p>
    <w:p w14:paraId="0036FC98" w14:textId="77777777" w:rsidR="0058665F" w:rsidRPr="005A3A8F" w:rsidRDefault="0058665F" w:rsidP="0058665F">
      <w:pPr>
        <w:rPr>
          <w:rFonts w:cs="Arial"/>
          <w:szCs w:val="20"/>
        </w:rPr>
      </w:pPr>
      <w:r w:rsidRPr="005A3A8F">
        <w:rPr>
          <w:rFonts w:cs="Arial"/>
          <w:szCs w:val="20"/>
        </w:rPr>
        <w:t>Rule 206(4)-6 under the Advisers Act requires that each registered investment adviser that exercises proxy voting authority with respect to client securities take the following actions:</w:t>
      </w:r>
    </w:p>
    <w:p w14:paraId="5884FB9B" w14:textId="77777777" w:rsidR="0058665F" w:rsidRPr="005A3A8F" w:rsidRDefault="0058665F" w:rsidP="0058665F">
      <w:pPr>
        <w:pStyle w:val="Bullet1"/>
        <w:spacing w:line="240" w:lineRule="auto"/>
      </w:pPr>
      <w:r w:rsidRPr="005A3A8F">
        <w:t xml:space="preserve">The adviser must adopt and implement written policies and procedures reasonably designed to ensure that the adviser votes client securities in the clients’ best interests. Such policies and procedures must address the </w:t>
      </w:r>
      <w:proofErr w:type="gramStart"/>
      <w:r w:rsidRPr="005A3A8F">
        <w:t>manner in which</w:t>
      </w:r>
      <w:proofErr w:type="gramEnd"/>
      <w:r w:rsidRPr="005A3A8F">
        <w:t xml:space="preserve"> the adviser will resolve material conflicts of interest that can arise during the proxy voting process.</w:t>
      </w:r>
    </w:p>
    <w:p w14:paraId="00B53F7B" w14:textId="77777777" w:rsidR="0058665F" w:rsidRPr="005A3A8F" w:rsidRDefault="0058665F" w:rsidP="0058665F">
      <w:pPr>
        <w:pStyle w:val="Bullet1"/>
        <w:spacing w:line="240" w:lineRule="auto"/>
      </w:pPr>
      <w:r w:rsidRPr="005A3A8F">
        <w:t>The adviser must disclose to clients how they may obtain information from the adviser about how the adviser voted with respect to their securities.</w:t>
      </w:r>
    </w:p>
    <w:p w14:paraId="44510F33" w14:textId="77777777" w:rsidR="0058665F" w:rsidRPr="005A3A8F" w:rsidRDefault="0058665F" w:rsidP="0058665F">
      <w:pPr>
        <w:pStyle w:val="Bullet1"/>
        <w:spacing w:line="240" w:lineRule="auto"/>
      </w:pPr>
      <w:r w:rsidRPr="005A3A8F">
        <w:t>The adviser must describe to clients the adviser’s proxy voting policies and procedures and, upon request, furnish a copy of the policies and procedures.</w:t>
      </w:r>
    </w:p>
    <w:p w14:paraId="74C0F63C" w14:textId="77777777" w:rsidR="0058665F" w:rsidRPr="005A3A8F" w:rsidRDefault="0058665F" w:rsidP="0058665F">
      <w:pPr>
        <w:rPr>
          <w:rFonts w:cs="Arial"/>
          <w:szCs w:val="20"/>
        </w:rPr>
      </w:pPr>
      <w:r w:rsidRPr="005A3A8F">
        <w:rPr>
          <w:rFonts w:cs="Arial"/>
          <w:szCs w:val="20"/>
        </w:rPr>
        <w:t>The Advisers Act lacks specific guidance regarding an adviser’s duty to direct clients’ participation in class action lawsuits. However, many investment advisers adopt policies and procedures regarding class action lawsuits.</w:t>
      </w:r>
    </w:p>
    <w:p w14:paraId="29B357E1" w14:textId="77777777" w:rsidR="0058665F" w:rsidRPr="005A3A8F" w:rsidRDefault="0058665F" w:rsidP="0058665F">
      <w:pPr>
        <w:rPr>
          <w:rFonts w:cs="Arial"/>
          <w:szCs w:val="20"/>
        </w:rPr>
      </w:pPr>
    </w:p>
    <w:p w14:paraId="603F24C8"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717308E2" w14:textId="77777777" w:rsidR="0058665F" w:rsidRPr="005A3A8F" w:rsidRDefault="0058665F" w:rsidP="0058665F">
      <w:pPr>
        <w:rPr>
          <w:rFonts w:cs="Arial"/>
          <w:szCs w:val="20"/>
        </w:rPr>
      </w:pPr>
    </w:p>
    <w:p w14:paraId="6528CC72"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406490288"/>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proxy voting resulted in no </w:t>
      </w:r>
      <w:r>
        <w:rPr>
          <w:rFonts w:cs="Arial"/>
          <w:szCs w:val="20"/>
        </w:rPr>
        <w:t>notable</w:t>
      </w:r>
      <w:r w:rsidRPr="005A3A8F">
        <w:rPr>
          <w:rFonts w:cs="Arial"/>
          <w:szCs w:val="20"/>
        </w:rPr>
        <w:t xml:space="preserve"> compliance issues with </w:t>
      </w:r>
      <w:r>
        <w:rPr>
          <w:rFonts w:cs="Arial"/>
          <w:szCs w:val="20"/>
        </w:rPr>
        <w:t>respect to the following areas</w:t>
      </w:r>
      <w:r w:rsidRPr="005A3A8F">
        <w:rPr>
          <w:rFonts w:cs="Arial"/>
          <w:szCs w:val="20"/>
        </w:rPr>
        <w:t xml:space="preserve">: </w:t>
      </w:r>
    </w:p>
    <w:p w14:paraId="6938257A"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1961102361"/>
          <w:placeholder>
            <w:docPart w:val="2435EF8E7CC447889839D4D03776C03A"/>
          </w:placeholder>
        </w:sdtPr>
        <w:sdtEndPr/>
        <w:sdtContent>
          <w:r w:rsidRPr="005A3A8F">
            <w:t>XYZ’s</w:t>
          </w:r>
        </w:sdtContent>
      </w:sdt>
      <w:r w:rsidRPr="005A3A8F">
        <w:t xml:space="preserve"> written proxy voting polic</w:t>
      </w:r>
      <w:r>
        <w:t>ies</w:t>
      </w:r>
      <w:r w:rsidRPr="005A3A8F">
        <w:t xml:space="preserve"> and procedures</w:t>
      </w:r>
    </w:p>
    <w:p w14:paraId="2A02A106" w14:textId="77777777" w:rsidR="0058665F" w:rsidRDefault="0058665F" w:rsidP="0058665F">
      <w:pPr>
        <w:pStyle w:val="Bullet1"/>
        <w:spacing w:line="240" w:lineRule="auto"/>
      </w:pPr>
      <w:r>
        <w:t>Identification, processing, and voting of proxies</w:t>
      </w:r>
    </w:p>
    <w:p w14:paraId="41E825A4" w14:textId="77777777" w:rsidR="0058665F" w:rsidRDefault="0058665F" w:rsidP="0058665F">
      <w:pPr>
        <w:pStyle w:val="Bullet1"/>
        <w:spacing w:line="240" w:lineRule="auto"/>
      </w:pPr>
      <w:r w:rsidRPr="005A3A8F">
        <w:t>Maintenance of proxy voting records</w:t>
      </w:r>
    </w:p>
    <w:p w14:paraId="01F8E2D8" w14:textId="77777777" w:rsidR="0058665F" w:rsidRPr="005A3A8F" w:rsidRDefault="0058665F" w:rsidP="0058665F">
      <w:pPr>
        <w:pStyle w:val="Bullet1"/>
        <w:spacing w:line="240" w:lineRule="auto"/>
      </w:pPr>
      <w:r>
        <w:t xml:space="preserve">Responses </w:t>
      </w:r>
      <w:r w:rsidRPr="005A3A8F">
        <w:t>to requests for proxy voting records</w:t>
      </w:r>
    </w:p>
    <w:p w14:paraId="442318EA" w14:textId="77777777" w:rsidR="0058665F" w:rsidRPr="00E365B0" w:rsidRDefault="0058665F" w:rsidP="0058665F">
      <w:pPr>
        <w:pStyle w:val="Bullet1"/>
        <w:spacing w:line="240" w:lineRule="auto"/>
      </w:pPr>
      <w:r w:rsidRPr="005A3A8F">
        <w:t>Resolution of pro</w:t>
      </w:r>
      <w:r>
        <w:t>xy voting conflicts of interest</w:t>
      </w:r>
    </w:p>
    <w:p w14:paraId="117F9571" w14:textId="77777777" w:rsidR="0058665F" w:rsidRPr="00E365B0" w:rsidRDefault="0058665F" w:rsidP="0058665F">
      <w:pPr>
        <w:pStyle w:val="Bullet1"/>
        <w:spacing w:line="240" w:lineRule="auto"/>
      </w:pPr>
      <w:r w:rsidRPr="005A3A8F">
        <w:t>Involvement in class actions</w:t>
      </w:r>
    </w:p>
    <w:p w14:paraId="6694BEA7" w14:textId="77777777" w:rsidR="0058665F" w:rsidRPr="0005128A" w:rsidRDefault="0058665F" w:rsidP="0058665F">
      <w:pPr>
        <w:pStyle w:val="Bullet1"/>
        <w:spacing w:line="240" w:lineRule="auto"/>
      </w:pPr>
      <w:r>
        <w:t>Oversight of third-party proxy advisory firms</w:t>
      </w:r>
    </w:p>
    <w:p w14:paraId="73630C1E" w14:textId="77777777" w:rsidR="0058665F" w:rsidRPr="005C1418" w:rsidRDefault="0058665F" w:rsidP="0058665F">
      <w:pPr>
        <w:rPr>
          <w:rFonts w:cs="Arial"/>
          <w:szCs w:val="20"/>
        </w:rPr>
      </w:pPr>
      <w:r w:rsidRPr="005C1418">
        <w:rPr>
          <w:rFonts w:cs="Arial"/>
          <w:szCs w:val="20"/>
        </w:rPr>
        <w:t xml:space="preserve">ACA’s review of </w:t>
      </w:r>
      <w:r>
        <w:rPr>
          <w:rFonts w:cs="Arial"/>
          <w:szCs w:val="20"/>
        </w:rPr>
        <w:t xml:space="preserve">proxy voting and class action participation </w:t>
      </w:r>
      <w:r w:rsidRPr="005C1418">
        <w:rPr>
          <w:rFonts w:cs="Arial"/>
          <w:szCs w:val="20"/>
        </w:rPr>
        <w:t xml:space="preserve">resulted in the following </w:t>
      </w:r>
      <w:r w:rsidRPr="00AB3C9F">
        <w:rPr>
          <w:rFonts w:cs="Arial"/>
          <w:szCs w:val="20"/>
          <w:highlight w:val="yellow"/>
        </w:rPr>
        <w:t xml:space="preserve">&lt;comment OR </w:t>
      </w:r>
      <w:r w:rsidRPr="00B71E3C">
        <w:rPr>
          <w:highlight w:val="yellow"/>
        </w:rPr>
        <w:t>comments</w:t>
      </w:r>
      <w:r w:rsidRPr="00AB3C9F">
        <w:rPr>
          <w:rFonts w:cs="Arial"/>
          <w:szCs w:val="20"/>
          <w:highlight w:val="yellow"/>
        </w:rPr>
        <w:t>&gt;</w:t>
      </w:r>
      <w:r>
        <w:rPr>
          <w:rFonts w:cs="Arial"/>
          <w:szCs w:val="20"/>
        </w:rPr>
        <w:t>.</w:t>
      </w:r>
    </w:p>
    <w:p w14:paraId="39D4D9FA" w14:textId="77777777" w:rsidR="0058665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7FFFF87A"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35BB280F"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lastRenderedPageBreak/>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67FC91ED"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5F772011"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7816066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0C45C6FC"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19EC4B8C" w14:textId="77777777" w:rsidR="0058665F" w:rsidRPr="005A3A8F" w:rsidRDefault="0058665F" w:rsidP="00534EA9">
            <w:pPr>
              <w:rPr>
                <w:rFonts w:cs="Arial"/>
                <w:szCs w:val="20"/>
              </w:rPr>
            </w:pPr>
            <w:r>
              <w:rPr>
                <w:rFonts w:cs="Arial"/>
                <w:szCs w:val="20"/>
              </w:rPr>
              <w:t>B.1</w:t>
            </w:r>
          </w:p>
        </w:tc>
        <w:tc>
          <w:tcPr>
            <w:tcW w:w="2578" w:type="dxa"/>
            <w:tcBorders>
              <w:top w:val="single" w:sz="6" w:space="0" w:color="auto"/>
              <w:left w:val="single" w:sz="4" w:space="0" w:color="auto"/>
              <w:bottom w:val="single" w:sz="6" w:space="0" w:color="auto"/>
              <w:right w:val="single" w:sz="6" w:space="0" w:color="auto"/>
            </w:tcBorders>
            <w:vAlign w:val="center"/>
          </w:tcPr>
          <w:p w14:paraId="191AEAA4"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vAlign w:val="center"/>
          </w:tcPr>
          <w:p w14:paraId="38A85292"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2C747F56"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4C9D1A92"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BEF629F" w14:textId="77777777" w:rsidR="0058665F" w:rsidRPr="005A3A8F" w:rsidRDefault="0058665F" w:rsidP="00534EA9">
            <w:pPr>
              <w:rPr>
                <w:rFonts w:cs="Arial"/>
                <w:szCs w:val="20"/>
              </w:rPr>
            </w:pPr>
            <w:r>
              <w:rPr>
                <w:rFonts w:cs="Arial"/>
                <w:szCs w:val="20"/>
              </w:rPr>
              <w:t>B</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59A76CFD"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070D103D"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1B349DF9"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1266033E"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421126F5" w14:textId="77777777" w:rsidR="0058665F" w:rsidRPr="005A3A8F" w:rsidRDefault="0058665F" w:rsidP="00534EA9">
            <w:pPr>
              <w:rPr>
                <w:rFonts w:cs="Arial"/>
                <w:szCs w:val="20"/>
              </w:rPr>
            </w:pPr>
            <w:r>
              <w:rPr>
                <w:rFonts w:cs="Arial"/>
                <w:szCs w:val="20"/>
              </w:rPr>
              <w:t>B</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27106FA1"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C97392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107923FB"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6E9717B2" w14:textId="77777777" w:rsidR="0058665F" w:rsidRDefault="0058665F" w:rsidP="0058665F"/>
    <w:p w14:paraId="3574EE04" w14:textId="77777777" w:rsidR="0058665F" w:rsidRDefault="0058665F" w:rsidP="0058665F">
      <w:pPr>
        <w:rPr>
          <w:rFonts w:cs="Arial"/>
          <w:sz w:val="22"/>
          <w:szCs w:val="22"/>
        </w:rPr>
      </w:pPr>
      <w:r>
        <w:rPr>
          <w:rFonts w:cs="Arial"/>
          <w:sz w:val="22"/>
          <w:szCs w:val="22"/>
        </w:rPr>
        <w:br w:type="page"/>
      </w:r>
    </w:p>
    <w:p w14:paraId="61DBEE16" w14:textId="77777777" w:rsidR="0058665F" w:rsidRPr="00AC67FC" w:rsidRDefault="0058665F" w:rsidP="0058665F">
      <w:pPr>
        <w:pStyle w:val="Heading2"/>
      </w:pPr>
      <w:r w:rsidRPr="00AC67FC">
        <w:lastRenderedPageBreak/>
        <w:t>C.</w:t>
      </w:r>
      <w:r w:rsidRPr="00AC67FC">
        <w:tab/>
        <w:t xml:space="preserve">Trading </w:t>
      </w:r>
    </w:p>
    <w:p w14:paraId="4D49ABA4" w14:textId="77777777" w:rsidR="0058665F" w:rsidRPr="005A3A8F" w:rsidRDefault="0058665F" w:rsidP="0058665F">
      <w:pPr>
        <w:rPr>
          <w:rFonts w:cs="Arial"/>
          <w:szCs w:val="20"/>
        </w:rPr>
      </w:pPr>
      <w:r w:rsidRPr="005A3A8F">
        <w:rPr>
          <w:rFonts w:cs="Arial"/>
          <w:szCs w:val="20"/>
        </w:rPr>
        <w:t>For most investment advisers</w:t>
      </w:r>
      <w:r>
        <w:rPr>
          <w:rFonts w:cs="Arial"/>
          <w:szCs w:val="20"/>
        </w:rPr>
        <w:t>,</w:t>
      </w:r>
      <w:r w:rsidRPr="005A3A8F">
        <w:rPr>
          <w:rFonts w:cs="Arial"/>
          <w:szCs w:val="20"/>
        </w:rPr>
        <w:t xml:space="preserve"> trading is a central function that warrants robust policies and procedures. </w:t>
      </w:r>
      <w:sdt>
        <w:sdtPr>
          <w:rPr>
            <w:rFonts w:cs="Arial"/>
            <w:szCs w:val="20"/>
          </w:rPr>
          <w:alias w:val="Publicly Traded Securities"/>
          <w:tag w:val="Publicly-Traded-Securities"/>
          <w:id w:val="2123877615"/>
          <w:placeholder>
            <w:docPart w:val="2435EF8E7CC447889839D4D03776C03A"/>
          </w:placeholder>
        </w:sdtPr>
        <w:sdtEndPr/>
        <w:sdtContent>
          <w:r w:rsidRPr="007F4A3E">
            <w:rPr>
              <w:rFonts w:cs="Arial"/>
              <w:szCs w:val="20"/>
            </w:rPr>
            <w:t>Even advisers that do not invest in publicly traded securities should adopt and implement policies and procedures governing the implementation of their investment decisions.</w:t>
          </w:r>
        </w:sdtContent>
      </w:sdt>
      <w:r w:rsidRPr="005A3A8F">
        <w:rPr>
          <w:rFonts w:cs="Arial"/>
          <w:szCs w:val="20"/>
        </w:rPr>
        <w:t xml:space="preserve"> Below is a summary of various trading issues that are generally relevant to </w:t>
      </w:r>
      <w:sdt>
        <w:sdtPr>
          <w:rPr>
            <w:rFonts w:cs="Arial"/>
            <w:szCs w:val="20"/>
          </w:rPr>
          <w:alias w:val="Client acronym"/>
          <w:tag w:val="Client-acronym"/>
          <w:id w:val="1555125922"/>
          <w:placeholder>
            <w:docPart w:val="2435EF8E7CC447889839D4D03776C03A"/>
          </w:placeholder>
        </w:sdtPr>
        <w:sdtEndPr/>
        <w:sdtContent>
          <w:r w:rsidRPr="005A3A8F">
            <w:rPr>
              <w:rFonts w:cs="Arial"/>
              <w:szCs w:val="20"/>
            </w:rPr>
            <w:t>XYZ</w:t>
          </w:r>
        </w:sdtContent>
      </w:sdt>
      <w:r w:rsidRPr="005A3A8F">
        <w:rPr>
          <w:rFonts w:cs="Arial"/>
          <w:szCs w:val="20"/>
        </w:rPr>
        <w:t xml:space="preserve">. </w:t>
      </w:r>
      <w:r w:rsidRPr="00B71E3C">
        <w:rPr>
          <w:highlight w:val="yellow"/>
        </w:rPr>
        <w:t>&lt;</w:t>
      </w:r>
      <w:r w:rsidRPr="00C827EB">
        <w:rPr>
          <w:rFonts w:cs="Arial"/>
          <w:szCs w:val="20"/>
          <w:highlight w:val="yellow"/>
        </w:rPr>
        <w:t>N</w:t>
      </w:r>
      <w:r w:rsidRPr="005A3A8F">
        <w:rPr>
          <w:rFonts w:cs="Arial"/>
          <w:szCs w:val="20"/>
          <w:highlight w:val="yellow"/>
        </w:rPr>
        <w:t xml:space="preserve">ote to consultants: Remove issues that were not applicable to the </w:t>
      </w:r>
      <w:r w:rsidRPr="00C827EB">
        <w:rPr>
          <w:rFonts w:cs="Arial"/>
          <w:szCs w:val="20"/>
          <w:highlight w:val="yellow"/>
        </w:rPr>
        <w:t>adviser</w:t>
      </w:r>
      <w:r w:rsidRPr="00B71E3C">
        <w:rPr>
          <w:highlight w:val="yellow"/>
        </w:rPr>
        <w:t>.&gt;</w:t>
      </w:r>
      <w:r w:rsidRPr="005A3A8F">
        <w:rPr>
          <w:rFonts w:cs="Arial"/>
          <w:szCs w:val="20"/>
        </w:rPr>
        <w:t xml:space="preserve"> </w:t>
      </w:r>
    </w:p>
    <w:p w14:paraId="1E4A90C4" w14:textId="77777777" w:rsidR="0058665F" w:rsidRPr="005A3A8F" w:rsidRDefault="0058665F" w:rsidP="0058665F">
      <w:pPr>
        <w:autoSpaceDE w:val="0"/>
        <w:autoSpaceDN w:val="0"/>
        <w:adjustRightInd w:val="0"/>
        <w:spacing w:line="277" w:lineRule="atLeast"/>
        <w:rPr>
          <w:rFonts w:cs="Arial"/>
          <w:szCs w:val="20"/>
        </w:rPr>
      </w:pPr>
    </w:p>
    <w:p w14:paraId="2DA06F0B" w14:textId="77777777" w:rsidR="0058665F" w:rsidRDefault="0058665F" w:rsidP="0058665F">
      <w:pPr>
        <w:rPr>
          <w:rFonts w:cs="Arial"/>
          <w:szCs w:val="20"/>
        </w:rPr>
      </w:pPr>
      <w:r w:rsidRPr="005A3A8F">
        <w:rPr>
          <w:rFonts w:cs="Arial"/>
          <w:szCs w:val="20"/>
          <w:u w:val="single"/>
        </w:rPr>
        <w:t>Best Execution/Brokerage Relationship Reviews</w:t>
      </w:r>
      <w:r w:rsidRPr="005A3A8F">
        <w:rPr>
          <w:rFonts w:cs="Arial"/>
          <w:szCs w:val="20"/>
        </w:rPr>
        <w:t xml:space="preserve"> – In</w:t>
      </w:r>
      <w:r>
        <w:rPr>
          <w:rFonts w:cs="Arial"/>
          <w:szCs w:val="20"/>
        </w:rPr>
        <w:t xml:space="preserve"> </w:t>
      </w:r>
      <w:r w:rsidRPr="004E5CD7">
        <w:rPr>
          <w:rFonts w:cs="Arial"/>
          <w:i/>
          <w:szCs w:val="20"/>
        </w:rPr>
        <w:t>Interpretive Release Concerning the Scope of Section 28(e) of the Securities Exchange Act of 1934 and Related Matters</w:t>
      </w:r>
      <w:r w:rsidRPr="004E5CD7">
        <w:rPr>
          <w:rFonts w:cs="Arial"/>
          <w:szCs w:val="20"/>
        </w:rPr>
        <w:t xml:space="preserve">, </w:t>
      </w:r>
      <w:r w:rsidRPr="004E5CD7">
        <w:rPr>
          <w:rFonts w:cs="Arial"/>
          <w:i/>
          <w:szCs w:val="20"/>
        </w:rPr>
        <w:t xml:space="preserve">SEC </w:t>
      </w:r>
      <w:r w:rsidRPr="005A3A8F">
        <w:rPr>
          <w:rFonts w:cs="Arial"/>
          <w:i/>
          <w:szCs w:val="20"/>
        </w:rPr>
        <w:t>Release 34-23170</w:t>
      </w:r>
      <w:r w:rsidRPr="005A3A8F">
        <w:rPr>
          <w:rFonts w:cs="Arial"/>
          <w:szCs w:val="20"/>
        </w:rPr>
        <w:t xml:space="preserve"> (April 28, 1986)</w:t>
      </w:r>
      <w:r>
        <w:rPr>
          <w:rFonts w:cs="Arial"/>
          <w:szCs w:val="20"/>
        </w:rPr>
        <w:t>,</w:t>
      </w:r>
      <w:r w:rsidRPr="005A3A8F">
        <w:rPr>
          <w:rFonts w:cs="Arial"/>
          <w:szCs w:val="20"/>
        </w:rPr>
        <w:t xml:space="preserve"> the SEC noted that “money managers should periodically and systematically evaluate the execution performance of broker</w:t>
      </w:r>
      <w:r>
        <w:rPr>
          <w:rFonts w:cs="Arial"/>
          <w:szCs w:val="20"/>
        </w:rPr>
        <w:t>-</w:t>
      </w:r>
      <w:r w:rsidRPr="005A3A8F">
        <w:rPr>
          <w:rFonts w:cs="Arial"/>
          <w:szCs w:val="20"/>
        </w:rPr>
        <w:t xml:space="preserve">dealers executing their transactions.” The SEC also stated that </w:t>
      </w:r>
    </w:p>
    <w:p w14:paraId="7ED0C98A" w14:textId="77777777" w:rsidR="0058665F" w:rsidRDefault="0058665F" w:rsidP="0058665F">
      <w:pPr>
        <w:rPr>
          <w:rFonts w:cs="Arial"/>
          <w:szCs w:val="20"/>
        </w:rPr>
      </w:pPr>
    </w:p>
    <w:p w14:paraId="2AD0BD74" w14:textId="77777777" w:rsidR="0058665F" w:rsidRPr="00C12EE8" w:rsidRDefault="0058665F" w:rsidP="0058665F">
      <w:pPr>
        <w:pStyle w:val="Quotation"/>
        <w:keepNext w:val="0"/>
      </w:pPr>
      <w:r w:rsidRPr="00C12EE8">
        <w:t>…a money manager should consider the full range and quality of a broker’s services in placing brokerage, including among other things, the value of research provided as well as execution capability, commission rate, financial responsibility, and responsiveness to the money manager. The Commission wishes to remind money managers that the determinative factor is not the lowest possible commission cost but whether the transaction represents the best qualitative execution for the managed account.</w:t>
      </w:r>
    </w:p>
    <w:p w14:paraId="2500CA9B" w14:textId="77777777" w:rsidR="0058665F" w:rsidRDefault="0058665F" w:rsidP="0058665F">
      <w:pPr>
        <w:rPr>
          <w:rFonts w:cs="Arial"/>
          <w:szCs w:val="20"/>
        </w:rPr>
      </w:pPr>
    </w:p>
    <w:p w14:paraId="2A697061" w14:textId="77777777" w:rsidR="0058665F" w:rsidRPr="005A3A8F" w:rsidRDefault="0058665F" w:rsidP="0058665F">
      <w:pPr>
        <w:rPr>
          <w:rFonts w:cs="Arial"/>
          <w:szCs w:val="20"/>
        </w:rPr>
      </w:pPr>
      <w:r w:rsidRPr="005A3A8F">
        <w:rPr>
          <w:rFonts w:cs="Arial"/>
          <w:szCs w:val="20"/>
        </w:rPr>
        <w:t xml:space="preserve">The duty to seek best execution applies in varying degrees to virtually all investment advisers, regardless of the amount or type of assets under management. </w:t>
      </w:r>
    </w:p>
    <w:p w14:paraId="2A090B70" w14:textId="77777777" w:rsidR="0058665F" w:rsidRPr="005A3A8F" w:rsidRDefault="0058665F" w:rsidP="0058665F">
      <w:pPr>
        <w:rPr>
          <w:rFonts w:cs="Arial"/>
          <w:szCs w:val="20"/>
        </w:rPr>
      </w:pPr>
    </w:p>
    <w:p w14:paraId="38088521" w14:textId="77777777" w:rsidR="0058665F" w:rsidRPr="005A3A8F" w:rsidRDefault="0058665F" w:rsidP="0058665F">
      <w:pPr>
        <w:rPr>
          <w:rFonts w:cs="Arial"/>
          <w:szCs w:val="20"/>
        </w:rPr>
      </w:pPr>
      <w:r w:rsidRPr="005A3A8F">
        <w:rPr>
          <w:rFonts w:cs="Arial"/>
          <w:szCs w:val="20"/>
          <w:u w:val="single"/>
        </w:rPr>
        <w:t>Soft Dollars</w:t>
      </w:r>
      <w:r w:rsidRPr="005A3A8F">
        <w:rPr>
          <w:rFonts w:cs="Arial"/>
          <w:szCs w:val="20"/>
        </w:rPr>
        <w:t xml:space="preserve"> – Section 28(e) of the </w:t>
      </w:r>
      <w:r>
        <w:rPr>
          <w:rFonts w:cs="Arial"/>
          <w:szCs w:val="20"/>
        </w:rPr>
        <w:t xml:space="preserve">Exchange Act </w:t>
      </w:r>
      <w:r w:rsidRPr="005A3A8F">
        <w:rPr>
          <w:rFonts w:cs="Arial"/>
          <w:szCs w:val="20"/>
        </w:rPr>
        <w:t xml:space="preserve">provides a safe harbor that generally permits advisers with investment discretion to use commission dollars generated by client transactions to pay for brokerage services and research products. The Section 28(e) safe harbor is only available if, among other things, the adviser makes a good-faith determination that the </w:t>
      </w:r>
      <w:proofErr w:type="gramStart"/>
      <w:r w:rsidRPr="005A3A8F">
        <w:rPr>
          <w:rFonts w:cs="Arial"/>
          <w:szCs w:val="20"/>
        </w:rPr>
        <w:t>amount</w:t>
      </w:r>
      <w:proofErr w:type="gramEnd"/>
      <w:r w:rsidRPr="005A3A8F">
        <w:rPr>
          <w:rFonts w:cs="Arial"/>
          <w:szCs w:val="20"/>
        </w:rPr>
        <w:t xml:space="preserve"> of commissions paid is reasonable relative to the value of the brokerage and research services received. The Commission has issued several releases regarding the use of soft dollars, including</w:t>
      </w:r>
      <w:r>
        <w:rPr>
          <w:rFonts w:cs="Arial"/>
          <w:szCs w:val="20"/>
        </w:rPr>
        <w:t xml:space="preserve"> </w:t>
      </w:r>
      <w:r w:rsidRPr="0032426A">
        <w:rPr>
          <w:rFonts w:cs="Arial"/>
          <w:i/>
          <w:szCs w:val="20"/>
        </w:rPr>
        <w:t>Commission Guidance Regarding Client Commission Practices under Section 28(e) of the Securities Exchange Act of 1934</w:t>
      </w:r>
      <w:r w:rsidRPr="0032426A">
        <w:rPr>
          <w:rFonts w:cs="Arial"/>
          <w:szCs w:val="20"/>
        </w:rPr>
        <w:t xml:space="preserve">, </w:t>
      </w:r>
      <w:r>
        <w:rPr>
          <w:rFonts w:cs="Arial"/>
          <w:i/>
          <w:szCs w:val="20"/>
        </w:rPr>
        <w:t>SEC</w:t>
      </w:r>
      <w:r w:rsidRPr="005A3A8F">
        <w:rPr>
          <w:rFonts w:cs="Arial"/>
          <w:szCs w:val="20"/>
        </w:rPr>
        <w:t xml:space="preserve"> </w:t>
      </w:r>
      <w:r w:rsidRPr="005A3A8F">
        <w:rPr>
          <w:rFonts w:cs="Arial"/>
          <w:i/>
          <w:szCs w:val="20"/>
        </w:rPr>
        <w:t>Release 34-54165</w:t>
      </w:r>
      <w:r w:rsidRPr="005A3A8F">
        <w:rPr>
          <w:rFonts w:cs="Arial"/>
          <w:szCs w:val="20"/>
        </w:rPr>
        <w:t xml:space="preserve"> (July 24, 2006).</w:t>
      </w:r>
      <w:r>
        <w:rPr>
          <w:rFonts w:cs="Arial"/>
          <w:szCs w:val="20"/>
        </w:rPr>
        <w:t xml:space="preserve"> Foreign financial regulators may impose restrictions on the use of soft dollars that differ from the guidelines included in Section 28(e) of the Exchange Act.</w:t>
      </w:r>
    </w:p>
    <w:p w14:paraId="39E81ABB" w14:textId="77777777" w:rsidR="0058665F" w:rsidRPr="005A3A8F" w:rsidRDefault="0058665F" w:rsidP="0058665F">
      <w:pPr>
        <w:rPr>
          <w:rFonts w:cs="Arial"/>
          <w:szCs w:val="20"/>
        </w:rPr>
      </w:pPr>
    </w:p>
    <w:p w14:paraId="18564650" w14:textId="77777777" w:rsidR="0058665F" w:rsidRPr="005A3A8F" w:rsidRDefault="0058665F" w:rsidP="0058665F">
      <w:r w:rsidRPr="005A3A8F">
        <w:rPr>
          <w:u w:val="single"/>
        </w:rPr>
        <w:t>Trade Aggregation and Trade Allocation</w:t>
      </w:r>
      <w:r w:rsidRPr="005A3A8F">
        <w:t xml:space="preserve"> – Section 206 of the Advisers Act requires an investment adviser to allocate trades in a manner that is fair to all clients and consistent with the adviser’s disclosures. In a letter issued to </w:t>
      </w:r>
      <w:r w:rsidRPr="00280ADE">
        <w:rPr>
          <w:rFonts w:cs="Arial"/>
          <w:i/>
          <w:szCs w:val="20"/>
        </w:rPr>
        <w:t>SMC Capital, Inc.</w:t>
      </w:r>
      <w:r w:rsidRPr="005A3A8F">
        <w:t xml:space="preserve"> (September 5, 1995), the SEC’s Division of Investment Management indicated that a registered investment adviser could aggregate trades on behalf of all types of advisory clients (including separately managed accounts, mutual funds, pooled investment vehicles, and accounts in which advisory personnel maintain an ownership interest) provided that certain conditions were met. Among other things, the staff indicated that an adviser should (</w:t>
      </w:r>
      <w:proofErr w:type="spellStart"/>
      <w:r w:rsidRPr="005A3A8F">
        <w:t>i</w:t>
      </w:r>
      <w:proofErr w:type="spellEnd"/>
      <w:r w:rsidRPr="005A3A8F">
        <w:t xml:space="preserve">) disclose its practice of aggregating trades to all current and prospective clients, (ii) avoid favoring any client over any other client, and (iii) ensure all clients pay the average price as well as their pro-rata share of any commissions. </w:t>
      </w:r>
    </w:p>
    <w:p w14:paraId="40D41E63" w14:textId="77777777" w:rsidR="0058665F" w:rsidRPr="005A3A8F" w:rsidRDefault="0058665F" w:rsidP="0058665F">
      <w:pPr>
        <w:rPr>
          <w:rFonts w:cs="Arial"/>
          <w:szCs w:val="20"/>
        </w:rPr>
      </w:pPr>
    </w:p>
    <w:p w14:paraId="249EA611" w14:textId="77777777" w:rsidR="0058665F" w:rsidRPr="005A3A8F" w:rsidRDefault="0058665F" w:rsidP="0058665F">
      <w:pPr>
        <w:rPr>
          <w:rFonts w:cs="Arial"/>
          <w:szCs w:val="20"/>
        </w:rPr>
      </w:pPr>
      <w:r w:rsidRPr="005A3A8F">
        <w:rPr>
          <w:rFonts w:cs="Arial"/>
          <w:szCs w:val="20"/>
          <w:u w:val="single"/>
        </w:rPr>
        <w:lastRenderedPageBreak/>
        <w:t>Directed Brokerage</w:t>
      </w:r>
      <w:r w:rsidRPr="005A3A8F">
        <w:rPr>
          <w:rFonts w:cs="Arial"/>
          <w:szCs w:val="20"/>
        </w:rPr>
        <w:t xml:space="preserve"> – When certain clients restrict the trading discretion of an adviser, the adviser may delay implementing transactions for such clients until orders are executed for other clients without restrictions. The SEC indicated</w:t>
      </w:r>
      <w:r>
        <w:rPr>
          <w:rFonts w:cs="Arial"/>
          <w:szCs w:val="20"/>
        </w:rPr>
        <w:t xml:space="preserve"> in</w:t>
      </w:r>
      <w:r w:rsidRPr="005A3A8F">
        <w:rPr>
          <w:rFonts w:cs="Arial"/>
          <w:szCs w:val="20"/>
        </w:rPr>
        <w:t xml:space="preserve"> </w:t>
      </w:r>
      <w:r w:rsidRPr="00E66A6A">
        <w:rPr>
          <w:rFonts w:cs="Arial"/>
          <w:i/>
          <w:szCs w:val="20"/>
        </w:rPr>
        <w:t>In the Matter of Mark Bailey &amp; Co.</w:t>
      </w:r>
      <w:r w:rsidRPr="00B71E3C">
        <w:t xml:space="preserve">, </w:t>
      </w:r>
      <w:r w:rsidRPr="005A3A8F">
        <w:rPr>
          <w:rFonts w:cs="Arial"/>
          <w:i/>
          <w:szCs w:val="20"/>
        </w:rPr>
        <w:t>Release IA-1105</w:t>
      </w:r>
      <w:r w:rsidRPr="005A3A8F">
        <w:rPr>
          <w:rFonts w:cs="Arial"/>
          <w:szCs w:val="20"/>
        </w:rPr>
        <w:t xml:space="preserve"> </w:t>
      </w:r>
      <w:r>
        <w:rPr>
          <w:rFonts w:cs="Arial"/>
          <w:szCs w:val="20"/>
        </w:rPr>
        <w:t>(</w:t>
      </w:r>
      <w:r w:rsidRPr="005A3A8F">
        <w:rPr>
          <w:rFonts w:cs="Arial"/>
          <w:szCs w:val="20"/>
        </w:rPr>
        <w:t>February 24, 1988) that an adviser still has obligations relating to execution quality and disclosure when clients direct the brokerage activities of the adviser, including an obligation to disclose the potential loss of benefits associated with trade aggregation.</w:t>
      </w:r>
    </w:p>
    <w:p w14:paraId="75559571" w14:textId="77777777" w:rsidR="0058665F" w:rsidRPr="005A3A8F" w:rsidRDefault="0058665F" w:rsidP="0058665F">
      <w:pPr>
        <w:autoSpaceDE w:val="0"/>
        <w:autoSpaceDN w:val="0"/>
        <w:adjustRightInd w:val="0"/>
        <w:spacing w:line="277" w:lineRule="atLeast"/>
        <w:rPr>
          <w:rFonts w:cs="Arial"/>
          <w:szCs w:val="20"/>
        </w:rPr>
      </w:pPr>
    </w:p>
    <w:p w14:paraId="6F5303E3" w14:textId="77777777" w:rsidR="0058665F" w:rsidRPr="005A3A8F" w:rsidRDefault="0058665F" w:rsidP="0058665F">
      <w:pPr>
        <w:rPr>
          <w:rFonts w:cs="Arial"/>
          <w:szCs w:val="20"/>
        </w:rPr>
      </w:pPr>
      <w:r w:rsidRPr="005A3A8F">
        <w:rPr>
          <w:rFonts w:cs="Arial"/>
          <w:szCs w:val="20"/>
          <w:u w:val="single"/>
        </w:rPr>
        <w:t>Trade Errors</w:t>
      </w:r>
      <w:r w:rsidRPr="005A3A8F">
        <w:rPr>
          <w:rFonts w:cs="Arial"/>
          <w:szCs w:val="20"/>
        </w:rPr>
        <w:t xml:space="preserve"> – The Advisers Act does not specifically address trade error corrections, and the SEC staff has provided only limited guidance regarding the correction of trade errors. However, in a letter to </w:t>
      </w:r>
      <w:r w:rsidRPr="00DD1A2A">
        <w:rPr>
          <w:rFonts w:cs="Arial"/>
          <w:i/>
          <w:szCs w:val="20"/>
        </w:rPr>
        <w:t>Charles Lerner</w:t>
      </w:r>
      <w:r w:rsidRPr="00DD1A2A">
        <w:rPr>
          <w:rFonts w:cs="Arial"/>
          <w:szCs w:val="20"/>
        </w:rPr>
        <w:t xml:space="preserve"> </w:t>
      </w:r>
      <w:r w:rsidRPr="005A3A8F">
        <w:rPr>
          <w:rFonts w:cs="Arial"/>
          <w:szCs w:val="20"/>
        </w:rPr>
        <w:t>(October 25, 1988)</w:t>
      </w:r>
      <w:r>
        <w:rPr>
          <w:rFonts w:cs="Arial"/>
          <w:szCs w:val="20"/>
        </w:rPr>
        <w:t xml:space="preserve"> (“</w:t>
      </w:r>
      <w:r w:rsidRPr="003E73A4">
        <w:rPr>
          <w:rFonts w:cs="Arial"/>
          <w:i/>
          <w:szCs w:val="20"/>
        </w:rPr>
        <w:t>Lerner</w:t>
      </w:r>
      <w:r>
        <w:rPr>
          <w:rFonts w:cs="Arial"/>
          <w:szCs w:val="20"/>
        </w:rPr>
        <w:t>”)</w:t>
      </w:r>
      <w:r w:rsidRPr="005A3A8F">
        <w:rPr>
          <w:rFonts w:cs="Arial"/>
          <w:szCs w:val="20"/>
        </w:rPr>
        <w:t>, the SEC staff indicated that an investment adviser should bear any loss associated with correcting a trade error in a client account.</w:t>
      </w:r>
      <w:r>
        <w:rPr>
          <w:rFonts w:cs="Arial"/>
          <w:szCs w:val="20"/>
        </w:rPr>
        <w:t xml:space="preserve"> Notably, </w:t>
      </w:r>
      <w:r w:rsidRPr="00737030">
        <w:rPr>
          <w:rFonts w:cs="Arial"/>
          <w:i/>
          <w:szCs w:val="20"/>
        </w:rPr>
        <w:t>Lerner</w:t>
      </w:r>
      <w:r>
        <w:rPr>
          <w:rFonts w:cs="Arial"/>
          <w:szCs w:val="20"/>
        </w:rPr>
        <w:t xml:space="preserve"> does not address instances in which an adviser affirmatively discloses a policy of having clients bear the costs associated with trade errors. </w:t>
      </w:r>
    </w:p>
    <w:p w14:paraId="5EC914C6" w14:textId="77777777" w:rsidR="0058665F" w:rsidRPr="005A3A8F" w:rsidRDefault="0058665F" w:rsidP="0058665F">
      <w:pPr>
        <w:rPr>
          <w:rFonts w:cs="Arial"/>
          <w:szCs w:val="20"/>
        </w:rPr>
      </w:pPr>
    </w:p>
    <w:p w14:paraId="632ECCC4" w14:textId="77777777" w:rsidR="0058665F" w:rsidRPr="005A3A8F" w:rsidRDefault="0058665F" w:rsidP="0058665F">
      <w:pPr>
        <w:rPr>
          <w:rFonts w:cs="Arial"/>
          <w:szCs w:val="20"/>
        </w:rPr>
      </w:pPr>
      <w:r w:rsidRPr="005A3A8F">
        <w:rPr>
          <w:rFonts w:cs="Arial"/>
          <w:szCs w:val="20"/>
          <w:u w:val="single"/>
        </w:rPr>
        <w:t>Principal Trades</w:t>
      </w:r>
      <w:r w:rsidRPr="005A3A8F">
        <w:rPr>
          <w:rFonts w:cs="Arial"/>
          <w:szCs w:val="20"/>
        </w:rPr>
        <w:t xml:space="preserve"> – Section 206(3) of the Advisers Act prohibits an adviser and its affiliates from acting as the counterparty to an advisory client’s trade unless the client (</w:t>
      </w:r>
      <w:proofErr w:type="spellStart"/>
      <w:r w:rsidRPr="005A3A8F">
        <w:rPr>
          <w:rFonts w:cs="Arial"/>
          <w:szCs w:val="20"/>
        </w:rPr>
        <w:t>i</w:t>
      </w:r>
      <w:proofErr w:type="spellEnd"/>
      <w:r w:rsidRPr="005A3A8F">
        <w:rPr>
          <w:rFonts w:cs="Arial"/>
          <w:szCs w:val="20"/>
        </w:rPr>
        <w:t>) receives written disclosure about the capacity in which the adviser is acting and (ii) consents to the transaction prior to the transaction’s completion. Separate written disclosures must be provided</w:t>
      </w:r>
      <w:r>
        <w:rPr>
          <w:rFonts w:cs="Arial"/>
          <w:szCs w:val="20"/>
        </w:rPr>
        <w:t>,</w:t>
      </w:r>
      <w:r w:rsidRPr="005A3A8F">
        <w:rPr>
          <w:rFonts w:cs="Arial"/>
          <w:szCs w:val="20"/>
        </w:rPr>
        <w:t xml:space="preserve"> and informed consent must be obtained with respect to each contemplated principal trade. </w:t>
      </w:r>
    </w:p>
    <w:p w14:paraId="15725711" w14:textId="77777777" w:rsidR="0058665F" w:rsidRPr="005A3A8F" w:rsidRDefault="0058665F" w:rsidP="0058665F">
      <w:pPr>
        <w:rPr>
          <w:rFonts w:cs="Arial"/>
          <w:szCs w:val="20"/>
        </w:rPr>
      </w:pPr>
    </w:p>
    <w:p w14:paraId="5E82F52D" w14:textId="77777777" w:rsidR="0058665F" w:rsidRPr="005A3A8F" w:rsidRDefault="0058665F" w:rsidP="0058665F">
      <w:pPr>
        <w:rPr>
          <w:rFonts w:cs="Arial"/>
          <w:szCs w:val="20"/>
        </w:rPr>
      </w:pPr>
      <w:r w:rsidRPr="005A3A8F">
        <w:rPr>
          <w:rFonts w:cs="Arial"/>
          <w:szCs w:val="20"/>
          <w:u w:val="single"/>
        </w:rPr>
        <w:t>Agency Cross Trades</w:t>
      </w:r>
      <w:r w:rsidRPr="005A3A8F">
        <w:rPr>
          <w:rFonts w:cs="Arial"/>
          <w:szCs w:val="20"/>
        </w:rPr>
        <w:t xml:space="preserve"> – Agency cross trades involve an adviser or its affiliates acting as a broker-dealer with respect to a transaction that they recommend to an advisory client. Investment advisers may generally engage in agency cross trades if they (</w:t>
      </w:r>
      <w:proofErr w:type="spellStart"/>
      <w:r w:rsidRPr="005A3A8F">
        <w:rPr>
          <w:rFonts w:cs="Arial"/>
          <w:szCs w:val="20"/>
        </w:rPr>
        <w:t>i</w:t>
      </w:r>
      <w:proofErr w:type="spellEnd"/>
      <w:r w:rsidRPr="005A3A8F">
        <w:rPr>
          <w:rFonts w:cs="Arial"/>
          <w:szCs w:val="20"/>
        </w:rPr>
        <w:t>) meet the trade-by-trade disclosure and consent requirements described in Section 206(3) or (ii) obtain prospective consent and provide certain trade-by-trade and periodic disclosures, as described in Rule 206(3)-2.</w:t>
      </w:r>
    </w:p>
    <w:p w14:paraId="61049C8F" w14:textId="77777777" w:rsidR="0058665F" w:rsidRPr="005A3A8F" w:rsidRDefault="0058665F" w:rsidP="0058665F">
      <w:pPr>
        <w:rPr>
          <w:rFonts w:cs="Arial"/>
          <w:szCs w:val="20"/>
        </w:rPr>
      </w:pPr>
    </w:p>
    <w:p w14:paraId="08F6F24B" w14:textId="77777777" w:rsidR="0058665F" w:rsidRPr="005A3A8F" w:rsidRDefault="0058665F" w:rsidP="0058665F">
      <w:pPr>
        <w:rPr>
          <w:rFonts w:cs="Arial"/>
          <w:szCs w:val="20"/>
        </w:rPr>
      </w:pPr>
      <w:r w:rsidRPr="005A3A8F">
        <w:rPr>
          <w:rFonts w:cs="Arial"/>
          <w:szCs w:val="20"/>
          <w:u w:val="single"/>
        </w:rPr>
        <w:t>Other Cross Trades</w:t>
      </w:r>
      <w:r w:rsidRPr="005A3A8F">
        <w:rPr>
          <w:rFonts w:cs="Arial"/>
          <w:szCs w:val="20"/>
        </w:rPr>
        <w:t xml:space="preserve"> – An adviser is generally not prohibited from instructing an unaffiliated broker-dealer to cross securities between unaffiliated clients’ accounts. However, any such cross trades should be in the best interests of all participating clients and should be placed at prices that the adviser can demonstrate to be fair. Advisers that engage in cross trades should develop written policies and procedures governing this practice.</w:t>
      </w:r>
    </w:p>
    <w:p w14:paraId="04B9E0A5" w14:textId="77777777" w:rsidR="0058665F" w:rsidRPr="005A3A8F" w:rsidRDefault="0058665F" w:rsidP="0058665F">
      <w:pPr>
        <w:rPr>
          <w:rFonts w:cs="Arial"/>
          <w:szCs w:val="20"/>
        </w:rPr>
      </w:pPr>
    </w:p>
    <w:p w14:paraId="69EBD2A9" w14:textId="77777777" w:rsidR="0058665F" w:rsidRPr="005A3A8F" w:rsidRDefault="0058665F" w:rsidP="0058665F">
      <w:pPr>
        <w:rPr>
          <w:rFonts w:cs="Arial"/>
          <w:szCs w:val="20"/>
        </w:rPr>
      </w:pPr>
      <w:r w:rsidRPr="005A3A8F">
        <w:rPr>
          <w:rFonts w:cs="Arial"/>
          <w:szCs w:val="20"/>
          <w:u w:val="single"/>
        </w:rPr>
        <w:t>Other Trading Issues</w:t>
      </w:r>
      <w:r w:rsidRPr="005A3A8F">
        <w:rPr>
          <w:rFonts w:cs="Arial"/>
          <w:szCs w:val="20"/>
        </w:rPr>
        <w:t xml:space="preserve"> – An adviser may engage in myriad other trading practices that warrant formalized policies and procedures and/or comments in connection with ACA’s review.</w:t>
      </w:r>
    </w:p>
    <w:p w14:paraId="16FD8A7E" w14:textId="77777777" w:rsidR="0058665F" w:rsidRPr="005A3A8F" w:rsidRDefault="0058665F" w:rsidP="0058665F">
      <w:pPr>
        <w:rPr>
          <w:rFonts w:cs="Arial"/>
          <w:szCs w:val="20"/>
        </w:rPr>
      </w:pPr>
    </w:p>
    <w:p w14:paraId="17B6C93C"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5A52C4E2" w14:textId="77777777" w:rsidR="0058665F" w:rsidRPr="005A3A8F" w:rsidRDefault="0058665F" w:rsidP="0058665F">
      <w:pPr>
        <w:rPr>
          <w:rFonts w:cs="Arial"/>
          <w:szCs w:val="20"/>
        </w:rPr>
      </w:pPr>
    </w:p>
    <w:p w14:paraId="3457F3E2"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18684967"/>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trading activities resulted in no </w:t>
      </w:r>
      <w:r>
        <w:rPr>
          <w:rFonts w:cs="Arial"/>
          <w:szCs w:val="20"/>
        </w:rPr>
        <w:t>notable issues</w:t>
      </w:r>
      <w:r w:rsidRPr="005A3A8F">
        <w:rPr>
          <w:rFonts w:cs="Arial"/>
          <w:szCs w:val="20"/>
        </w:rPr>
        <w:t xml:space="preserve"> with respect to the following areas: </w:t>
      </w:r>
    </w:p>
    <w:p w14:paraId="2D340084"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163704928"/>
          <w:placeholder>
            <w:docPart w:val="2435EF8E7CC447889839D4D03776C03A"/>
          </w:placeholder>
        </w:sdtPr>
        <w:sdtEndPr/>
        <w:sdtContent>
          <w:r w:rsidRPr="005A3A8F">
            <w:t>XYZ’s</w:t>
          </w:r>
        </w:sdtContent>
      </w:sdt>
      <w:r w:rsidRPr="005A3A8F">
        <w:t xml:space="preserve"> written trading polic</w:t>
      </w:r>
      <w:r>
        <w:t>ies</w:t>
      </w:r>
      <w:r w:rsidRPr="005A3A8F">
        <w:t xml:space="preserve"> and procedures</w:t>
      </w:r>
    </w:p>
    <w:p w14:paraId="3F049282" w14:textId="77777777" w:rsidR="0058665F" w:rsidRPr="005A3A8F" w:rsidRDefault="0058665F" w:rsidP="0058665F">
      <w:pPr>
        <w:pStyle w:val="Bullet1"/>
        <w:spacing w:line="240" w:lineRule="auto"/>
      </w:pPr>
      <w:r w:rsidRPr="005A3A8F">
        <w:t>Maintenance of compliant trade order memoranda</w:t>
      </w:r>
    </w:p>
    <w:p w14:paraId="2D7554CD" w14:textId="77777777" w:rsidR="0058665F" w:rsidRPr="005A3A8F" w:rsidRDefault="0058665F" w:rsidP="0058665F">
      <w:pPr>
        <w:pStyle w:val="Bullet1"/>
        <w:spacing w:line="240" w:lineRule="auto"/>
      </w:pPr>
      <w:r w:rsidRPr="005A3A8F">
        <w:lastRenderedPageBreak/>
        <w:t>Compliance with and fairness of trade allocation and trade aggregation procedures</w:t>
      </w:r>
    </w:p>
    <w:p w14:paraId="09431292" w14:textId="77777777" w:rsidR="0058665F" w:rsidRPr="005A3A8F" w:rsidRDefault="0058665F" w:rsidP="0058665F">
      <w:pPr>
        <w:pStyle w:val="Bullet1"/>
        <w:spacing w:line="240" w:lineRule="auto"/>
      </w:pPr>
      <w:r w:rsidRPr="005A3A8F">
        <w:t>Analysis of best execution capabilities and brokerage practices</w:t>
      </w:r>
    </w:p>
    <w:p w14:paraId="6D2C1333" w14:textId="77777777" w:rsidR="0058665F" w:rsidRPr="005A3A8F" w:rsidRDefault="0058665F" w:rsidP="0058665F">
      <w:pPr>
        <w:pStyle w:val="Bullet1"/>
        <w:spacing w:line="240" w:lineRule="auto"/>
      </w:pPr>
      <w:r w:rsidRPr="005A3A8F">
        <w:t>Analysis of soft dollar arrangements and documentation</w:t>
      </w:r>
    </w:p>
    <w:p w14:paraId="4EE97327" w14:textId="77777777" w:rsidR="0058665F" w:rsidRPr="005A3A8F" w:rsidRDefault="0058665F" w:rsidP="0058665F">
      <w:pPr>
        <w:pStyle w:val="Bullet1"/>
        <w:spacing w:line="240" w:lineRule="auto"/>
      </w:pPr>
      <w:r w:rsidRPr="005A3A8F">
        <w:t>Treatment and disclosure of trade errors</w:t>
      </w:r>
    </w:p>
    <w:p w14:paraId="6CF38119" w14:textId="77777777" w:rsidR="0058665F" w:rsidRDefault="0058665F" w:rsidP="0058665F">
      <w:pPr>
        <w:pStyle w:val="Bullet1"/>
        <w:spacing w:line="240" w:lineRule="auto"/>
      </w:pPr>
      <w:r>
        <w:t>Handling</w:t>
      </w:r>
      <w:r w:rsidRPr="005A3A8F">
        <w:t xml:space="preserve"> of principal and cross trades</w:t>
      </w:r>
    </w:p>
    <w:p w14:paraId="54AC856E" w14:textId="77777777" w:rsidR="0058665F" w:rsidRPr="00E365B0" w:rsidRDefault="0058665F" w:rsidP="0058665F">
      <w:pPr>
        <w:pStyle w:val="Bullet1"/>
        <w:spacing w:line="240" w:lineRule="auto"/>
      </w:pPr>
      <w:r>
        <w:t>Observance of restrictions on short-selling activities</w:t>
      </w:r>
    </w:p>
    <w:p w14:paraId="7987B5C8" w14:textId="77777777" w:rsidR="0058665F" w:rsidRPr="005A3A8F" w:rsidRDefault="0058665F" w:rsidP="0058665F">
      <w:pPr>
        <w:pStyle w:val="Bullet1"/>
        <w:spacing w:line="240" w:lineRule="auto"/>
      </w:pPr>
      <w:r w:rsidRPr="005A3A8F">
        <w:t>Compliance with client-mandated directed brokerage arrangements</w:t>
      </w:r>
    </w:p>
    <w:p w14:paraId="6655BE47"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414523539"/>
          <w:placeholder>
            <w:docPart w:val="2435EF8E7CC447889839D4D03776C03A"/>
          </w:placeholder>
        </w:sdtPr>
        <w:sdtEndPr/>
        <w:sdtContent>
          <w:r w:rsidRPr="005A3A8F">
            <w:rPr>
              <w:rFonts w:cs="Arial"/>
              <w:szCs w:val="20"/>
            </w:rPr>
            <w:t>XYZ’s</w:t>
          </w:r>
        </w:sdtContent>
      </w:sdt>
      <w:r w:rsidRPr="005A3A8F">
        <w:rPr>
          <w:rFonts w:cs="Arial"/>
          <w:szCs w:val="20"/>
        </w:rPr>
        <w:t xml:space="preserve"> trading activities re</w:t>
      </w:r>
      <w:r>
        <w:rPr>
          <w:rFonts w:cs="Arial"/>
          <w:szCs w:val="20"/>
        </w:rPr>
        <w:t xml:space="preserve">sulted in the following </w:t>
      </w:r>
      <w:r w:rsidRPr="00A419CA">
        <w:rPr>
          <w:rFonts w:cs="Arial"/>
          <w:szCs w:val="20"/>
          <w:highlight w:val="yellow"/>
        </w:rPr>
        <w:t xml:space="preserve">&lt;comment </w:t>
      </w:r>
      <w:r>
        <w:rPr>
          <w:rFonts w:cs="Arial"/>
          <w:szCs w:val="20"/>
          <w:highlight w:val="yellow"/>
        </w:rPr>
        <w:t>OR</w:t>
      </w:r>
      <w:r w:rsidRPr="00DD1A2A">
        <w:rPr>
          <w:rFonts w:cs="Arial"/>
          <w:szCs w:val="20"/>
          <w:highlight w:val="yellow"/>
        </w:rPr>
        <w:t xml:space="preserve"> </w:t>
      </w:r>
      <w:r w:rsidRPr="00B71E3C">
        <w:rPr>
          <w:highlight w:val="yellow"/>
        </w:rPr>
        <w:t>comments</w:t>
      </w:r>
      <w:r w:rsidRPr="00DD1A2A">
        <w:rPr>
          <w:rFonts w:cs="Arial"/>
          <w:szCs w:val="20"/>
          <w:highlight w:val="yellow"/>
        </w:rPr>
        <w:t>&gt;</w:t>
      </w:r>
      <w:r>
        <w:rPr>
          <w:rFonts w:cs="Arial"/>
          <w:szCs w:val="20"/>
        </w:rPr>
        <w:t>.</w:t>
      </w:r>
    </w:p>
    <w:p w14:paraId="0271971E"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5D8999F6"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ABF0DE6"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6E850CA4"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0142E97E"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7F04284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62903E92"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02E44EE8" w14:textId="77777777" w:rsidR="0058665F" w:rsidRPr="005A3A8F" w:rsidRDefault="0058665F" w:rsidP="00534EA9">
            <w:pPr>
              <w:rPr>
                <w:rFonts w:cs="Arial"/>
                <w:szCs w:val="20"/>
              </w:rPr>
            </w:pPr>
            <w:r>
              <w:rPr>
                <w:rFonts w:cs="Arial"/>
                <w:szCs w:val="20"/>
              </w:rPr>
              <w:t>C.1</w:t>
            </w:r>
          </w:p>
        </w:tc>
        <w:tc>
          <w:tcPr>
            <w:tcW w:w="2578" w:type="dxa"/>
            <w:tcBorders>
              <w:top w:val="single" w:sz="6" w:space="0" w:color="auto"/>
              <w:left w:val="single" w:sz="4" w:space="0" w:color="auto"/>
              <w:bottom w:val="single" w:sz="6" w:space="0" w:color="auto"/>
              <w:right w:val="single" w:sz="6" w:space="0" w:color="auto"/>
            </w:tcBorders>
            <w:vAlign w:val="center"/>
          </w:tcPr>
          <w:p w14:paraId="0BB3DA4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vAlign w:val="center"/>
          </w:tcPr>
          <w:p w14:paraId="0DC9678F"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02967EEF"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11316995"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52BD61E3" w14:textId="77777777" w:rsidR="0058665F" w:rsidRPr="005A3A8F" w:rsidRDefault="0058665F" w:rsidP="00534EA9">
            <w:pPr>
              <w:rPr>
                <w:rFonts w:cs="Arial"/>
                <w:szCs w:val="20"/>
              </w:rPr>
            </w:pPr>
            <w:r>
              <w:rPr>
                <w:rFonts w:cs="Arial"/>
                <w:szCs w:val="20"/>
              </w:rPr>
              <w:t>C</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46611768"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15CBD7B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482010CD"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1D68F2DD"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2FAC3C31" w14:textId="77777777" w:rsidR="0058665F" w:rsidRPr="005A3A8F" w:rsidRDefault="0058665F" w:rsidP="00534EA9">
            <w:pPr>
              <w:rPr>
                <w:rFonts w:cs="Arial"/>
                <w:szCs w:val="20"/>
              </w:rPr>
            </w:pPr>
            <w:r>
              <w:rPr>
                <w:rFonts w:cs="Arial"/>
                <w:szCs w:val="20"/>
              </w:rPr>
              <w:t>C</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7D8DED14"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48CD0AD5"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7D255CE0"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5E39DAEE" w14:textId="77777777" w:rsidR="0058665F" w:rsidRDefault="0058665F" w:rsidP="0058665F"/>
    <w:p w14:paraId="6C90C3B6" w14:textId="77777777" w:rsidR="0058665F" w:rsidRDefault="0058665F" w:rsidP="0058665F">
      <w:pPr>
        <w:rPr>
          <w:u w:val="single"/>
        </w:rPr>
      </w:pPr>
      <w:r>
        <w:rPr>
          <w:u w:val="single"/>
        </w:rPr>
        <w:br w:type="page"/>
      </w:r>
    </w:p>
    <w:p w14:paraId="08B10280" w14:textId="77777777" w:rsidR="0058665F" w:rsidRPr="00AC67FC" w:rsidRDefault="0058665F" w:rsidP="0058665F">
      <w:pPr>
        <w:pStyle w:val="Heading2"/>
        <w:ind w:left="0" w:firstLine="0"/>
      </w:pPr>
      <w:r w:rsidRPr="00AC67FC">
        <w:lastRenderedPageBreak/>
        <w:t>D.</w:t>
      </w:r>
      <w:r>
        <w:t xml:space="preserve"> </w:t>
      </w:r>
      <w:r w:rsidRPr="00AC67FC">
        <w:t>Code of Ethics and Insider Trading</w:t>
      </w:r>
    </w:p>
    <w:p w14:paraId="09B992D7" w14:textId="77777777" w:rsidR="0058665F" w:rsidRPr="005A3A8F" w:rsidRDefault="0058665F" w:rsidP="0058665F">
      <w:pPr>
        <w:rPr>
          <w:rFonts w:cs="Arial"/>
          <w:szCs w:val="20"/>
        </w:rPr>
      </w:pPr>
      <w:r w:rsidRPr="005A3A8F">
        <w:rPr>
          <w:rFonts w:cs="Arial"/>
          <w:szCs w:val="20"/>
        </w:rPr>
        <w:t>Investment advisers must maintain robust policies and procedures to encourage employees to behave ethically. Employees’ understanding of, and compliance with, such policies and procedures are critically important given the potential ramifications associated with noncompliance. Section 204A of the Advisers Act requires investment advisers to adopt and implement policies and procedures that are reasonably designed to prevent insider trading. Furthermore, Rule 204A-1 requires each registered investment adviser to establish, maintain, and enforce a written code of ethics that addresses certain additional topics. Below is a summary of topics that are typically addressed by an adviser’s code of ethics.</w:t>
      </w:r>
    </w:p>
    <w:p w14:paraId="2F42E745" w14:textId="77777777" w:rsidR="0058665F" w:rsidRPr="005A3A8F" w:rsidRDefault="0058665F" w:rsidP="0058665F">
      <w:pPr>
        <w:rPr>
          <w:rFonts w:cs="Arial"/>
          <w:szCs w:val="20"/>
        </w:rPr>
      </w:pPr>
    </w:p>
    <w:p w14:paraId="34AF1F81" w14:textId="77777777" w:rsidR="0058665F" w:rsidRPr="005A3A8F" w:rsidRDefault="0058665F" w:rsidP="0058665F">
      <w:pPr>
        <w:rPr>
          <w:rFonts w:cs="Arial"/>
          <w:szCs w:val="20"/>
        </w:rPr>
      </w:pPr>
      <w:r w:rsidRPr="005A3A8F">
        <w:rPr>
          <w:rFonts w:cs="Arial"/>
          <w:szCs w:val="20"/>
          <w:u w:val="single"/>
        </w:rPr>
        <w:t>Standards of Business Conduct</w:t>
      </w:r>
      <w:r w:rsidRPr="005A3A8F">
        <w:rPr>
          <w:rFonts w:cs="Arial"/>
          <w:szCs w:val="20"/>
        </w:rPr>
        <w:t xml:space="preserve"> – An adviser’s code of ethics must set forth a standard of business conduct that the adviser requires of its supervised persons. The standard must reflect the fiduciary obligations of the adviser and its supervised persons. </w:t>
      </w:r>
    </w:p>
    <w:p w14:paraId="3D585EBF" w14:textId="77777777" w:rsidR="0058665F" w:rsidRPr="005A3A8F" w:rsidRDefault="0058665F" w:rsidP="0058665F">
      <w:pPr>
        <w:rPr>
          <w:rFonts w:cs="Arial"/>
          <w:szCs w:val="20"/>
        </w:rPr>
      </w:pPr>
    </w:p>
    <w:p w14:paraId="023798C9" w14:textId="77777777" w:rsidR="0058665F" w:rsidRPr="005A3A8F" w:rsidRDefault="0058665F" w:rsidP="0058665F">
      <w:pPr>
        <w:rPr>
          <w:rFonts w:cs="Arial"/>
          <w:szCs w:val="20"/>
        </w:rPr>
      </w:pPr>
      <w:r w:rsidRPr="005A3A8F">
        <w:rPr>
          <w:rFonts w:cs="Arial"/>
          <w:szCs w:val="20"/>
          <w:u w:val="single"/>
        </w:rPr>
        <w:t>Compliance with the Federal Securities Laws</w:t>
      </w:r>
      <w:r w:rsidRPr="005A3A8F">
        <w:rPr>
          <w:rFonts w:cs="Arial"/>
          <w:szCs w:val="20"/>
        </w:rPr>
        <w:t xml:space="preserve"> – An adviser’s code of ethics must require all supervised persons to comply with applicable Federal Securities Laws.</w:t>
      </w:r>
    </w:p>
    <w:p w14:paraId="29ED10DE" w14:textId="77777777" w:rsidR="0058665F" w:rsidRPr="005A3A8F" w:rsidRDefault="0058665F" w:rsidP="0058665F">
      <w:pPr>
        <w:rPr>
          <w:rFonts w:cs="Arial"/>
          <w:szCs w:val="20"/>
        </w:rPr>
      </w:pPr>
    </w:p>
    <w:p w14:paraId="06ACD0D2" w14:textId="77777777" w:rsidR="0058665F" w:rsidRPr="005A3A8F" w:rsidRDefault="0058665F" w:rsidP="0058665F">
      <w:pPr>
        <w:rPr>
          <w:rFonts w:cs="Arial"/>
          <w:szCs w:val="20"/>
        </w:rPr>
      </w:pPr>
      <w:r w:rsidRPr="005A3A8F">
        <w:rPr>
          <w:rFonts w:cs="Arial"/>
          <w:szCs w:val="20"/>
          <w:u w:val="single"/>
        </w:rPr>
        <w:t>Personal Trading</w:t>
      </w:r>
      <w:r w:rsidRPr="005A3A8F">
        <w:rPr>
          <w:rFonts w:cs="Arial"/>
          <w:szCs w:val="20"/>
        </w:rPr>
        <w:t xml:space="preserve"> – An adviser’s code of ethics must require all access persons (as defined by Rule 204A-1) to report, and the adviser to review, certain information about such access persons’ personal securities transactions and holdings. Rule 204A-1 also states that all access persons’ investments in IPOs and private placements must be precleared by the adviser. </w:t>
      </w:r>
    </w:p>
    <w:p w14:paraId="2ED3CD4D" w14:textId="77777777" w:rsidR="0058665F" w:rsidRPr="005A3A8F" w:rsidRDefault="0058665F" w:rsidP="0058665F">
      <w:pPr>
        <w:rPr>
          <w:rFonts w:cs="Arial"/>
          <w:szCs w:val="20"/>
        </w:rPr>
      </w:pPr>
    </w:p>
    <w:p w14:paraId="0E77C19E" w14:textId="77777777" w:rsidR="0058665F" w:rsidRPr="005A3A8F" w:rsidRDefault="0058665F" w:rsidP="0058665F">
      <w:pPr>
        <w:rPr>
          <w:rFonts w:cs="Arial"/>
          <w:szCs w:val="20"/>
        </w:rPr>
      </w:pPr>
      <w:r w:rsidRPr="005A3A8F">
        <w:rPr>
          <w:rFonts w:cs="Arial"/>
          <w:szCs w:val="20"/>
          <w:u w:val="single"/>
        </w:rPr>
        <w:t>Reporting Violations</w:t>
      </w:r>
      <w:r w:rsidRPr="005A3A8F">
        <w:rPr>
          <w:rFonts w:cs="Arial"/>
          <w:szCs w:val="20"/>
        </w:rPr>
        <w:t xml:space="preserve"> – An adviser’s code of ethics must require all supervised persons to report any violations of the code</w:t>
      </w:r>
      <w:r>
        <w:rPr>
          <w:rFonts w:cs="Arial"/>
          <w:szCs w:val="20"/>
        </w:rPr>
        <w:t xml:space="preserve"> of ethics</w:t>
      </w:r>
      <w:r w:rsidRPr="005A3A8F">
        <w:rPr>
          <w:rFonts w:cs="Arial"/>
          <w:szCs w:val="20"/>
        </w:rPr>
        <w:t xml:space="preserve"> to the adviser’s </w:t>
      </w:r>
      <w:r>
        <w:rPr>
          <w:rFonts w:cs="Arial"/>
          <w:szCs w:val="20"/>
        </w:rPr>
        <w:t xml:space="preserve">chief compliance officer (“CCO”) </w:t>
      </w:r>
      <w:r w:rsidRPr="005A3A8F">
        <w:rPr>
          <w:rFonts w:cs="Arial"/>
          <w:szCs w:val="20"/>
        </w:rPr>
        <w:t>or a designee.</w:t>
      </w:r>
    </w:p>
    <w:p w14:paraId="234B782F" w14:textId="77777777" w:rsidR="0058665F" w:rsidRPr="005A3A8F" w:rsidRDefault="0058665F" w:rsidP="0058665F">
      <w:pPr>
        <w:rPr>
          <w:rFonts w:cs="Arial"/>
          <w:szCs w:val="20"/>
        </w:rPr>
      </w:pPr>
    </w:p>
    <w:p w14:paraId="214E55E1" w14:textId="77777777" w:rsidR="0058665F" w:rsidRPr="005A3A8F" w:rsidRDefault="0058665F" w:rsidP="0058665F">
      <w:pPr>
        <w:rPr>
          <w:rFonts w:cs="Arial"/>
          <w:szCs w:val="20"/>
        </w:rPr>
      </w:pPr>
      <w:r w:rsidRPr="005A3A8F">
        <w:rPr>
          <w:rFonts w:cs="Arial"/>
          <w:szCs w:val="20"/>
          <w:u w:val="single"/>
        </w:rPr>
        <w:t>Distribution and Acknowledgement</w:t>
      </w:r>
      <w:r w:rsidRPr="005A3A8F">
        <w:rPr>
          <w:rFonts w:cs="Arial"/>
          <w:szCs w:val="20"/>
        </w:rPr>
        <w:t xml:space="preserve"> – An adviser’s code of ethics must require that the code</w:t>
      </w:r>
      <w:r>
        <w:rPr>
          <w:rFonts w:cs="Arial"/>
          <w:szCs w:val="20"/>
        </w:rPr>
        <w:t xml:space="preserve"> of ethics</w:t>
      </w:r>
      <w:r w:rsidRPr="005A3A8F">
        <w:rPr>
          <w:rFonts w:cs="Arial"/>
          <w:szCs w:val="20"/>
        </w:rPr>
        <w:t xml:space="preserve"> and any amendments be distributed to all supervised persons</w:t>
      </w:r>
      <w:r>
        <w:rPr>
          <w:rFonts w:cs="Arial"/>
          <w:szCs w:val="20"/>
        </w:rPr>
        <w:t xml:space="preserve"> </w:t>
      </w:r>
      <w:r w:rsidRPr="005A3A8F">
        <w:rPr>
          <w:rFonts w:cs="Arial"/>
          <w:szCs w:val="20"/>
        </w:rPr>
        <w:t xml:space="preserve">and that all supervised persons provide a written acknowledgement of their receipt of the code </w:t>
      </w:r>
      <w:r>
        <w:rPr>
          <w:rFonts w:cs="Arial"/>
          <w:szCs w:val="20"/>
        </w:rPr>
        <w:t xml:space="preserve">of ethics </w:t>
      </w:r>
      <w:r w:rsidRPr="005A3A8F">
        <w:rPr>
          <w:rFonts w:cs="Arial"/>
          <w:szCs w:val="20"/>
        </w:rPr>
        <w:t xml:space="preserve">and any amendments. </w:t>
      </w:r>
    </w:p>
    <w:p w14:paraId="5541520F" w14:textId="77777777" w:rsidR="0058665F" w:rsidRPr="005A3A8F" w:rsidRDefault="0058665F" w:rsidP="0058665F">
      <w:pPr>
        <w:rPr>
          <w:rFonts w:cs="Arial"/>
          <w:szCs w:val="20"/>
        </w:rPr>
      </w:pPr>
    </w:p>
    <w:p w14:paraId="45F5E191" w14:textId="77777777" w:rsidR="0058665F" w:rsidRPr="005A3A8F" w:rsidRDefault="0058665F" w:rsidP="0058665F">
      <w:pPr>
        <w:rPr>
          <w:rFonts w:cs="Arial"/>
          <w:szCs w:val="20"/>
        </w:rPr>
      </w:pPr>
      <w:r w:rsidRPr="005A3A8F">
        <w:rPr>
          <w:rFonts w:cs="Arial"/>
          <w:szCs w:val="20"/>
          <w:u w:val="single"/>
        </w:rPr>
        <w:t>Recordkeeping</w:t>
      </w:r>
      <w:r w:rsidRPr="005A3A8F">
        <w:rPr>
          <w:rFonts w:cs="Arial"/>
          <w:szCs w:val="20"/>
        </w:rPr>
        <w:t xml:space="preserve"> – Rule 204-2 contains certain recordkeeping requirements associated with an adviser’s code of ethics. Specifically, paragraphs (a)(12) and (a)(13) require an adviser to keep its code of ethics and any amendments, documentation associated with any violation of the code</w:t>
      </w:r>
      <w:r>
        <w:rPr>
          <w:rFonts w:cs="Arial"/>
          <w:szCs w:val="20"/>
        </w:rPr>
        <w:t xml:space="preserve"> of ethics</w:t>
      </w:r>
      <w:r w:rsidRPr="005A3A8F">
        <w:rPr>
          <w:rFonts w:cs="Arial"/>
          <w:szCs w:val="20"/>
        </w:rPr>
        <w:t xml:space="preserve">, supervised persons’ acknowledgements of receipt, a list of current and former access persons and their associated personal trading reports, and documentation associated with IPO and private placement preclearance requests. </w:t>
      </w:r>
    </w:p>
    <w:p w14:paraId="04DB4288" w14:textId="77777777" w:rsidR="0058665F" w:rsidRPr="005A3A8F" w:rsidRDefault="0058665F" w:rsidP="0058665F">
      <w:pPr>
        <w:rPr>
          <w:rFonts w:cs="Arial"/>
          <w:szCs w:val="20"/>
        </w:rPr>
      </w:pPr>
    </w:p>
    <w:p w14:paraId="6A94207D" w14:textId="77777777" w:rsidR="0058665F" w:rsidRPr="005A3A8F" w:rsidRDefault="0058665F" w:rsidP="0058665F">
      <w:pPr>
        <w:rPr>
          <w:rFonts w:cs="Arial"/>
          <w:szCs w:val="20"/>
        </w:rPr>
      </w:pPr>
      <w:r w:rsidRPr="005A3A8F">
        <w:rPr>
          <w:rFonts w:cs="Arial"/>
          <w:szCs w:val="20"/>
          <w:u w:val="single"/>
        </w:rPr>
        <w:t>Insider Trading</w:t>
      </w:r>
      <w:r w:rsidRPr="005A3A8F">
        <w:rPr>
          <w:rFonts w:cs="Arial"/>
          <w:szCs w:val="20"/>
        </w:rPr>
        <w:t xml:space="preserve"> – Investment advisers must adopt and implement policies and procedures that are reasonably designed to prevent insider trading. Many investment advisers incorporate such policies and procedures into their codes of ethics. </w:t>
      </w:r>
    </w:p>
    <w:p w14:paraId="4FAF4762" w14:textId="77777777" w:rsidR="0058665F" w:rsidRPr="005A3A8F" w:rsidRDefault="0058665F" w:rsidP="0058665F">
      <w:pPr>
        <w:rPr>
          <w:rFonts w:cs="Arial"/>
          <w:szCs w:val="20"/>
        </w:rPr>
      </w:pPr>
    </w:p>
    <w:p w14:paraId="12524AA1" w14:textId="77777777" w:rsidR="0058665F" w:rsidRPr="005A3A8F" w:rsidRDefault="0058665F" w:rsidP="0058665F">
      <w:pPr>
        <w:rPr>
          <w:rFonts w:cs="Arial"/>
          <w:szCs w:val="20"/>
        </w:rPr>
      </w:pPr>
      <w:r w:rsidRPr="005A3A8F">
        <w:rPr>
          <w:rFonts w:cs="Arial"/>
          <w:szCs w:val="20"/>
          <w:u w:val="single"/>
        </w:rPr>
        <w:t>Other Code of Ethics Issues</w:t>
      </w:r>
      <w:r w:rsidRPr="005A3A8F">
        <w:rPr>
          <w:rFonts w:cs="Arial"/>
          <w:szCs w:val="20"/>
        </w:rPr>
        <w:t xml:space="preserve"> – Many investment advisers include policies and procedures governing gifts, entertainment, and outside business activities in their codes of ethics because of the regulatory risks and conflicts of interest that may be associated with such activities. </w:t>
      </w:r>
      <w:proofErr w:type="gramStart"/>
      <w:r w:rsidRPr="005A3A8F">
        <w:rPr>
          <w:rFonts w:cs="Arial"/>
          <w:szCs w:val="20"/>
        </w:rPr>
        <w:t xml:space="preserve">In particular, </w:t>
      </w:r>
      <w:r w:rsidRPr="005A3A8F">
        <w:rPr>
          <w:rFonts w:cs="Arial"/>
          <w:szCs w:val="20"/>
        </w:rPr>
        <w:lastRenderedPageBreak/>
        <w:t>Rule</w:t>
      </w:r>
      <w:proofErr w:type="gramEnd"/>
      <w:r w:rsidRPr="005A3A8F">
        <w:rPr>
          <w:rFonts w:cs="Arial"/>
          <w:szCs w:val="20"/>
        </w:rPr>
        <w:t xml:space="preserve"> 2</w:t>
      </w:r>
      <w:r>
        <w:rPr>
          <w:rFonts w:cs="Arial"/>
          <w:szCs w:val="20"/>
        </w:rPr>
        <w:t xml:space="preserve">06(4)-5 may limit an adviser’s </w:t>
      </w:r>
      <w:r w:rsidRPr="005A3A8F">
        <w:rPr>
          <w:rFonts w:cs="Arial"/>
          <w:szCs w:val="20"/>
        </w:rPr>
        <w:t xml:space="preserve">ability to generate fees from state or local government entities if the adviser or its employees have made certain kinds of political contributions or engaged in related political fundraising. </w:t>
      </w:r>
    </w:p>
    <w:p w14:paraId="7A05B5A9" w14:textId="77777777" w:rsidR="0058665F" w:rsidRPr="005A3A8F" w:rsidRDefault="0058665F" w:rsidP="0058665F">
      <w:pPr>
        <w:rPr>
          <w:rFonts w:cs="Arial"/>
          <w:szCs w:val="20"/>
        </w:rPr>
      </w:pPr>
    </w:p>
    <w:p w14:paraId="481716EB"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38D71F65" w14:textId="77777777" w:rsidR="0058665F" w:rsidRPr="005A3A8F" w:rsidRDefault="0058665F" w:rsidP="0058665F">
      <w:pPr>
        <w:rPr>
          <w:rFonts w:cs="Arial"/>
          <w:szCs w:val="20"/>
        </w:rPr>
      </w:pPr>
    </w:p>
    <w:p w14:paraId="2FDC405B"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521131997"/>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personal securities trading, political donations, </w:t>
      </w:r>
      <w:proofErr w:type="gramStart"/>
      <w:r w:rsidRPr="005A3A8F">
        <w:rPr>
          <w:rFonts w:cs="Arial"/>
          <w:szCs w:val="20"/>
        </w:rPr>
        <w:t>gifts</w:t>
      </w:r>
      <w:proofErr w:type="gramEnd"/>
      <w:r w:rsidRPr="005A3A8F">
        <w:rPr>
          <w:rFonts w:cs="Arial"/>
          <w:szCs w:val="20"/>
        </w:rPr>
        <w:t xml:space="preserve"> and entertainment, outside business activities, and material nonpublic information </w:t>
      </w:r>
      <w:r>
        <w:rPr>
          <w:rFonts w:cs="Arial"/>
          <w:szCs w:val="20"/>
        </w:rPr>
        <w:t xml:space="preserve">(“MNPI”) </w:t>
      </w:r>
      <w:r w:rsidRPr="005A3A8F">
        <w:rPr>
          <w:rFonts w:cs="Arial"/>
          <w:szCs w:val="20"/>
        </w:rPr>
        <w:t xml:space="preserve">resulted in no </w:t>
      </w:r>
      <w:r>
        <w:rPr>
          <w:rFonts w:cs="Arial"/>
          <w:szCs w:val="20"/>
        </w:rPr>
        <w:t>notable issues</w:t>
      </w:r>
      <w:r w:rsidRPr="005A3A8F">
        <w:rPr>
          <w:rFonts w:cs="Arial"/>
          <w:szCs w:val="20"/>
        </w:rPr>
        <w:t xml:space="preserve"> with </w:t>
      </w:r>
      <w:r>
        <w:rPr>
          <w:rFonts w:cs="Arial"/>
          <w:szCs w:val="20"/>
        </w:rPr>
        <w:t>respect to the following areas</w:t>
      </w:r>
      <w:r w:rsidRPr="005A3A8F">
        <w:rPr>
          <w:rFonts w:cs="Arial"/>
          <w:szCs w:val="20"/>
        </w:rPr>
        <w:t xml:space="preserve">: </w:t>
      </w:r>
    </w:p>
    <w:p w14:paraId="2F9DB4A8" w14:textId="77777777" w:rsidR="0058665F" w:rsidRPr="005A3A8F" w:rsidRDefault="0058665F" w:rsidP="0058665F">
      <w:pPr>
        <w:pStyle w:val="Bullet1"/>
        <w:keepNext/>
        <w:spacing w:line="240" w:lineRule="auto"/>
      </w:pPr>
      <w:r w:rsidRPr="005A3A8F">
        <w:t xml:space="preserve">Adequacy of </w:t>
      </w:r>
      <w:sdt>
        <w:sdtPr>
          <w:alias w:val="Client acronym possessive"/>
          <w:tag w:val="Client-acronym-possessive"/>
          <w:id w:val="-1431501022"/>
          <w:placeholder>
            <w:docPart w:val="2435EF8E7CC447889839D4D03776C03A"/>
          </w:placeholder>
        </w:sdtPr>
        <w:sdtEndPr/>
        <w:sdtContent>
          <w:r w:rsidRPr="005A3A8F">
            <w:t>XYZ’s</w:t>
          </w:r>
        </w:sdtContent>
      </w:sdt>
      <w:r w:rsidRPr="005A3A8F">
        <w:t xml:space="preserve"> written </w:t>
      </w:r>
      <w:r>
        <w:t>C</w:t>
      </w:r>
      <w:r w:rsidRPr="005A3A8F">
        <w:t xml:space="preserve">ode of </w:t>
      </w:r>
      <w:r>
        <w:t>E</w:t>
      </w:r>
      <w:r w:rsidRPr="005A3A8F">
        <w:t>thics</w:t>
      </w:r>
      <w:r>
        <w:t xml:space="preserve"> (“Code”) </w:t>
      </w:r>
      <w:r w:rsidRPr="005A3A8F">
        <w:t>and related policies and procedures</w:t>
      </w:r>
    </w:p>
    <w:p w14:paraId="50286374"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697690704"/>
          <w:placeholder>
            <w:docPart w:val="2435EF8E7CC447889839D4D03776C03A"/>
          </w:placeholder>
        </w:sdtPr>
        <w:sdtEndPr/>
        <w:sdtContent>
          <w:r w:rsidRPr="005A3A8F">
            <w:t>XYZ’s</w:t>
          </w:r>
        </w:sdtContent>
      </w:sdt>
      <w:r w:rsidRPr="005A3A8F">
        <w:t xml:space="preserve"> written insider trading polic</w:t>
      </w:r>
      <w:r>
        <w:t>ies</w:t>
      </w:r>
      <w:r w:rsidRPr="005A3A8F">
        <w:t xml:space="preserve"> and procedures</w:t>
      </w:r>
      <w:r>
        <w:t xml:space="preserve"> and related policies (such as processes to evaluate research providers, interactions with value-added investors, and use of expert networks, alternative data, and virtual data rooms)</w:t>
      </w:r>
    </w:p>
    <w:p w14:paraId="387C2B7D" w14:textId="77777777" w:rsidR="0058665F" w:rsidRDefault="0058665F" w:rsidP="0058665F">
      <w:pPr>
        <w:pStyle w:val="Bullet1"/>
        <w:spacing w:line="240" w:lineRule="auto"/>
      </w:pPr>
      <w:r w:rsidRPr="005A3A8F">
        <w:t xml:space="preserve">Documentation regarding employees’ receipt and understanding of </w:t>
      </w:r>
      <w:sdt>
        <w:sdtPr>
          <w:alias w:val="Client acronym possessive"/>
          <w:tag w:val="Client-acronym-possessive"/>
          <w:id w:val="1274905051"/>
          <w:placeholder>
            <w:docPart w:val="2435EF8E7CC447889839D4D03776C03A"/>
          </w:placeholder>
        </w:sdtPr>
        <w:sdtEndPr/>
        <w:sdtContent>
          <w:r w:rsidRPr="005A3A8F">
            <w:t>XYZ’s</w:t>
          </w:r>
        </w:sdtContent>
      </w:sdt>
      <w:r w:rsidRPr="005A3A8F">
        <w:t xml:space="preserve"> </w:t>
      </w:r>
      <w:r>
        <w:t>Code</w:t>
      </w:r>
    </w:p>
    <w:p w14:paraId="0E9D25CB" w14:textId="77777777" w:rsidR="0058665F" w:rsidRPr="005A3A8F" w:rsidRDefault="0058665F" w:rsidP="0058665F">
      <w:pPr>
        <w:pStyle w:val="Bullet1"/>
        <w:spacing w:line="240" w:lineRule="auto"/>
      </w:pPr>
      <w:r>
        <w:t xml:space="preserve">Maintenance of </w:t>
      </w:r>
      <w:sdt>
        <w:sdtPr>
          <w:alias w:val="Client acronym possessive"/>
          <w:tag w:val="Client-acronym-possessive"/>
          <w:id w:val="-405457856"/>
          <w:placeholder>
            <w:docPart w:val="2435EF8E7CC447889839D4D03776C03A"/>
          </w:placeholder>
        </w:sdtPr>
        <w:sdtEndPr/>
        <w:sdtContent>
          <w:r>
            <w:t>XYZ’s</w:t>
          </w:r>
        </w:sdtContent>
      </w:sdt>
      <w:r>
        <w:t xml:space="preserve"> Code of Ethics violations log</w:t>
      </w:r>
    </w:p>
    <w:p w14:paraId="3DBF85E2" w14:textId="77777777" w:rsidR="0058665F" w:rsidRDefault="0058665F" w:rsidP="0058665F">
      <w:pPr>
        <w:pStyle w:val="Bullet1"/>
        <w:spacing w:line="240" w:lineRule="auto"/>
      </w:pPr>
      <w:r w:rsidRPr="005A3A8F">
        <w:t xml:space="preserve">Personal securities transaction reporting by employees (e.g., initial and annual holdings </w:t>
      </w:r>
      <w:proofErr w:type="gramStart"/>
      <w:r w:rsidRPr="005A3A8F">
        <w:t>reports</w:t>
      </w:r>
      <w:proofErr w:type="gramEnd"/>
      <w:r w:rsidRPr="005A3A8F">
        <w:t xml:space="preserve">, quarterly transaction reports, trade preclearance requests, </w:t>
      </w:r>
      <w:r>
        <w:t>exempt account documentation</w:t>
      </w:r>
      <w:r w:rsidRPr="005A3A8F">
        <w:t>)</w:t>
      </w:r>
    </w:p>
    <w:p w14:paraId="777FFE39" w14:textId="77777777" w:rsidR="0058665F" w:rsidRPr="005A3A8F" w:rsidRDefault="0058665F" w:rsidP="0058665F">
      <w:pPr>
        <w:pStyle w:val="Bullet1"/>
        <w:spacing w:line="240" w:lineRule="auto"/>
      </w:pPr>
      <w:r>
        <w:t>Maintenance of restricted, watch, and/or gray lists</w:t>
      </w:r>
    </w:p>
    <w:p w14:paraId="0448C9B8" w14:textId="77777777" w:rsidR="0058665F" w:rsidRPr="005A3A8F" w:rsidRDefault="0058665F" w:rsidP="0058665F">
      <w:pPr>
        <w:pStyle w:val="Bullet1"/>
        <w:spacing w:line="240" w:lineRule="auto"/>
      </w:pPr>
      <w:r w:rsidRPr="005A3A8F">
        <w:t>Political contributions and fundraising</w:t>
      </w:r>
    </w:p>
    <w:p w14:paraId="776F58CE" w14:textId="77777777" w:rsidR="0058665F" w:rsidRPr="005A3A8F" w:rsidRDefault="0058665F" w:rsidP="0058665F">
      <w:pPr>
        <w:pStyle w:val="Bullet1"/>
        <w:spacing w:line="240" w:lineRule="auto"/>
      </w:pPr>
      <w:r w:rsidRPr="005A3A8F">
        <w:t>Gifts and entertainment</w:t>
      </w:r>
    </w:p>
    <w:p w14:paraId="05AEC330" w14:textId="77777777" w:rsidR="0058665F" w:rsidRPr="005A3A8F" w:rsidRDefault="0058665F" w:rsidP="0058665F">
      <w:pPr>
        <w:pStyle w:val="Bullet1"/>
        <w:spacing w:line="240" w:lineRule="auto"/>
      </w:pPr>
      <w:r w:rsidRPr="005A3A8F">
        <w:t>Outside business activities</w:t>
      </w:r>
    </w:p>
    <w:p w14:paraId="1C82AEBA" w14:textId="77777777" w:rsidR="0058665F" w:rsidRDefault="0058665F" w:rsidP="0058665F">
      <w:pPr>
        <w:pStyle w:val="Bullet1"/>
        <w:spacing w:line="240" w:lineRule="auto"/>
      </w:pPr>
      <w:r w:rsidRPr="005A3A8F">
        <w:t xml:space="preserve">Protection of </w:t>
      </w:r>
      <w:r>
        <w:t>MNPI</w:t>
      </w:r>
    </w:p>
    <w:p w14:paraId="5C75E871"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2040384842"/>
          <w:placeholder>
            <w:docPart w:val="2435EF8E7CC447889839D4D03776C03A"/>
          </w:placeholder>
        </w:sdtPr>
        <w:sdtEndPr/>
        <w:sdtContent>
          <w:r>
            <w:rPr>
              <w:rFonts w:cs="Arial"/>
              <w:szCs w:val="20"/>
            </w:rPr>
            <w:t>XYZ’s</w:t>
          </w:r>
        </w:sdtContent>
      </w:sdt>
      <w:r>
        <w:rPr>
          <w:rFonts w:cs="Arial"/>
          <w:szCs w:val="20"/>
        </w:rPr>
        <w:t xml:space="preserve"> Code and related compliance matters </w:t>
      </w:r>
      <w:r w:rsidRPr="005A3A8F">
        <w:rPr>
          <w:rFonts w:cs="Arial"/>
          <w:szCs w:val="20"/>
        </w:rPr>
        <w:t>re</w:t>
      </w:r>
      <w:r>
        <w:rPr>
          <w:rFonts w:cs="Arial"/>
          <w:szCs w:val="20"/>
        </w:rPr>
        <w:t xml:space="preserve">sulted in the following </w:t>
      </w:r>
      <w:r>
        <w:rPr>
          <w:rFonts w:cs="Arial"/>
          <w:szCs w:val="20"/>
          <w:highlight w:val="yellow"/>
        </w:rPr>
        <w:t xml:space="preserve">&lt;comment OR </w:t>
      </w:r>
      <w:r w:rsidRPr="00757BDC">
        <w:rPr>
          <w:highlight w:val="yellow"/>
        </w:rPr>
        <w:t>comments</w:t>
      </w:r>
      <w:r>
        <w:rPr>
          <w:rFonts w:cs="Arial"/>
          <w:szCs w:val="20"/>
          <w:highlight w:val="yellow"/>
        </w:rPr>
        <w:t>&gt;</w:t>
      </w:r>
      <w:r>
        <w:rPr>
          <w:rFonts w:cs="Arial"/>
          <w:szCs w:val="20"/>
        </w:rPr>
        <w:t>.</w:t>
      </w:r>
    </w:p>
    <w:p w14:paraId="32630CD8"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5CDFEB22"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1CF0937C"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456CDCB"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2121C51B"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279366EA"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4ED8DE05"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154C662C" w14:textId="77777777" w:rsidR="0058665F" w:rsidRPr="005A3A8F" w:rsidRDefault="0058665F" w:rsidP="00534EA9">
            <w:pPr>
              <w:rPr>
                <w:rFonts w:cs="Arial"/>
                <w:szCs w:val="20"/>
              </w:rPr>
            </w:pPr>
            <w:r>
              <w:rPr>
                <w:rFonts w:cs="Arial"/>
                <w:szCs w:val="20"/>
              </w:rPr>
              <w:t>D.1</w:t>
            </w:r>
          </w:p>
        </w:tc>
        <w:tc>
          <w:tcPr>
            <w:tcW w:w="2578" w:type="dxa"/>
            <w:tcBorders>
              <w:top w:val="single" w:sz="6" w:space="0" w:color="auto"/>
              <w:left w:val="single" w:sz="4" w:space="0" w:color="auto"/>
              <w:bottom w:val="single" w:sz="6" w:space="0" w:color="auto"/>
              <w:right w:val="single" w:sz="6" w:space="0" w:color="auto"/>
            </w:tcBorders>
            <w:vAlign w:val="center"/>
          </w:tcPr>
          <w:p w14:paraId="2EF87243"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vAlign w:val="center"/>
          </w:tcPr>
          <w:p w14:paraId="0C444AB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32F3D255"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5620209B"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70CA492B" w14:textId="77777777" w:rsidR="0058665F" w:rsidRPr="005A3A8F" w:rsidRDefault="0058665F" w:rsidP="00534EA9">
            <w:pPr>
              <w:rPr>
                <w:rFonts w:cs="Arial"/>
                <w:szCs w:val="20"/>
              </w:rPr>
            </w:pPr>
            <w:r w:rsidRPr="005A3A8F">
              <w:rPr>
                <w:rFonts w:cs="Arial"/>
                <w:szCs w:val="20"/>
              </w:rPr>
              <w:t>D.2</w:t>
            </w:r>
          </w:p>
        </w:tc>
        <w:tc>
          <w:tcPr>
            <w:tcW w:w="2578" w:type="dxa"/>
            <w:tcBorders>
              <w:top w:val="single" w:sz="6" w:space="0" w:color="auto"/>
              <w:left w:val="single" w:sz="4" w:space="0" w:color="auto"/>
              <w:bottom w:val="single" w:sz="6" w:space="0" w:color="auto"/>
              <w:right w:val="single" w:sz="6" w:space="0" w:color="auto"/>
            </w:tcBorders>
            <w:vAlign w:val="center"/>
          </w:tcPr>
          <w:p w14:paraId="1B65F148"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30E617F8"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06326382"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4DFD4702"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298FC4DC" w14:textId="77777777" w:rsidR="0058665F" w:rsidRPr="005A3A8F" w:rsidRDefault="0058665F" w:rsidP="00534EA9">
            <w:pPr>
              <w:rPr>
                <w:rFonts w:cs="Arial"/>
                <w:szCs w:val="20"/>
              </w:rPr>
            </w:pPr>
            <w:r w:rsidRPr="005A3A8F">
              <w:rPr>
                <w:rFonts w:cs="Arial"/>
                <w:szCs w:val="20"/>
              </w:rPr>
              <w:t>D.3</w:t>
            </w:r>
          </w:p>
        </w:tc>
        <w:tc>
          <w:tcPr>
            <w:tcW w:w="2578" w:type="dxa"/>
            <w:tcBorders>
              <w:top w:val="single" w:sz="6" w:space="0" w:color="auto"/>
              <w:left w:val="single" w:sz="4" w:space="0" w:color="auto"/>
              <w:bottom w:val="single" w:sz="4" w:space="0" w:color="auto"/>
              <w:right w:val="single" w:sz="6" w:space="0" w:color="auto"/>
            </w:tcBorders>
            <w:vAlign w:val="center"/>
          </w:tcPr>
          <w:p w14:paraId="0B7FEAA4"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45594A54"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0D854D90"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0899EC53" w14:textId="77777777" w:rsidR="0058665F" w:rsidRDefault="0058665F" w:rsidP="0058665F">
      <w:pPr>
        <w:jc w:val="left"/>
        <w:rPr>
          <w:u w:val="single"/>
        </w:rPr>
      </w:pPr>
    </w:p>
    <w:p w14:paraId="140BE267" w14:textId="77777777" w:rsidR="0058665F" w:rsidRDefault="0058665F" w:rsidP="0058665F">
      <w:pPr>
        <w:rPr>
          <w:u w:val="single"/>
        </w:rPr>
      </w:pPr>
      <w:r>
        <w:rPr>
          <w:u w:val="single"/>
        </w:rPr>
        <w:lastRenderedPageBreak/>
        <w:br w:type="page"/>
      </w:r>
    </w:p>
    <w:p w14:paraId="26F95060" w14:textId="77777777" w:rsidR="0058665F" w:rsidRPr="00AC67FC" w:rsidRDefault="0058665F" w:rsidP="0058665F">
      <w:pPr>
        <w:pStyle w:val="Heading2"/>
        <w:ind w:left="0" w:firstLine="0"/>
      </w:pPr>
      <w:r w:rsidRPr="00AC67FC">
        <w:lastRenderedPageBreak/>
        <w:t xml:space="preserve">E. Fees and Expenses </w:t>
      </w:r>
    </w:p>
    <w:p w14:paraId="458D4D3D" w14:textId="77777777" w:rsidR="0058665F" w:rsidRDefault="0058665F" w:rsidP="0058665F">
      <w:pPr>
        <w:rPr>
          <w:rFonts w:cs="Arial"/>
          <w:szCs w:val="20"/>
        </w:rPr>
      </w:pPr>
      <w:r>
        <w:rPr>
          <w:rFonts w:cs="Arial"/>
          <w:szCs w:val="20"/>
        </w:rPr>
        <w:t>Section 206 of the Advisers Act</w:t>
      </w:r>
      <w:r w:rsidRPr="006200DD">
        <w:rPr>
          <w:rFonts w:cs="Arial"/>
          <w:szCs w:val="20"/>
          <w:highlight w:val="yellow"/>
        </w:rPr>
        <w:t>&lt;, and Rule 206(4)-8 thereunder&gt;</w:t>
      </w:r>
      <w:r>
        <w:rPr>
          <w:rFonts w:cs="Arial"/>
          <w:szCs w:val="20"/>
        </w:rPr>
        <w:t>, require</w:t>
      </w:r>
      <w:r w:rsidRPr="006200DD">
        <w:rPr>
          <w:rFonts w:cs="Arial"/>
          <w:szCs w:val="20"/>
          <w:highlight w:val="yellow"/>
        </w:rPr>
        <w:t>&lt;s&gt;</w:t>
      </w:r>
      <w:r>
        <w:rPr>
          <w:rFonts w:cs="Arial"/>
          <w:szCs w:val="20"/>
        </w:rPr>
        <w:t xml:space="preserve"> that investment advisers treat their clients </w:t>
      </w:r>
      <w:sdt>
        <w:sdtPr>
          <w:rPr>
            <w:rFonts w:cs="Arial"/>
            <w:szCs w:val="20"/>
          </w:rPr>
          <w:alias w:val="Private Fund Adviser"/>
          <w:tag w:val="Private-Fund-Adviser"/>
          <w:id w:val="-785034117"/>
          <w:placeholder>
            <w:docPart w:val="2435EF8E7CC447889839D4D03776C03A"/>
          </w:placeholder>
        </w:sdtPr>
        <w:sdtEndPr/>
        <w:sdtContent>
          <w:r w:rsidRPr="00A7389A">
            <w:rPr>
              <w:rFonts w:cs="Arial"/>
              <w:szCs w:val="20"/>
            </w:rPr>
            <w:t>and investors in their private funds</w:t>
          </w:r>
        </w:sdtContent>
      </w:sdt>
      <w:r>
        <w:rPr>
          <w:rFonts w:cs="Arial"/>
          <w:szCs w:val="20"/>
        </w:rPr>
        <w:t xml:space="preserve"> fairly and provide full disclosure of any material conflicts of interest. Rule 206(4)-7 also requires registered investment advisers to have written policies and procedures that are reasonably designed to mitigate and/or ensure disclosure of applicable conflicts. The allocation of expenses between clients, or between an adviser and its clients, creates potential conflicts of interest. SEC examiners frequently compare the fees and expenses borne by clients </w:t>
      </w:r>
      <w:sdt>
        <w:sdtPr>
          <w:rPr>
            <w:rFonts w:cs="Arial"/>
            <w:szCs w:val="20"/>
          </w:rPr>
          <w:alias w:val="Private Fund Adviser"/>
          <w:tag w:val="Private-Fund-Adviser"/>
          <w:id w:val="-33430104"/>
          <w:placeholder>
            <w:docPart w:val="2435EF8E7CC447889839D4D03776C03A"/>
          </w:placeholder>
        </w:sdtPr>
        <w:sdtEndPr/>
        <w:sdtContent>
          <w:r w:rsidRPr="00A7389A">
            <w:rPr>
              <w:rFonts w:cs="Arial"/>
              <w:szCs w:val="20"/>
            </w:rPr>
            <w:t>and investors</w:t>
          </w:r>
        </w:sdtContent>
      </w:sdt>
      <w:r>
        <w:rPr>
          <w:rFonts w:cs="Arial"/>
          <w:szCs w:val="20"/>
        </w:rPr>
        <w:t xml:space="preserve"> with the adviser’s disclosures and written policies and procedures. The SEC has supplemented these rules with numerous letters, releases, and other public documents regarding topics that include:</w:t>
      </w:r>
    </w:p>
    <w:p w14:paraId="58D8F93F" w14:textId="77777777" w:rsidR="0058665F" w:rsidRDefault="0058665F" w:rsidP="0058665F">
      <w:pPr>
        <w:pStyle w:val="Bullet1"/>
        <w:spacing w:line="240" w:lineRule="auto"/>
      </w:pPr>
      <w:r>
        <w:t xml:space="preserve">Fee billing based on accurate account </w:t>
      </w:r>
      <w:proofErr w:type="gramStart"/>
      <w:r>
        <w:t>valuations;</w:t>
      </w:r>
      <w:proofErr w:type="gramEnd"/>
    </w:p>
    <w:p w14:paraId="16DEC8CB" w14:textId="77777777" w:rsidR="0058665F" w:rsidRDefault="0058665F" w:rsidP="0058665F">
      <w:pPr>
        <w:pStyle w:val="Bullet1"/>
        <w:spacing w:line="240" w:lineRule="auto"/>
      </w:pPr>
      <w:r>
        <w:t xml:space="preserve">Billing advisory fees with proper </w:t>
      </w:r>
      <w:proofErr w:type="gramStart"/>
      <w:r>
        <w:t>frequency;</w:t>
      </w:r>
      <w:proofErr w:type="gramEnd"/>
    </w:p>
    <w:p w14:paraId="7BC9E497" w14:textId="77777777" w:rsidR="0058665F" w:rsidRDefault="0058665F" w:rsidP="0058665F">
      <w:pPr>
        <w:pStyle w:val="Bullet1"/>
        <w:spacing w:line="240" w:lineRule="auto"/>
      </w:pPr>
      <w:r>
        <w:t xml:space="preserve">Applying correct fee </w:t>
      </w:r>
      <w:proofErr w:type="gramStart"/>
      <w:r>
        <w:t>rates;</w:t>
      </w:r>
      <w:proofErr w:type="gramEnd"/>
    </w:p>
    <w:p w14:paraId="0B5374B0" w14:textId="77777777" w:rsidR="0058665F" w:rsidRDefault="0058665F" w:rsidP="0058665F">
      <w:pPr>
        <w:pStyle w:val="Bullet1"/>
        <w:spacing w:line="240" w:lineRule="auto"/>
      </w:pPr>
      <w:r>
        <w:t xml:space="preserve">Applying rebates and discounts </w:t>
      </w:r>
      <w:proofErr w:type="gramStart"/>
      <w:r>
        <w:t>correctly;</w:t>
      </w:r>
      <w:proofErr w:type="gramEnd"/>
    </w:p>
    <w:p w14:paraId="1BB032EC" w14:textId="77777777" w:rsidR="0058665F" w:rsidRDefault="0058665F" w:rsidP="0058665F">
      <w:pPr>
        <w:pStyle w:val="Bullet1"/>
        <w:spacing w:line="240" w:lineRule="auto"/>
      </w:pPr>
      <w:r>
        <w:t>Disclosing additional fees or markups; and</w:t>
      </w:r>
    </w:p>
    <w:p w14:paraId="519E36F0" w14:textId="77777777" w:rsidR="0058665F" w:rsidRPr="003F7892" w:rsidRDefault="0058665F" w:rsidP="0058665F">
      <w:pPr>
        <w:pStyle w:val="Bullet1"/>
        <w:spacing w:line="240" w:lineRule="auto"/>
      </w:pPr>
      <w:r>
        <w:t>Accurate allocation of expenses.</w:t>
      </w:r>
    </w:p>
    <w:sdt>
      <w:sdtPr>
        <w:rPr>
          <w:rFonts w:cs="Arial"/>
          <w:szCs w:val="20"/>
        </w:rPr>
        <w:alias w:val="Mutual Fund Adviser"/>
        <w:tag w:val="Mutual-Fund-Adviser"/>
        <w:id w:val="1271354524"/>
        <w:placeholder>
          <w:docPart w:val="2435EF8E7CC447889839D4D03776C03A"/>
        </w:placeholder>
      </w:sdtPr>
      <w:sdtEndPr>
        <w:rPr>
          <w:szCs w:val="24"/>
        </w:rPr>
      </w:sdtEndPr>
      <w:sdtContent>
        <w:p w14:paraId="3DAE7FA9" w14:textId="77777777" w:rsidR="0058665F" w:rsidRPr="00D1425F" w:rsidRDefault="0058665F" w:rsidP="0058665F">
          <w:pPr>
            <w:rPr>
              <w:rFonts w:cs="Arial"/>
            </w:rPr>
          </w:pPr>
          <w:r w:rsidRPr="00C611EB">
            <w:rPr>
              <w:rFonts w:cs="Arial"/>
              <w:szCs w:val="20"/>
              <w:u w:val="single"/>
            </w:rPr>
            <w:t>Advisers that recommend or select mutual fund investments for separate-account clients</w:t>
          </w:r>
          <w:r w:rsidRPr="00C611EB">
            <w:rPr>
              <w:rFonts w:cs="Arial"/>
            </w:rPr>
            <w:t xml:space="preserve"> should seek to place clients in the lowest-expense share class in which they are eligible to </w:t>
          </w:r>
          <w:proofErr w:type="gramStart"/>
          <w:r w:rsidRPr="00C611EB">
            <w:rPr>
              <w:rFonts w:cs="Arial"/>
            </w:rPr>
            <w:t>invest, and</w:t>
          </w:r>
          <w:proofErr w:type="gramEnd"/>
          <w:r w:rsidRPr="00C611EB">
            <w:rPr>
              <w:rFonts w:cs="Arial"/>
            </w:rPr>
            <w:t xml:space="preserve"> should adopt policies and procedures requiring the adviser to do the same. Advisers should also disclose any Rule 12b-1 distribution fees they may receive from the mutual funds they recommend.</w:t>
          </w:r>
          <w:r w:rsidRPr="002272ED">
            <w:rPr>
              <w:rFonts w:cs="Arial"/>
            </w:rPr>
            <w:t xml:space="preserve"> </w:t>
          </w:r>
        </w:p>
      </w:sdtContent>
    </w:sdt>
    <w:p w14:paraId="6A645481" w14:textId="77777777" w:rsidR="0058665F" w:rsidRDefault="0058665F" w:rsidP="0058665F">
      <w:pPr>
        <w:rPr>
          <w:rFonts w:cs="Arial"/>
          <w:szCs w:val="20"/>
        </w:rPr>
      </w:pPr>
    </w:p>
    <w:p w14:paraId="260AB819"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04456BC1" w14:textId="77777777" w:rsidR="0058665F" w:rsidRPr="005A3A8F" w:rsidRDefault="0058665F" w:rsidP="0058665F">
      <w:pPr>
        <w:rPr>
          <w:rFonts w:cs="Arial"/>
          <w:szCs w:val="20"/>
        </w:rPr>
      </w:pPr>
    </w:p>
    <w:p w14:paraId="76438854"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819953806"/>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w:t>
      </w:r>
      <w:r>
        <w:rPr>
          <w:rFonts w:cs="Arial"/>
          <w:szCs w:val="20"/>
        </w:rPr>
        <w:t xml:space="preserve">fees and expenses </w:t>
      </w:r>
      <w:r w:rsidRPr="005A3A8F">
        <w:rPr>
          <w:rFonts w:cs="Arial"/>
          <w:szCs w:val="20"/>
        </w:rPr>
        <w:t xml:space="preserve">resulted in no </w:t>
      </w:r>
      <w:r>
        <w:rPr>
          <w:rFonts w:cs="Arial"/>
          <w:szCs w:val="20"/>
        </w:rPr>
        <w:t>notable issues</w:t>
      </w:r>
      <w:r w:rsidRPr="005A3A8F">
        <w:rPr>
          <w:rFonts w:cs="Arial"/>
          <w:szCs w:val="20"/>
        </w:rPr>
        <w:t xml:space="preserve"> with respect to the following areas: </w:t>
      </w:r>
    </w:p>
    <w:p w14:paraId="17D1E7B8" w14:textId="77777777" w:rsidR="0058665F" w:rsidRPr="001213DA" w:rsidRDefault="0058665F" w:rsidP="0058665F">
      <w:pPr>
        <w:pStyle w:val="Bullet1"/>
        <w:spacing w:line="240" w:lineRule="auto"/>
      </w:pPr>
      <w:r w:rsidRPr="001213DA">
        <w:t xml:space="preserve">Adequacy of </w:t>
      </w:r>
      <w:sdt>
        <w:sdtPr>
          <w:alias w:val="Client acronym possessive"/>
          <w:tag w:val="Client-acronym-possessive"/>
          <w:id w:val="-209731197"/>
          <w:placeholder>
            <w:docPart w:val="2435EF8E7CC447889839D4D03776C03A"/>
          </w:placeholder>
        </w:sdtPr>
        <w:sdtEndPr/>
        <w:sdtContent>
          <w:r w:rsidRPr="001213DA">
            <w:t>XYZ’s</w:t>
          </w:r>
        </w:sdtContent>
      </w:sdt>
      <w:r w:rsidRPr="001213DA">
        <w:t xml:space="preserve"> written policies and procedures governing the calculation, allocation</w:t>
      </w:r>
      <w:r>
        <w:t>,</w:t>
      </w:r>
      <w:r w:rsidRPr="001213DA">
        <w:t xml:space="preserve"> and collection of fees </w:t>
      </w:r>
      <w:sdt>
        <w:sdtPr>
          <w:alias w:val="Private Fund Adviser"/>
          <w:tag w:val="Private-Fund-Adviser"/>
          <w:id w:val="-197937523"/>
          <w:placeholder>
            <w:docPart w:val="2435EF8E7CC447889839D4D03776C03A"/>
          </w:placeholder>
        </w:sdtPr>
        <w:sdtEndPr/>
        <w:sdtContent>
          <w:r w:rsidRPr="00C611EB">
            <w:t>and expenses</w:t>
          </w:r>
        </w:sdtContent>
      </w:sdt>
    </w:p>
    <w:p w14:paraId="6AB33237" w14:textId="77777777" w:rsidR="0058665F" w:rsidRPr="00C611EB" w:rsidRDefault="0058665F" w:rsidP="0058665F">
      <w:pPr>
        <w:pStyle w:val="Bullet1"/>
        <w:spacing w:line="240" w:lineRule="auto"/>
      </w:pPr>
      <w:r>
        <w:t xml:space="preserve">Representations on Form ADV </w:t>
      </w:r>
      <w:r w:rsidRPr="00C611EB">
        <w:t>and in marketing materials</w:t>
      </w:r>
    </w:p>
    <w:p w14:paraId="779A66E8" w14:textId="77777777" w:rsidR="0058665F" w:rsidRPr="00C611EB" w:rsidRDefault="0058665F" w:rsidP="0058665F">
      <w:pPr>
        <w:pStyle w:val="Bullet1"/>
        <w:spacing w:line="240" w:lineRule="auto"/>
      </w:pPr>
      <w:r w:rsidRPr="00C611EB">
        <w:t>Compliance with advisory contracts</w:t>
      </w:r>
      <w:sdt>
        <w:sdtPr>
          <w:alias w:val="Private Fund Adviser"/>
          <w:tag w:val="Private-Fund-Adviser"/>
          <w:id w:val="-354505992"/>
          <w:placeholder>
            <w:docPart w:val="2435EF8E7CC447889839D4D03776C03A"/>
          </w:placeholder>
        </w:sdtPr>
        <w:sdtEndPr/>
        <w:sdtContent>
          <w:r w:rsidRPr="00C611EB">
            <w:t>, private fund governing documents, and side letters</w:t>
          </w:r>
        </w:sdtContent>
      </w:sdt>
      <w:r w:rsidRPr="00C611EB">
        <w:t xml:space="preserve"> </w:t>
      </w:r>
    </w:p>
    <w:p w14:paraId="796AC6F1" w14:textId="77777777" w:rsidR="0058665F" w:rsidRPr="00C611EB" w:rsidRDefault="0058665F" w:rsidP="0058665F">
      <w:pPr>
        <w:pStyle w:val="Bullet1"/>
        <w:spacing w:line="240" w:lineRule="auto"/>
      </w:pPr>
      <w:r w:rsidRPr="00C611EB">
        <w:t xml:space="preserve">Maintenance of work papers documenting correct fee and expense calculations </w:t>
      </w:r>
      <w:sdt>
        <w:sdtPr>
          <w:alias w:val="Private Fund Adviser"/>
          <w:tag w:val="Private-Fund-Adviser"/>
          <w:id w:val="2130129363"/>
          <w:placeholder>
            <w:docPart w:val="2435EF8E7CC447889839D4D03776C03A"/>
          </w:placeholder>
        </w:sdtPr>
        <w:sdtEndPr/>
        <w:sdtContent>
          <w:r w:rsidRPr="00C611EB">
            <w:t>and allocations</w:t>
          </w:r>
        </w:sdtContent>
      </w:sdt>
    </w:p>
    <w:sdt>
      <w:sdtPr>
        <w:alias w:val="Private Fund Adviser"/>
        <w:tag w:val="Private-Fund-Adviser"/>
        <w:id w:val="-932669020"/>
        <w:placeholder>
          <w:docPart w:val="2435EF8E7CC447889839D4D03776C03A"/>
        </w:placeholder>
      </w:sdtPr>
      <w:sdtEndPr/>
      <w:sdtContent>
        <w:p w14:paraId="105F04B7" w14:textId="77777777" w:rsidR="0058665F" w:rsidRPr="00C611EB" w:rsidRDefault="0058665F" w:rsidP="0058665F">
          <w:pPr>
            <w:pStyle w:val="Bullet1"/>
            <w:spacing w:line="240" w:lineRule="auto"/>
          </w:pPr>
          <w:r w:rsidRPr="00C611EB">
            <w:t>Expense allocation methodologies</w:t>
          </w:r>
        </w:p>
      </w:sdtContent>
    </w:sdt>
    <w:p w14:paraId="28448905"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494719077"/>
          <w:placeholder>
            <w:docPart w:val="2435EF8E7CC447889839D4D03776C03A"/>
          </w:placeholder>
        </w:sdtPr>
        <w:sdtEndPr/>
        <w:sdtContent>
          <w:r w:rsidRPr="005A3A8F">
            <w:rPr>
              <w:rFonts w:cs="Arial"/>
              <w:szCs w:val="20"/>
            </w:rPr>
            <w:t>XYZ’s</w:t>
          </w:r>
        </w:sdtContent>
      </w:sdt>
      <w:r w:rsidRPr="005A3A8F">
        <w:rPr>
          <w:rFonts w:cs="Arial"/>
          <w:szCs w:val="20"/>
        </w:rPr>
        <w:t xml:space="preserve"> </w:t>
      </w:r>
      <w:r>
        <w:rPr>
          <w:rFonts w:cs="Arial"/>
          <w:szCs w:val="20"/>
        </w:rPr>
        <w:t>policies and procedures related to fee and expense</w:t>
      </w:r>
      <w:r w:rsidRPr="005A3A8F">
        <w:rPr>
          <w:rFonts w:cs="Arial"/>
          <w:szCs w:val="20"/>
        </w:rPr>
        <w:t xml:space="preserve"> activities re</w:t>
      </w:r>
      <w:r>
        <w:rPr>
          <w:rFonts w:cs="Arial"/>
          <w:szCs w:val="20"/>
        </w:rPr>
        <w:t xml:space="preserve">sulted in the </w:t>
      </w:r>
      <w:r w:rsidRPr="008530EA">
        <w:rPr>
          <w:rFonts w:cs="Arial"/>
          <w:szCs w:val="20"/>
        </w:rPr>
        <w:t xml:space="preserve">following </w:t>
      </w:r>
      <w:r>
        <w:rPr>
          <w:rFonts w:cs="Arial"/>
          <w:szCs w:val="20"/>
          <w:highlight w:val="yellow"/>
        </w:rPr>
        <w:t xml:space="preserve">&lt;comment OR </w:t>
      </w:r>
      <w:r w:rsidRPr="00C1030D">
        <w:rPr>
          <w:highlight w:val="yellow"/>
        </w:rPr>
        <w:t>comments</w:t>
      </w:r>
      <w:r>
        <w:rPr>
          <w:rFonts w:cs="Arial"/>
          <w:szCs w:val="20"/>
          <w:highlight w:val="yellow"/>
        </w:rPr>
        <w:t>&gt;</w:t>
      </w:r>
      <w:r>
        <w:rPr>
          <w:rFonts w:cs="Arial"/>
          <w:szCs w:val="20"/>
        </w:rPr>
        <w:t>.</w:t>
      </w:r>
    </w:p>
    <w:p w14:paraId="6849428E"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3B2FF49F"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D8B353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lastRenderedPageBreak/>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4084C9C8"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413DD8D8"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7CB4B27A"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2DBE0BCF"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39C84CCE" w14:textId="77777777" w:rsidR="0058665F" w:rsidRPr="005A3A8F" w:rsidRDefault="0058665F" w:rsidP="00534EA9">
            <w:pPr>
              <w:rPr>
                <w:rFonts w:cs="Arial"/>
                <w:szCs w:val="20"/>
              </w:rPr>
            </w:pPr>
            <w:r>
              <w:rPr>
                <w:rFonts w:cs="Arial"/>
                <w:szCs w:val="20"/>
              </w:rPr>
              <w:t>E.1</w:t>
            </w:r>
          </w:p>
        </w:tc>
        <w:tc>
          <w:tcPr>
            <w:tcW w:w="2578" w:type="dxa"/>
            <w:tcBorders>
              <w:top w:val="single" w:sz="6" w:space="0" w:color="auto"/>
              <w:left w:val="single" w:sz="4" w:space="0" w:color="auto"/>
              <w:bottom w:val="single" w:sz="6" w:space="0" w:color="auto"/>
              <w:right w:val="single" w:sz="6" w:space="0" w:color="auto"/>
            </w:tcBorders>
            <w:vAlign w:val="center"/>
          </w:tcPr>
          <w:p w14:paraId="54375AE5"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vAlign w:val="center"/>
          </w:tcPr>
          <w:p w14:paraId="6AA6D7C8"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1DB116A2"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4BD2E856"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ED7DE8F" w14:textId="77777777" w:rsidR="0058665F" w:rsidRPr="005A3A8F" w:rsidRDefault="0058665F" w:rsidP="00534EA9">
            <w:pPr>
              <w:rPr>
                <w:rFonts w:cs="Arial"/>
                <w:szCs w:val="20"/>
              </w:rPr>
            </w:pPr>
            <w:r>
              <w:rPr>
                <w:rFonts w:cs="Arial"/>
                <w:szCs w:val="20"/>
              </w:rPr>
              <w:t>E</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6A82166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1BA22A0A"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37337316"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79A25DB2"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752800CF" w14:textId="77777777" w:rsidR="0058665F" w:rsidRPr="005A3A8F" w:rsidRDefault="0058665F" w:rsidP="00534EA9">
            <w:pPr>
              <w:rPr>
                <w:rFonts w:cs="Arial"/>
                <w:szCs w:val="20"/>
              </w:rPr>
            </w:pPr>
            <w:r>
              <w:rPr>
                <w:rFonts w:cs="Arial"/>
                <w:szCs w:val="20"/>
              </w:rPr>
              <w:t>E</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1AB3EFAD"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03FE77A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5441C153"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64F17FFB" w14:textId="77777777" w:rsidR="0058665F" w:rsidRDefault="0058665F" w:rsidP="0058665F">
      <w:pPr>
        <w:rPr>
          <w:rFonts w:cs="Arial"/>
          <w:szCs w:val="20"/>
        </w:rPr>
      </w:pPr>
    </w:p>
    <w:p w14:paraId="1FC7A603" w14:textId="77777777" w:rsidR="0058665F" w:rsidRDefault="0058665F" w:rsidP="0058665F">
      <w:pPr>
        <w:rPr>
          <w:rFonts w:cs="Arial"/>
          <w:b/>
          <w:bCs/>
          <w:iCs/>
          <w:sz w:val="22"/>
          <w:szCs w:val="28"/>
          <w:u w:val="single"/>
        </w:rPr>
      </w:pPr>
      <w:r>
        <w:br w:type="page"/>
      </w:r>
    </w:p>
    <w:p w14:paraId="49389529" w14:textId="77777777" w:rsidR="0058665F" w:rsidRPr="00AC67FC" w:rsidRDefault="0058665F" w:rsidP="0058665F">
      <w:pPr>
        <w:pStyle w:val="Heading2"/>
        <w:ind w:left="0" w:firstLine="0"/>
      </w:pPr>
      <w:r w:rsidRPr="00AC67FC">
        <w:lastRenderedPageBreak/>
        <w:t>F. Regulatory Filings and Disclosures</w:t>
      </w:r>
    </w:p>
    <w:p w14:paraId="1ABF1818" w14:textId="77777777" w:rsidR="0058665F" w:rsidRPr="005A3A8F" w:rsidRDefault="0058665F" w:rsidP="0058665F">
      <w:pPr>
        <w:rPr>
          <w:rFonts w:cs="Arial"/>
          <w:szCs w:val="20"/>
        </w:rPr>
      </w:pPr>
      <w:r w:rsidRPr="005A3A8F">
        <w:rPr>
          <w:rFonts w:cs="Arial"/>
          <w:szCs w:val="20"/>
        </w:rPr>
        <w:t>Investment advisers are required to prepare, maintain, file, and/or deliver certain disclosure documents. The accuracy, completeness, and timel</w:t>
      </w:r>
      <w:r>
        <w:rPr>
          <w:rFonts w:cs="Arial"/>
          <w:szCs w:val="20"/>
        </w:rPr>
        <w:t>iness</w:t>
      </w:r>
      <w:r w:rsidRPr="005A3A8F">
        <w:rPr>
          <w:rFonts w:cs="Arial"/>
          <w:szCs w:val="20"/>
        </w:rPr>
        <w:t xml:space="preserve"> of these documents are critically important given the emphasis placed on full and fair disclosure by the Advisers Act. Below is a summary of relevant disclosure documents.</w:t>
      </w:r>
    </w:p>
    <w:p w14:paraId="300C0E29" w14:textId="77777777" w:rsidR="0058665F" w:rsidRPr="00AD596E" w:rsidRDefault="0058665F" w:rsidP="0058665F">
      <w:pPr>
        <w:rPr>
          <w:rFonts w:cs="Arial"/>
          <w:szCs w:val="20"/>
        </w:rPr>
      </w:pPr>
    </w:p>
    <w:p w14:paraId="598812A2" w14:textId="77777777" w:rsidR="0058665F" w:rsidRDefault="0058665F" w:rsidP="0058665F">
      <w:pPr>
        <w:rPr>
          <w:rFonts w:cs="Arial"/>
          <w:szCs w:val="20"/>
        </w:rPr>
      </w:pPr>
      <w:r w:rsidRPr="005A3A8F">
        <w:rPr>
          <w:rFonts w:cs="Arial"/>
          <w:szCs w:val="20"/>
          <w:u w:val="single"/>
        </w:rPr>
        <w:t>Form ADV</w:t>
      </w:r>
      <w:r w:rsidRPr="005A3A8F">
        <w:rPr>
          <w:rFonts w:cs="Arial"/>
          <w:szCs w:val="20"/>
        </w:rPr>
        <w:t xml:space="preserve"> – Rule 204-1(a) under the Advisers Act requires each registered investment adviser to file updated copies of Form ADV with the SEC at least annually within 90 days of the company’s fiscal year end. The rule also requires prompt amendments and re-filings if certain portions of Form</w:t>
      </w:r>
      <w:r>
        <w:rPr>
          <w:rFonts w:cs="Arial"/>
          <w:szCs w:val="20"/>
        </w:rPr>
        <w:t> </w:t>
      </w:r>
      <w:r w:rsidRPr="005A3A8F">
        <w:rPr>
          <w:rFonts w:cs="Arial"/>
          <w:szCs w:val="20"/>
        </w:rPr>
        <w:t>ADV become inaccurate or if any portions become materially inaccurate. Registered investment advisers must also provide Part 2 of Form</w:t>
      </w:r>
      <w:r>
        <w:rPr>
          <w:rFonts w:cs="Arial"/>
          <w:szCs w:val="20"/>
        </w:rPr>
        <w:t> </w:t>
      </w:r>
      <w:r w:rsidRPr="005A3A8F">
        <w:rPr>
          <w:rFonts w:cs="Arial"/>
          <w:szCs w:val="20"/>
        </w:rPr>
        <w:t>ADV and supplemental biographical information for certain employees at the start of an advisory relationship. On an annual basis</w:t>
      </w:r>
      <w:r>
        <w:rPr>
          <w:rFonts w:cs="Arial"/>
          <w:szCs w:val="20"/>
        </w:rPr>
        <w:t>,</w:t>
      </w:r>
      <w:r w:rsidRPr="005A3A8F">
        <w:rPr>
          <w:rFonts w:cs="Arial"/>
          <w:szCs w:val="20"/>
        </w:rPr>
        <w:t xml:space="preserve"> registered advisers must provide clients with Part 2 of Form AD</w:t>
      </w:r>
      <w:r>
        <w:rPr>
          <w:rFonts w:cs="Arial"/>
          <w:szCs w:val="20"/>
        </w:rPr>
        <w:t>V</w:t>
      </w:r>
      <w:r w:rsidRPr="005A3A8F">
        <w:rPr>
          <w:rFonts w:cs="Arial"/>
          <w:szCs w:val="20"/>
        </w:rPr>
        <w:t xml:space="preserve"> or a summary of material changes along with an offer to provide Part 2 upon request without charge. </w:t>
      </w:r>
    </w:p>
    <w:p w14:paraId="543FC597" w14:textId="77777777" w:rsidR="0058665F" w:rsidRDefault="0058665F" w:rsidP="0058665F">
      <w:pPr>
        <w:rPr>
          <w:rFonts w:cs="Arial"/>
          <w:szCs w:val="20"/>
        </w:rPr>
      </w:pPr>
    </w:p>
    <w:p w14:paraId="2D8C0B8C" w14:textId="77777777" w:rsidR="0058665F" w:rsidRDefault="0058665F" w:rsidP="0058665F">
      <w:pPr>
        <w:rPr>
          <w:rFonts w:cs="Arial"/>
          <w:szCs w:val="20"/>
        </w:rPr>
      </w:pPr>
      <w:r>
        <w:rPr>
          <w:rFonts w:cs="Arial"/>
          <w:szCs w:val="20"/>
        </w:rPr>
        <w:t>Rule 204-5 under the Advisers Act requires a registered investment adviser to deliver Part 3 of Form ADV (Form CRS) to its retail investors. The rule defines a “retail investor” as “a natural person, or the legal representative of such natural person, who seeks to receive or receives services primarily for personal, family or household purposes”. A registered investment adviser required to deliver Form CRS to retail investors must also file Form CRS with the SEC and post Form CRS prominently on its website.</w:t>
      </w:r>
    </w:p>
    <w:p w14:paraId="70A3BD98" w14:textId="77777777" w:rsidR="0058665F" w:rsidRPr="005A3A8F" w:rsidRDefault="0058665F" w:rsidP="0058665F">
      <w:pPr>
        <w:rPr>
          <w:rFonts w:cs="Arial"/>
          <w:szCs w:val="20"/>
        </w:rPr>
      </w:pPr>
    </w:p>
    <w:p w14:paraId="54AD51D9" w14:textId="77777777" w:rsidR="0058665F" w:rsidRPr="005A3A8F" w:rsidRDefault="0058665F" w:rsidP="0058665F">
      <w:pPr>
        <w:rPr>
          <w:rFonts w:cs="Arial"/>
          <w:szCs w:val="20"/>
        </w:rPr>
      </w:pPr>
      <w:r w:rsidRPr="005A3A8F">
        <w:rPr>
          <w:rFonts w:cs="Arial"/>
          <w:szCs w:val="20"/>
          <w:u w:val="single"/>
        </w:rPr>
        <w:t>Privacy Notice</w:t>
      </w:r>
      <w:r w:rsidRPr="005A3A8F">
        <w:rPr>
          <w:rFonts w:cs="Arial"/>
          <w:szCs w:val="20"/>
        </w:rPr>
        <w:t xml:space="preserve"> – Regulation S-P requires a registered investment adviser to deliver (</w:t>
      </w:r>
      <w:proofErr w:type="spellStart"/>
      <w:r w:rsidRPr="005A3A8F">
        <w:rPr>
          <w:rFonts w:cs="Arial"/>
          <w:szCs w:val="20"/>
        </w:rPr>
        <w:t>i</w:t>
      </w:r>
      <w:proofErr w:type="spellEnd"/>
      <w:r w:rsidRPr="005A3A8F">
        <w:rPr>
          <w:rFonts w:cs="Arial"/>
          <w:szCs w:val="20"/>
        </w:rPr>
        <w:t>) an initial privacy notice to new natural person customers not later than when the custo</w:t>
      </w:r>
      <w:r>
        <w:rPr>
          <w:rFonts w:cs="Arial"/>
          <w:szCs w:val="20"/>
        </w:rPr>
        <w:t>mer relationship is established</w:t>
      </w:r>
      <w:r w:rsidRPr="005A3A8F">
        <w:rPr>
          <w:rFonts w:cs="Arial"/>
          <w:szCs w:val="20"/>
        </w:rPr>
        <w:t xml:space="preserve"> and (ii) an annual privacy notice</w:t>
      </w:r>
      <w:r>
        <w:rPr>
          <w:rStyle w:val="FootnoteReference"/>
          <w:rFonts w:cs="Arial"/>
          <w:szCs w:val="20"/>
        </w:rPr>
        <w:footnoteReference w:id="21"/>
      </w:r>
      <w:r w:rsidRPr="005A3A8F">
        <w:rPr>
          <w:rFonts w:cs="Arial"/>
          <w:szCs w:val="20"/>
        </w:rPr>
        <w:t xml:space="preserve"> to </w:t>
      </w:r>
      <w:proofErr w:type="gramStart"/>
      <w:r w:rsidRPr="005A3A8F">
        <w:rPr>
          <w:rFonts w:cs="Arial"/>
          <w:szCs w:val="20"/>
        </w:rPr>
        <w:t>all natural</w:t>
      </w:r>
      <w:proofErr w:type="gramEnd"/>
      <w:r w:rsidRPr="005A3A8F">
        <w:rPr>
          <w:rFonts w:cs="Arial"/>
          <w:szCs w:val="20"/>
        </w:rPr>
        <w:t xml:space="preserve"> person customers. </w:t>
      </w:r>
    </w:p>
    <w:p w14:paraId="1829E5C0" w14:textId="77777777" w:rsidR="0058665F" w:rsidRPr="005A3A8F" w:rsidRDefault="0058665F" w:rsidP="0058665F">
      <w:pPr>
        <w:rPr>
          <w:rFonts w:cs="Arial"/>
          <w:szCs w:val="20"/>
        </w:rPr>
      </w:pPr>
    </w:p>
    <w:p w14:paraId="1A5FAA27" w14:textId="77777777" w:rsidR="0058665F" w:rsidRPr="005A3A8F" w:rsidRDefault="0058665F" w:rsidP="0058665F">
      <w:pPr>
        <w:rPr>
          <w:rFonts w:cs="Arial"/>
          <w:szCs w:val="20"/>
        </w:rPr>
      </w:pPr>
      <w:r w:rsidRPr="005A3A8F">
        <w:rPr>
          <w:rFonts w:cs="Arial"/>
          <w:szCs w:val="20"/>
          <w:u w:val="single"/>
        </w:rPr>
        <w:t>Proxy Voting Summation</w:t>
      </w:r>
      <w:r w:rsidRPr="005A3A8F">
        <w:rPr>
          <w:rFonts w:cs="Arial"/>
          <w:szCs w:val="20"/>
        </w:rPr>
        <w:t xml:space="preserve"> – Rule 206(4)-6 under the Advisers Act requires each registered investment adviser to describe its proxy voting policies and procedures to clients, furnish a copy of such policies and procedures to clients upon request, and tell clients how they can obtain information from the adviser showing how the clients’ securities were voted.</w:t>
      </w:r>
    </w:p>
    <w:p w14:paraId="630F64DF" w14:textId="77777777" w:rsidR="0058665F" w:rsidRPr="005A3A8F" w:rsidRDefault="0058665F" w:rsidP="0058665F">
      <w:pPr>
        <w:rPr>
          <w:rFonts w:cs="Arial"/>
          <w:szCs w:val="20"/>
        </w:rPr>
      </w:pPr>
    </w:p>
    <w:p w14:paraId="609D9C85" w14:textId="77777777" w:rsidR="0058665F" w:rsidRPr="005A3A8F" w:rsidRDefault="0058665F" w:rsidP="0058665F">
      <w:pPr>
        <w:rPr>
          <w:rFonts w:cs="Arial"/>
          <w:szCs w:val="20"/>
        </w:rPr>
      </w:pPr>
      <w:r w:rsidRPr="005A3A8F">
        <w:rPr>
          <w:rFonts w:cs="Arial"/>
          <w:szCs w:val="20"/>
          <w:u w:val="single"/>
        </w:rPr>
        <w:t>Electronic Delivery of Disclosure Documents</w:t>
      </w:r>
      <w:r w:rsidRPr="005A3A8F">
        <w:rPr>
          <w:rFonts w:cs="Arial"/>
          <w:szCs w:val="20"/>
        </w:rPr>
        <w:t xml:space="preserve"> – </w:t>
      </w:r>
      <w:r w:rsidRPr="00AB69A6">
        <w:t xml:space="preserve">In </w:t>
      </w:r>
      <w:r w:rsidRPr="00AB69A6">
        <w:rPr>
          <w:i/>
        </w:rPr>
        <w:t>Use of Electronic Media by Broker-Dealers, Transfer Agents, and Investment Advisers for Delivery of Information</w:t>
      </w:r>
      <w:r>
        <w:rPr>
          <w:rFonts w:cs="Arial"/>
          <w:szCs w:val="20"/>
        </w:rPr>
        <w:t xml:space="preserve">, </w:t>
      </w:r>
      <w:r w:rsidRPr="00AB69A6">
        <w:rPr>
          <w:rFonts w:cs="Arial"/>
          <w:i/>
          <w:szCs w:val="20"/>
        </w:rPr>
        <w:t>SEC</w:t>
      </w:r>
      <w:r w:rsidRPr="00C1030D">
        <w:rPr>
          <w:i/>
        </w:rPr>
        <w:t xml:space="preserve"> </w:t>
      </w:r>
      <w:r w:rsidRPr="005A3A8F">
        <w:rPr>
          <w:rFonts w:cs="Arial"/>
          <w:i/>
          <w:szCs w:val="20"/>
        </w:rPr>
        <w:t>Release IA-1562</w:t>
      </w:r>
      <w:r w:rsidRPr="005A3A8F">
        <w:rPr>
          <w:rFonts w:cs="Arial"/>
          <w:szCs w:val="20"/>
        </w:rPr>
        <w:t xml:space="preserve"> (May 9, 1996), the SEC described its views regarding investment advisers’ use of electronic media to provide d</w:t>
      </w:r>
      <w:r>
        <w:rPr>
          <w:rFonts w:cs="Arial"/>
          <w:szCs w:val="20"/>
        </w:rPr>
        <w:t>isclosures and obtain consents</w:t>
      </w:r>
      <w:r w:rsidRPr="005A3A8F">
        <w:rPr>
          <w:rFonts w:cs="Arial"/>
          <w:szCs w:val="20"/>
        </w:rPr>
        <w:t xml:space="preserve"> required by the Advisers Act. While investment advisers are generally permitted to provide disclosure</w:t>
      </w:r>
      <w:r>
        <w:rPr>
          <w:rFonts w:cs="Arial"/>
          <w:szCs w:val="20"/>
        </w:rPr>
        <w:t>s</w:t>
      </w:r>
      <w:r w:rsidRPr="005A3A8F">
        <w:rPr>
          <w:rFonts w:cs="Arial"/>
          <w:szCs w:val="20"/>
        </w:rPr>
        <w:t xml:space="preserve"> and obtain consent</w:t>
      </w:r>
      <w:r>
        <w:rPr>
          <w:rFonts w:cs="Arial"/>
          <w:szCs w:val="20"/>
        </w:rPr>
        <w:t>s</w:t>
      </w:r>
      <w:r w:rsidRPr="005A3A8F">
        <w:rPr>
          <w:rFonts w:cs="Arial"/>
          <w:szCs w:val="20"/>
        </w:rPr>
        <w:t xml:space="preserve"> electronically, the SEC has indicated that advisers should consider the following factors when communicating electronically with clients and prospects:</w:t>
      </w:r>
    </w:p>
    <w:p w14:paraId="198A8E88" w14:textId="77777777" w:rsidR="0058665F" w:rsidRPr="005A3A8F" w:rsidRDefault="0058665F" w:rsidP="0058665F">
      <w:pPr>
        <w:pStyle w:val="Bullet1"/>
        <w:spacing w:line="240" w:lineRule="auto"/>
      </w:pPr>
      <w:r w:rsidRPr="005A3A8F">
        <w:rPr>
          <w:u w:val="single"/>
        </w:rPr>
        <w:lastRenderedPageBreak/>
        <w:t>Notice</w:t>
      </w:r>
      <w:r w:rsidRPr="005A3A8F">
        <w:t xml:space="preserve"> – If disclosures are posted on a website or made available through some other passive delivery system, the adviser should s</w:t>
      </w:r>
      <w:r>
        <w:t>end the intended recipient an e</w:t>
      </w:r>
      <w:r w:rsidRPr="005A3A8F">
        <w:t>mail or some other notice indicating that the disclosures are available.</w:t>
      </w:r>
    </w:p>
    <w:p w14:paraId="738AC6AD" w14:textId="77777777" w:rsidR="0058665F" w:rsidRPr="005A3A8F" w:rsidRDefault="0058665F" w:rsidP="0058665F">
      <w:pPr>
        <w:pStyle w:val="Bullet1"/>
        <w:spacing w:line="240" w:lineRule="auto"/>
      </w:pPr>
      <w:r w:rsidRPr="005A3A8F">
        <w:rPr>
          <w:u w:val="single"/>
        </w:rPr>
        <w:t>Access</w:t>
      </w:r>
      <w:r w:rsidRPr="005A3A8F">
        <w:t xml:space="preserve"> – Recipients of electronic information should be able to easily view, save, and print the information.</w:t>
      </w:r>
    </w:p>
    <w:p w14:paraId="2DF4E1CC" w14:textId="77777777" w:rsidR="0058665F" w:rsidRPr="005A3A8F" w:rsidRDefault="0058665F" w:rsidP="0058665F">
      <w:pPr>
        <w:pStyle w:val="Bullet1"/>
        <w:spacing w:line="240" w:lineRule="auto"/>
      </w:pPr>
      <w:r w:rsidRPr="005A3A8F">
        <w:rPr>
          <w:u w:val="single"/>
        </w:rPr>
        <w:t>Evidence of Delivery</w:t>
      </w:r>
      <w:r w:rsidRPr="005A3A8F">
        <w:t xml:space="preserve"> – An adviser should have reasonable assurance that the electronic communication was received by the intended recipient. An adviser may obtain an email return receipt for each message, or it may obtain the recipient’s informed prospective consent to receive information through a specified electronic medium. </w:t>
      </w:r>
    </w:p>
    <w:p w14:paraId="268707D5" w14:textId="77777777" w:rsidR="0058665F" w:rsidRPr="005A3A8F" w:rsidRDefault="0058665F" w:rsidP="0058665F">
      <w:pPr>
        <w:rPr>
          <w:rFonts w:cs="Arial"/>
          <w:b/>
          <w:szCs w:val="20"/>
        </w:rPr>
      </w:pPr>
      <w:r w:rsidRPr="005A3A8F">
        <w:rPr>
          <w:rFonts w:cs="Arial"/>
          <w:szCs w:val="20"/>
          <w:u w:val="single"/>
        </w:rPr>
        <w:t>Other Disclosure Documents</w:t>
      </w:r>
      <w:r w:rsidRPr="005A3A8F">
        <w:rPr>
          <w:rFonts w:cs="Arial"/>
          <w:szCs w:val="20"/>
        </w:rPr>
        <w:t xml:space="preserve"> – An investment adviser may include important disclosures in other documents, including investment advisory agreements, private placement memoranda or confidential offering memoranda, and solicitors’ disclosure statements. </w:t>
      </w:r>
    </w:p>
    <w:p w14:paraId="25443D1D" w14:textId="77777777" w:rsidR="0058665F" w:rsidRPr="005A3A8F" w:rsidRDefault="0058665F" w:rsidP="0058665F">
      <w:pPr>
        <w:rPr>
          <w:rFonts w:cs="Arial"/>
          <w:b/>
          <w:szCs w:val="20"/>
        </w:rPr>
      </w:pPr>
    </w:p>
    <w:p w14:paraId="45E946FE" w14:textId="77777777" w:rsidR="0058665F" w:rsidRPr="005A3A8F" w:rsidRDefault="0058665F" w:rsidP="0058665F">
      <w:pPr>
        <w:rPr>
          <w:rFonts w:cs="Arial"/>
          <w:szCs w:val="20"/>
        </w:rPr>
      </w:pPr>
      <w:r w:rsidRPr="005A3A8F">
        <w:rPr>
          <w:rFonts w:cs="Arial"/>
          <w:szCs w:val="20"/>
          <w:u w:val="single"/>
        </w:rPr>
        <w:t>Other Filings</w:t>
      </w:r>
      <w:r w:rsidRPr="005A3A8F">
        <w:rPr>
          <w:rFonts w:cs="Arial"/>
          <w:szCs w:val="20"/>
        </w:rPr>
        <w:t xml:space="preserve"> – An SEC-registered investment adviser may need to make notice filings or designate investment advisory representatives with various state regulatory agencies. Depending on its operations, an investment adviser may also be required to make other filings with the SEC, the </w:t>
      </w:r>
      <w:r>
        <w:rPr>
          <w:rFonts w:cs="Arial"/>
          <w:szCs w:val="20"/>
        </w:rPr>
        <w:t>Commodity Futures Trading Commission (“CFTC”)</w:t>
      </w:r>
      <w:r w:rsidRPr="005A3A8F">
        <w:rPr>
          <w:rFonts w:cs="Arial"/>
          <w:szCs w:val="20"/>
        </w:rPr>
        <w:t xml:space="preserve">, or other regulators. </w:t>
      </w:r>
    </w:p>
    <w:p w14:paraId="215566BA" w14:textId="77777777" w:rsidR="0058665F" w:rsidRPr="005A3A8F" w:rsidRDefault="0058665F" w:rsidP="0058665F">
      <w:pPr>
        <w:rPr>
          <w:rFonts w:cs="Arial"/>
          <w:szCs w:val="20"/>
        </w:rPr>
      </w:pPr>
    </w:p>
    <w:p w14:paraId="6452A8FD"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5229CD52" w14:textId="77777777" w:rsidR="0058665F" w:rsidRPr="005A3A8F" w:rsidRDefault="0058665F" w:rsidP="0058665F">
      <w:pPr>
        <w:rPr>
          <w:rFonts w:cs="Arial"/>
          <w:szCs w:val="20"/>
        </w:rPr>
      </w:pPr>
    </w:p>
    <w:p w14:paraId="28B6B3B5"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130707091"/>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its regulatory filings and disclosure documents resulted in no </w:t>
      </w:r>
      <w:r>
        <w:rPr>
          <w:rFonts w:cs="Arial"/>
          <w:szCs w:val="20"/>
        </w:rPr>
        <w:t>notable issues</w:t>
      </w:r>
      <w:r w:rsidRPr="005A3A8F">
        <w:rPr>
          <w:rFonts w:cs="Arial"/>
          <w:szCs w:val="20"/>
        </w:rPr>
        <w:t xml:space="preserve"> with respect to the following areas: </w:t>
      </w:r>
    </w:p>
    <w:p w14:paraId="0418F655"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1719476110"/>
          <w:placeholder>
            <w:docPart w:val="2435EF8E7CC447889839D4D03776C03A"/>
          </w:placeholder>
        </w:sdtPr>
        <w:sdtEndPr/>
        <w:sdtContent>
          <w:r w:rsidRPr="005A3A8F">
            <w:t>XYZ’s</w:t>
          </w:r>
        </w:sdtContent>
      </w:sdt>
      <w:r w:rsidRPr="005A3A8F">
        <w:t xml:space="preserve"> written disclosure polic</w:t>
      </w:r>
      <w:r>
        <w:t>ies</w:t>
      </w:r>
      <w:r w:rsidRPr="005A3A8F">
        <w:t xml:space="preserve"> and procedures</w:t>
      </w:r>
    </w:p>
    <w:p w14:paraId="4CAECA9C" w14:textId="77777777" w:rsidR="0058665F" w:rsidRPr="005A3A8F" w:rsidRDefault="0058665F" w:rsidP="0058665F">
      <w:pPr>
        <w:pStyle w:val="Bullet1"/>
        <w:spacing w:line="240" w:lineRule="auto"/>
      </w:pPr>
      <w:r w:rsidRPr="005A3A8F">
        <w:t>Maintenance of Form ADV</w:t>
      </w:r>
    </w:p>
    <w:p w14:paraId="689F9132" w14:textId="77777777" w:rsidR="0058665F" w:rsidRDefault="0058665F" w:rsidP="0058665F">
      <w:pPr>
        <w:pStyle w:val="Bullet1"/>
        <w:spacing w:line="240" w:lineRule="auto"/>
      </w:pPr>
      <w:r>
        <w:t>D</w:t>
      </w:r>
      <w:r w:rsidRPr="005A3A8F">
        <w:t>elivery of Part 2 of Form ADV</w:t>
      </w:r>
      <w:r>
        <w:t xml:space="preserve"> </w:t>
      </w:r>
      <w:sdt>
        <w:sdtPr>
          <w:alias w:val="Form CRS"/>
          <w:tag w:val="Form-CRS"/>
          <w:id w:val="316843548"/>
          <w:placeholder>
            <w:docPart w:val="2435EF8E7CC447889839D4D03776C03A"/>
          </w:placeholder>
        </w:sdtPr>
        <w:sdtEndPr/>
        <w:sdtContent>
          <w:r w:rsidRPr="00C611EB">
            <w:t>,Part 3 of Form ADV (Form CRS)</w:t>
          </w:r>
        </w:sdtContent>
      </w:sdt>
      <w:r w:rsidRPr="005A3A8F">
        <w:t xml:space="preserve"> and the </w:t>
      </w:r>
      <w:r>
        <w:t>p</w:t>
      </w:r>
      <w:r w:rsidRPr="005A3A8F">
        <w:t xml:space="preserve">rivacy </w:t>
      </w:r>
      <w:r>
        <w:t>n</w:t>
      </w:r>
      <w:r w:rsidRPr="005A3A8F">
        <w:t>otice</w:t>
      </w:r>
      <w:r>
        <w:t>, where applicable</w:t>
      </w:r>
    </w:p>
    <w:p w14:paraId="4C9212CA" w14:textId="77777777" w:rsidR="0058665F" w:rsidRPr="005A3A8F" w:rsidRDefault="0058665F" w:rsidP="0058665F">
      <w:pPr>
        <w:pStyle w:val="Bullet1"/>
        <w:spacing w:line="240" w:lineRule="auto"/>
      </w:pPr>
      <w:r>
        <w:t>Applicable state licensing, registration, and notice filing requirements</w:t>
      </w:r>
    </w:p>
    <w:p w14:paraId="1AE7B13E" w14:textId="77777777" w:rsidR="0058665F" w:rsidRPr="005A3A8F" w:rsidRDefault="0058665F" w:rsidP="0058665F">
      <w:pPr>
        <w:pStyle w:val="Bullet1"/>
        <w:spacing w:line="240" w:lineRule="auto"/>
      </w:pPr>
      <w:r w:rsidRPr="005A3A8F">
        <w:t>Disclosure of proxy voting summation</w:t>
      </w:r>
    </w:p>
    <w:p w14:paraId="4587538A" w14:textId="77777777" w:rsidR="0058665F" w:rsidRPr="005A3A8F" w:rsidRDefault="0058665F" w:rsidP="0058665F">
      <w:pPr>
        <w:pStyle w:val="Bullet1"/>
        <w:spacing w:line="240" w:lineRule="auto"/>
      </w:pPr>
      <w:r w:rsidRPr="005A3A8F">
        <w:t xml:space="preserve">Compliance with electronic document delivery </w:t>
      </w:r>
      <w:r>
        <w:t>requirements</w:t>
      </w:r>
    </w:p>
    <w:p w14:paraId="739CC1ED" w14:textId="77777777" w:rsidR="0058665F" w:rsidRPr="005A3A8F" w:rsidRDefault="0058665F" w:rsidP="0058665F">
      <w:pPr>
        <w:pStyle w:val="Bullet1"/>
        <w:spacing w:line="240" w:lineRule="auto"/>
      </w:pPr>
      <w:r w:rsidRPr="005A3A8F">
        <w:t>Investment</w:t>
      </w:r>
      <w:r>
        <w:t xml:space="preserve"> </w:t>
      </w:r>
      <w:r w:rsidRPr="005A3A8F">
        <w:t>management agreements</w:t>
      </w:r>
    </w:p>
    <w:p w14:paraId="5FC89768" w14:textId="77777777" w:rsidR="0058665F" w:rsidRPr="005A3A8F" w:rsidRDefault="0058665F" w:rsidP="0058665F">
      <w:pPr>
        <w:pStyle w:val="Bullet1"/>
        <w:spacing w:line="240" w:lineRule="auto"/>
      </w:pPr>
      <w:r w:rsidRPr="005A3A8F">
        <w:t>Side letter provisions</w:t>
      </w:r>
    </w:p>
    <w:p w14:paraId="2D6569CB" w14:textId="77777777" w:rsidR="0058665F" w:rsidRDefault="0058665F" w:rsidP="0058665F">
      <w:pPr>
        <w:pStyle w:val="Bullet1"/>
        <w:spacing w:line="240" w:lineRule="auto"/>
      </w:pPr>
      <w:r w:rsidRPr="005A3A8F">
        <w:t>Delivery of separate written solicitor’s disclosure document</w:t>
      </w:r>
      <w:r>
        <w:t>s</w:t>
      </w:r>
    </w:p>
    <w:sdt>
      <w:sdtPr>
        <w:alias w:val="Private Fund Adviser-Form D"/>
        <w:tag w:val="Private-Fund-Adviser-Form-D"/>
        <w:id w:val="-986620419"/>
        <w:placeholder>
          <w:docPart w:val="6C4745EB282B46119F8816958148C8DB"/>
        </w:placeholder>
      </w:sdtPr>
      <w:sdtEndPr/>
      <w:sdtContent>
        <w:p w14:paraId="269851A3" w14:textId="77777777" w:rsidR="0058665F" w:rsidRDefault="0058665F" w:rsidP="0058665F">
          <w:pPr>
            <w:pStyle w:val="Bullet1"/>
            <w:spacing w:line="240" w:lineRule="auto"/>
            <w:rPr>
              <w:rFonts w:eastAsia="Times New Roman" w:cs="Times New Roman"/>
              <w:szCs w:val="24"/>
            </w:rPr>
          </w:pPr>
          <w:r w:rsidRPr="00C611EB">
            <w:t xml:space="preserve">Initial and annual Form D filings </w:t>
          </w:r>
        </w:p>
      </w:sdtContent>
    </w:sdt>
    <w:sdt>
      <w:sdtPr>
        <w:alias w:val="Private Fund Adviser-Form PF"/>
        <w:tag w:val="Private-Fund-Adviser-Form-PF"/>
        <w:id w:val="1791541831"/>
        <w:placeholder>
          <w:docPart w:val="650DB36598234D02943F2D7A1D8C8606"/>
        </w:placeholder>
      </w:sdtPr>
      <w:sdtEndPr/>
      <w:sdtContent>
        <w:p w14:paraId="3C80993B" w14:textId="77777777" w:rsidR="0058665F" w:rsidRPr="007F4A3E" w:rsidRDefault="0058665F" w:rsidP="0058665F">
          <w:pPr>
            <w:pStyle w:val="Bullet1"/>
            <w:spacing w:line="240" w:lineRule="auto"/>
            <w:rPr>
              <w:rFonts w:eastAsia="Times New Roman" w:cs="Times New Roman"/>
              <w:szCs w:val="24"/>
            </w:rPr>
          </w:pPr>
          <w:r w:rsidRPr="00C611EB">
            <w:t>Filing of Form PF</w:t>
          </w:r>
        </w:p>
      </w:sdtContent>
    </w:sdt>
    <w:p w14:paraId="2C833D0F" w14:textId="77777777" w:rsidR="0058665F" w:rsidRPr="005A3A8F" w:rsidRDefault="0058665F" w:rsidP="0058665F">
      <w:pPr>
        <w:pStyle w:val="Bullet1"/>
        <w:spacing w:line="240" w:lineRule="auto"/>
      </w:pPr>
      <w:r w:rsidRPr="005A3A8F">
        <w:t xml:space="preserve">Filing of Form 13F, </w:t>
      </w:r>
      <w:r>
        <w:t xml:space="preserve">Form 13H, </w:t>
      </w:r>
      <w:r w:rsidRPr="005A3A8F">
        <w:t xml:space="preserve">Schedule 13G, Schedule 13D, and other </w:t>
      </w:r>
      <w:r>
        <w:t xml:space="preserve">relevant </w:t>
      </w:r>
      <w:r w:rsidRPr="005A3A8F">
        <w:t>regulatory filings</w:t>
      </w:r>
    </w:p>
    <w:p w14:paraId="41CA2D02" w14:textId="77777777" w:rsidR="0058665F" w:rsidRPr="005A3A8F" w:rsidRDefault="0058665F" w:rsidP="0058665F">
      <w:pPr>
        <w:rPr>
          <w:rFonts w:cs="Arial"/>
          <w:szCs w:val="20"/>
        </w:rPr>
      </w:pPr>
      <w:r w:rsidRPr="005A3A8F">
        <w:rPr>
          <w:rFonts w:cs="Arial"/>
          <w:szCs w:val="20"/>
        </w:rPr>
        <w:lastRenderedPageBreak/>
        <w:t xml:space="preserve">ACA’s review of </w:t>
      </w:r>
      <w:sdt>
        <w:sdtPr>
          <w:rPr>
            <w:rFonts w:cs="Arial"/>
            <w:szCs w:val="20"/>
          </w:rPr>
          <w:alias w:val="Client acronym possessive"/>
          <w:tag w:val="Client-acronym-possessive"/>
          <w:id w:val="1243142273"/>
          <w:placeholder>
            <w:docPart w:val="2435EF8E7CC447889839D4D03776C03A"/>
          </w:placeholder>
        </w:sdtPr>
        <w:sdtEndPr/>
        <w:sdtContent>
          <w:r w:rsidRPr="005A3A8F">
            <w:rPr>
              <w:rFonts w:cs="Arial"/>
              <w:szCs w:val="20"/>
            </w:rPr>
            <w:t>XYZ’s</w:t>
          </w:r>
        </w:sdtContent>
      </w:sdt>
      <w:r w:rsidRPr="005A3A8F">
        <w:rPr>
          <w:rFonts w:cs="Arial"/>
          <w:szCs w:val="20"/>
        </w:rPr>
        <w:t xml:space="preserve"> regulatory filing and disclosure activities re</w:t>
      </w:r>
      <w:r>
        <w:rPr>
          <w:rFonts w:cs="Arial"/>
          <w:szCs w:val="20"/>
        </w:rPr>
        <w:t xml:space="preserve">sulted in the </w:t>
      </w:r>
      <w:r w:rsidRPr="008530EA">
        <w:rPr>
          <w:rFonts w:cs="Arial"/>
          <w:szCs w:val="20"/>
        </w:rPr>
        <w:t xml:space="preserve">following </w:t>
      </w:r>
      <w:r>
        <w:rPr>
          <w:rFonts w:cs="Arial"/>
          <w:szCs w:val="20"/>
          <w:highlight w:val="yellow"/>
        </w:rPr>
        <w:t xml:space="preserve">&lt;comment OR </w:t>
      </w:r>
      <w:r w:rsidRPr="00757BDC">
        <w:rPr>
          <w:highlight w:val="yellow"/>
        </w:rPr>
        <w:t>comments</w:t>
      </w:r>
      <w:r>
        <w:rPr>
          <w:rFonts w:cs="Arial"/>
          <w:szCs w:val="20"/>
          <w:highlight w:val="yellow"/>
        </w:rPr>
        <w:t>&gt;</w:t>
      </w:r>
      <w:r>
        <w:rPr>
          <w:rFonts w:cs="Arial"/>
          <w:szCs w:val="20"/>
        </w:rPr>
        <w:t>.</w:t>
      </w:r>
    </w:p>
    <w:p w14:paraId="042D874A"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4BDC759B"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61ABC206"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153F5D76"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3AF14651"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55237215"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551141C4"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3989D50" w14:textId="77777777" w:rsidR="0058665F" w:rsidRPr="005A3A8F" w:rsidRDefault="0058665F" w:rsidP="00534EA9">
            <w:pPr>
              <w:rPr>
                <w:rFonts w:cs="Arial"/>
                <w:szCs w:val="20"/>
              </w:rPr>
            </w:pPr>
            <w:r>
              <w:rPr>
                <w:rFonts w:cs="Arial"/>
                <w:szCs w:val="20"/>
              </w:rPr>
              <w:t>F.1</w:t>
            </w:r>
          </w:p>
        </w:tc>
        <w:tc>
          <w:tcPr>
            <w:tcW w:w="2578" w:type="dxa"/>
            <w:tcBorders>
              <w:top w:val="single" w:sz="6" w:space="0" w:color="auto"/>
              <w:left w:val="single" w:sz="4" w:space="0" w:color="auto"/>
              <w:bottom w:val="single" w:sz="6" w:space="0" w:color="auto"/>
              <w:right w:val="single" w:sz="6" w:space="0" w:color="auto"/>
            </w:tcBorders>
            <w:vAlign w:val="center"/>
          </w:tcPr>
          <w:p w14:paraId="70D7F661"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2813CBCB" w14:textId="77777777" w:rsidR="0058665F" w:rsidRDefault="0058665F" w:rsidP="00534EA9">
            <w:pPr>
              <w:rPr>
                <w:rFonts w:cs="Arial"/>
                <w:szCs w:val="20"/>
              </w:rPr>
            </w:pPr>
          </w:p>
          <w:p w14:paraId="1A7DFB99"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6E29CFAE"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11F8A04F"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1214EA47" w14:textId="77777777" w:rsidR="0058665F" w:rsidRPr="005A3A8F" w:rsidRDefault="0058665F" w:rsidP="00534EA9">
            <w:pPr>
              <w:rPr>
                <w:rFonts w:cs="Arial"/>
                <w:szCs w:val="20"/>
              </w:rPr>
            </w:pPr>
            <w:r>
              <w:rPr>
                <w:rFonts w:cs="Arial"/>
                <w:szCs w:val="20"/>
              </w:rPr>
              <w:t>F</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476C52C0"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21AF68FE"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615B988F"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60EC0868"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0A2AC1EE" w14:textId="77777777" w:rsidR="0058665F" w:rsidRPr="005A3A8F" w:rsidRDefault="0058665F" w:rsidP="00534EA9">
            <w:pPr>
              <w:rPr>
                <w:rFonts w:cs="Arial"/>
                <w:szCs w:val="20"/>
              </w:rPr>
            </w:pPr>
            <w:r>
              <w:rPr>
                <w:rFonts w:cs="Arial"/>
                <w:szCs w:val="20"/>
              </w:rPr>
              <w:t>F</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255E890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6BB828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528C06C1"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5A0B6601" w14:textId="77777777" w:rsidR="0058665F" w:rsidRDefault="0058665F" w:rsidP="0058665F">
      <w:pPr>
        <w:rPr>
          <w:rFonts w:cs="Arial"/>
          <w:szCs w:val="20"/>
        </w:rPr>
      </w:pPr>
    </w:p>
    <w:p w14:paraId="0255279B" w14:textId="77777777" w:rsidR="0058665F" w:rsidRDefault="0058665F" w:rsidP="0058665F">
      <w:pPr>
        <w:rPr>
          <w:rFonts w:cs="Arial"/>
          <w:szCs w:val="20"/>
        </w:rPr>
      </w:pPr>
      <w:r>
        <w:rPr>
          <w:rFonts w:cs="Arial"/>
          <w:szCs w:val="20"/>
        </w:rPr>
        <w:br w:type="page"/>
      </w:r>
    </w:p>
    <w:p w14:paraId="17DD26B9" w14:textId="77777777" w:rsidR="0058665F" w:rsidRPr="00AC67FC" w:rsidRDefault="0058665F" w:rsidP="0058665F">
      <w:pPr>
        <w:pStyle w:val="Heading2"/>
        <w:ind w:left="0" w:firstLine="0"/>
      </w:pPr>
      <w:r w:rsidRPr="00AC67FC">
        <w:lastRenderedPageBreak/>
        <w:t xml:space="preserve">G. Safeguarding Client Assets </w:t>
      </w:r>
    </w:p>
    <w:p w14:paraId="1A2350A4" w14:textId="77777777" w:rsidR="0058665F" w:rsidRDefault="0058665F" w:rsidP="0058665F">
      <w:pPr>
        <w:rPr>
          <w:rFonts w:cs="Arial"/>
          <w:szCs w:val="20"/>
        </w:rPr>
      </w:pPr>
      <w:r w:rsidRPr="005A3A8F">
        <w:rPr>
          <w:rFonts w:cs="Arial"/>
          <w:szCs w:val="20"/>
        </w:rPr>
        <w:t>Rule 206(4)-2 under the Advisers Act outlines certain provisions that registered investment advisers must follow if they have custody of advisory clients’ funds or securities. The rule defines “custody” as “holding, directly or indirectly, client funds or securities, or having any authority to obtain possession of them</w:t>
      </w:r>
      <w:r>
        <w:rPr>
          <w:rFonts w:cs="Arial"/>
          <w:szCs w:val="20"/>
        </w:rPr>
        <w:t>,</w:t>
      </w:r>
      <w:r w:rsidRPr="005A3A8F">
        <w:rPr>
          <w:rFonts w:cs="Arial"/>
          <w:szCs w:val="20"/>
        </w:rPr>
        <w:t xml:space="preserve">” and includes several examples of practices that would give an adviser custody, including when an adviser acts in any capacity that gives it legal ownership of, or access to, the clients’ funds or securities. An adviser is generally prohibited from having custody of clients’ funds or securities unless such assets are held by one or more qualified custodians. </w:t>
      </w:r>
      <w:r>
        <w:rPr>
          <w:rFonts w:cs="Arial"/>
          <w:szCs w:val="20"/>
        </w:rPr>
        <w:t>Furthermore, an adviser with custody must (</w:t>
      </w:r>
      <w:proofErr w:type="spellStart"/>
      <w:r>
        <w:rPr>
          <w:rFonts w:cs="Arial"/>
          <w:szCs w:val="20"/>
        </w:rPr>
        <w:t>i</w:t>
      </w:r>
      <w:proofErr w:type="spellEnd"/>
      <w:r>
        <w:rPr>
          <w:rFonts w:cs="Arial"/>
          <w:szCs w:val="20"/>
        </w:rPr>
        <w:t>) provide notices to clients detailing how their funds and securities are being held, (ii) provide account statements for clients detailing their holdings and (iii) conduct an independent verification of client funds and securities, unless an exception applies. The requirements imposed by Rule 206(4)-2 generally apply only to those funds and securities over which an adviser has custody.</w:t>
      </w:r>
    </w:p>
    <w:p w14:paraId="57D96E5B" w14:textId="77777777" w:rsidR="0058665F" w:rsidRPr="005A3A8F" w:rsidRDefault="0058665F" w:rsidP="0058665F">
      <w:pPr>
        <w:rPr>
          <w:rFonts w:cs="Arial"/>
          <w:szCs w:val="20"/>
        </w:rPr>
      </w:pPr>
    </w:p>
    <w:p w14:paraId="4B6B7D89"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75BBE0DC" w14:textId="77777777" w:rsidR="0058665F" w:rsidRPr="005A3A8F" w:rsidRDefault="0058665F" w:rsidP="0058665F">
      <w:pPr>
        <w:rPr>
          <w:rFonts w:cs="Arial"/>
          <w:szCs w:val="20"/>
        </w:rPr>
      </w:pPr>
    </w:p>
    <w:p w14:paraId="43AE4DEF"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591849277"/>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the safeguarding of client assets resulted in no </w:t>
      </w:r>
      <w:r>
        <w:rPr>
          <w:rFonts w:cs="Arial"/>
          <w:szCs w:val="20"/>
        </w:rPr>
        <w:t>notable issues</w:t>
      </w:r>
      <w:r w:rsidRPr="005A3A8F">
        <w:rPr>
          <w:rFonts w:cs="Arial"/>
          <w:szCs w:val="20"/>
        </w:rPr>
        <w:t xml:space="preserve"> with respect to the following areas: </w:t>
      </w:r>
    </w:p>
    <w:p w14:paraId="10F0A6F7"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450904595"/>
          <w:placeholder>
            <w:docPart w:val="2435EF8E7CC447889839D4D03776C03A"/>
          </w:placeholder>
        </w:sdtPr>
        <w:sdtEndPr/>
        <w:sdtContent>
          <w:r w:rsidRPr="005A3A8F">
            <w:t>XYZ’s</w:t>
          </w:r>
        </w:sdtContent>
      </w:sdt>
      <w:r w:rsidRPr="005A3A8F">
        <w:t xml:space="preserve"> </w:t>
      </w:r>
      <w:r>
        <w:t xml:space="preserve">policies and procedures regarding </w:t>
      </w:r>
      <w:r w:rsidRPr="005A3A8F">
        <w:t>custody and safeguarding of client assets</w:t>
      </w:r>
    </w:p>
    <w:p w14:paraId="7B41FCBC" w14:textId="77777777" w:rsidR="0058665F" w:rsidRPr="005A3A8F" w:rsidRDefault="0058665F" w:rsidP="0058665F">
      <w:pPr>
        <w:pStyle w:val="Bullet1"/>
        <w:spacing w:line="240" w:lineRule="auto"/>
      </w:pPr>
      <w:r w:rsidRPr="005A3A8F">
        <w:t>Capital control and asset reconciliation processes</w:t>
      </w:r>
    </w:p>
    <w:p w14:paraId="2D89C28B" w14:textId="77777777" w:rsidR="0058665F" w:rsidRPr="005A3A8F" w:rsidRDefault="0058665F" w:rsidP="0058665F">
      <w:pPr>
        <w:pStyle w:val="Bullet1"/>
        <w:spacing w:line="240" w:lineRule="auto"/>
      </w:pPr>
      <w:r>
        <w:t>Use</w:t>
      </w:r>
      <w:r w:rsidRPr="005A3A8F">
        <w:t xml:space="preserve"> of qualified custodians</w:t>
      </w:r>
    </w:p>
    <w:p w14:paraId="18F906EB" w14:textId="77777777" w:rsidR="0058665F" w:rsidRPr="005A3A8F" w:rsidRDefault="0058665F" w:rsidP="0058665F">
      <w:pPr>
        <w:pStyle w:val="Bullet1"/>
        <w:spacing w:line="240" w:lineRule="auto"/>
      </w:pPr>
      <w:r w:rsidRPr="005A3A8F">
        <w:t>Requirement for independent asset verifications</w:t>
      </w:r>
    </w:p>
    <w:p w14:paraId="248B3698" w14:textId="77777777" w:rsidR="0058665F" w:rsidRPr="00DB0611" w:rsidRDefault="0058665F" w:rsidP="0058665F">
      <w:pPr>
        <w:pStyle w:val="Bullet1"/>
        <w:spacing w:line="240" w:lineRule="auto"/>
      </w:pPr>
      <w:r w:rsidRPr="00DB0611">
        <w:t>Processing of investor subscriptions, redemptions, and transfers</w:t>
      </w:r>
    </w:p>
    <w:p w14:paraId="0BBA3B2A" w14:textId="77777777" w:rsidR="0058665F" w:rsidRPr="005A3A8F" w:rsidRDefault="0058665F" w:rsidP="0058665F">
      <w:pPr>
        <w:pStyle w:val="Bullet1"/>
        <w:spacing w:line="240" w:lineRule="auto"/>
      </w:pPr>
      <w:r w:rsidRPr="005A3A8F">
        <w:t>Delivery of quarterly account statements</w:t>
      </w:r>
    </w:p>
    <w:p w14:paraId="027C7ADA" w14:textId="77777777" w:rsidR="0058665F" w:rsidRPr="005A3A8F" w:rsidRDefault="0058665F" w:rsidP="0058665F">
      <w:pPr>
        <w:pStyle w:val="Bullet1"/>
        <w:spacing w:line="240" w:lineRule="auto"/>
      </w:pPr>
      <w:r w:rsidRPr="005A3A8F">
        <w:t>Notification to client</w:t>
      </w:r>
      <w:r>
        <w:t>s</w:t>
      </w:r>
      <w:r w:rsidRPr="005A3A8F">
        <w:t xml:space="preserve"> of new custodial accounts</w:t>
      </w:r>
    </w:p>
    <w:p w14:paraId="7C81A055" w14:textId="77777777" w:rsidR="0058665F" w:rsidRPr="005A3A8F" w:rsidRDefault="0058665F" w:rsidP="0058665F">
      <w:pPr>
        <w:pStyle w:val="Bullet1"/>
        <w:spacing w:line="240" w:lineRule="auto"/>
      </w:pPr>
      <w:r w:rsidRPr="005A3A8F">
        <w:t xml:space="preserve">Inadvertent receipt of client assets </w:t>
      </w:r>
    </w:p>
    <w:p w14:paraId="13F0E45B" w14:textId="77777777" w:rsidR="0058665F" w:rsidRPr="005A3A8F" w:rsidRDefault="0058665F" w:rsidP="0058665F">
      <w:pPr>
        <w:pStyle w:val="Bullet1"/>
        <w:spacing w:line="240" w:lineRule="auto"/>
      </w:pPr>
      <w:r>
        <w:t>Timely completion and delivery of a</w:t>
      </w:r>
      <w:r w:rsidRPr="005A3A8F">
        <w:t>ccounting audits of private investment funds</w:t>
      </w:r>
      <w:r>
        <w:t xml:space="preserve"> and special purpose vehicles </w:t>
      </w:r>
    </w:p>
    <w:p w14:paraId="1B752AD6" w14:textId="77777777" w:rsidR="0058665F" w:rsidRPr="005A3A8F" w:rsidRDefault="0058665F" w:rsidP="0058665F">
      <w:pPr>
        <w:pStyle w:val="Bullet1"/>
        <w:spacing w:line="240" w:lineRule="auto"/>
      </w:pPr>
      <w:r w:rsidRPr="005A3A8F">
        <w:t>Acting as trustee or signatory of a client account</w:t>
      </w:r>
    </w:p>
    <w:p w14:paraId="78F91AEC" w14:textId="77777777" w:rsidR="0058665F" w:rsidRPr="005A3A8F" w:rsidRDefault="0058665F" w:rsidP="0058665F">
      <w:pPr>
        <w:pStyle w:val="Bullet1"/>
        <w:spacing w:line="240" w:lineRule="auto"/>
      </w:pPr>
      <w:r>
        <w:t>Maintenance of r</w:t>
      </w:r>
      <w:r w:rsidRPr="005A3A8F">
        <w:t xml:space="preserve">equired books and records for advisers </w:t>
      </w:r>
      <w:r>
        <w:t>deemed to have</w:t>
      </w:r>
      <w:r w:rsidRPr="005A3A8F">
        <w:t xml:space="preserve"> custody of client assets</w:t>
      </w:r>
    </w:p>
    <w:p w14:paraId="078ABF02" w14:textId="77777777" w:rsidR="0058665F" w:rsidRPr="005A3A8F" w:rsidRDefault="0058665F" w:rsidP="0058665F">
      <w:pPr>
        <w:rPr>
          <w:rFonts w:cs="Arial"/>
          <w:szCs w:val="20"/>
        </w:rPr>
      </w:pPr>
      <w:r w:rsidRPr="002C1036">
        <w:rPr>
          <w:rFonts w:cs="Arial"/>
          <w:szCs w:val="20"/>
        </w:rPr>
        <w:t xml:space="preserve">ACA’s review of this regulatory issue resulted in the following </w:t>
      </w:r>
      <w:r>
        <w:rPr>
          <w:rFonts w:cs="Arial"/>
          <w:szCs w:val="20"/>
          <w:highlight w:val="yellow"/>
        </w:rPr>
        <w:t xml:space="preserve">&lt;comment OR </w:t>
      </w:r>
      <w:r w:rsidRPr="00757BDC">
        <w:rPr>
          <w:highlight w:val="yellow"/>
        </w:rPr>
        <w:t>comments</w:t>
      </w:r>
      <w:r>
        <w:rPr>
          <w:rFonts w:cs="Arial"/>
          <w:szCs w:val="20"/>
          <w:highlight w:val="yellow"/>
        </w:rPr>
        <w:t>&gt;</w:t>
      </w:r>
      <w:r>
        <w:rPr>
          <w:rFonts w:cs="Arial"/>
          <w:szCs w:val="20"/>
        </w:rPr>
        <w:t>.</w:t>
      </w:r>
    </w:p>
    <w:p w14:paraId="70CE5929"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1918F6AF"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373F64E5"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lastRenderedPageBreak/>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160E675B"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419FD072"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2B0C7CB5"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740373FE"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DBC63A0" w14:textId="77777777" w:rsidR="0058665F" w:rsidRPr="005A3A8F" w:rsidRDefault="0058665F" w:rsidP="00534EA9">
            <w:pPr>
              <w:rPr>
                <w:rFonts w:cs="Arial"/>
                <w:szCs w:val="20"/>
              </w:rPr>
            </w:pPr>
            <w:r>
              <w:rPr>
                <w:rFonts w:cs="Arial"/>
                <w:szCs w:val="20"/>
              </w:rPr>
              <w:t>G.1</w:t>
            </w:r>
          </w:p>
        </w:tc>
        <w:tc>
          <w:tcPr>
            <w:tcW w:w="2578" w:type="dxa"/>
            <w:tcBorders>
              <w:top w:val="single" w:sz="6" w:space="0" w:color="auto"/>
              <w:left w:val="single" w:sz="4" w:space="0" w:color="auto"/>
              <w:bottom w:val="single" w:sz="6" w:space="0" w:color="auto"/>
              <w:right w:val="single" w:sz="6" w:space="0" w:color="auto"/>
            </w:tcBorders>
            <w:vAlign w:val="center"/>
          </w:tcPr>
          <w:p w14:paraId="6F46D8F9"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0BFEBF5F"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47005D2D"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7E0C1828"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4385BFA6" w14:textId="77777777" w:rsidR="0058665F" w:rsidRPr="005A3A8F" w:rsidRDefault="0058665F" w:rsidP="00534EA9">
            <w:pPr>
              <w:rPr>
                <w:rFonts w:cs="Arial"/>
                <w:szCs w:val="20"/>
              </w:rPr>
            </w:pPr>
            <w:r>
              <w:rPr>
                <w:rFonts w:cs="Arial"/>
                <w:szCs w:val="20"/>
              </w:rPr>
              <w:t>G</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7D161E30"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5491244D"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5F2A8A64"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36C83211"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3107C412" w14:textId="77777777" w:rsidR="0058665F" w:rsidRPr="005A3A8F" w:rsidRDefault="0058665F" w:rsidP="00534EA9">
            <w:pPr>
              <w:rPr>
                <w:rFonts w:cs="Arial"/>
                <w:szCs w:val="20"/>
              </w:rPr>
            </w:pPr>
            <w:r>
              <w:rPr>
                <w:rFonts w:cs="Arial"/>
                <w:szCs w:val="20"/>
              </w:rPr>
              <w:t>G</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11F9C507"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60852E5"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7860DB41"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39358DEB" w14:textId="77777777" w:rsidR="0058665F" w:rsidRDefault="0058665F" w:rsidP="0058665F"/>
    <w:p w14:paraId="56923EBF" w14:textId="77777777" w:rsidR="0058665F" w:rsidRDefault="0058665F" w:rsidP="0058665F">
      <w:r>
        <w:br w:type="page"/>
      </w:r>
    </w:p>
    <w:p w14:paraId="437DFF13" w14:textId="77777777" w:rsidR="0058665F" w:rsidRPr="00AC67FC" w:rsidRDefault="0058665F" w:rsidP="0058665F">
      <w:pPr>
        <w:pStyle w:val="Heading2"/>
        <w:ind w:left="0" w:firstLine="0"/>
      </w:pPr>
      <w:r w:rsidRPr="00AC67FC">
        <w:lastRenderedPageBreak/>
        <w:t xml:space="preserve">H. Books and Records </w:t>
      </w:r>
    </w:p>
    <w:p w14:paraId="53AF6600" w14:textId="77777777" w:rsidR="0058665F" w:rsidRPr="005A3A8F" w:rsidRDefault="0058665F" w:rsidP="0058665F">
      <w:pPr>
        <w:rPr>
          <w:rFonts w:cs="Arial"/>
          <w:szCs w:val="20"/>
        </w:rPr>
      </w:pPr>
      <w:r w:rsidRPr="005A3A8F">
        <w:rPr>
          <w:rFonts w:cs="Arial"/>
          <w:szCs w:val="20"/>
        </w:rPr>
        <w:t>Rule 204</w:t>
      </w:r>
      <w:r w:rsidRPr="005A3A8F">
        <w:rPr>
          <w:rFonts w:cs="Arial"/>
          <w:szCs w:val="20"/>
        </w:rPr>
        <w:noBreakHyphen/>
        <w:t xml:space="preserve">2 under the Advisers Act requires an investment adviser to make and keep true, accurate, and current certain books and records relating to its advisory business. In </w:t>
      </w:r>
      <w:r w:rsidRPr="005A3A8F">
        <w:rPr>
          <w:rFonts w:cs="Arial"/>
          <w:i/>
          <w:szCs w:val="20"/>
        </w:rPr>
        <w:t>Release IA-2204</w:t>
      </w:r>
      <w:r w:rsidRPr="005A3A8F">
        <w:rPr>
          <w:rFonts w:cs="Arial"/>
          <w:szCs w:val="20"/>
        </w:rPr>
        <w:t>, the SEC stated that investment advisers should adopt and implement policies and procedures governing</w:t>
      </w:r>
      <w:r w:rsidRPr="005A3A8F" w:rsidDel="007078A9">
        <w:rPr>
          <w:rFonts w:cs="Arial"/>
          <w:szCs w:val="20"/>
        </w:rPr>
        <w:t xml:space="preserve"> </w:t>
      </w:r>
      <w:r w:rsidRPr="005A3A8F">
        <w:rPr>
          <w:rFonts w:cs="Arial"/>
          <w:szCs w:val="20"/>
        </w:rPr>
        <w:t>“the accurate creation of required records and their maintenance in a manner that secures them from unauthorized alteration or use and protects them from untimely destruction.” The required documents covered under R</w:t>
      </w:r>
      <w:r>
        <w:rPr>
          <w:rFonts w:cs="Arial"/>
          <w:szCs w:val="20"/>
        </w:rPr>
        <w:t>ule 204-2 include, among others:</w:t>
      </w:r>
    </w:p>
    <w:p w14:paraId="0AE8EFA3" w14:textId="77777777" w:rsidR="0058665F" w:rsidRPr="005A3A8F" w:rsidRDefault="0058665F" w:rsidP="0058665F">
      <w:pPr>
        <w:pStyle w:val="Bullet1"/>
        <w:spacing w:line="240" w:lineRule="auto"/>
      </w:pPr>
      <w:r>
        <w:t>G</w:t>
      </w:r>
      <w:r w:rsidRPr="005A3A8F">
        <w:t>eneral business records (paragraphs a.1 and a.2, a.4 to a.6, a.10, and e.2</w:t>
      </w:r>
      <w:proofErr w:type="gramStart"/>
      <w:r>
        <w:t>);</w:t>
      </w:r>
      <w:proofErr w:type="gramEnd"/>
    </w:p>
    <w:p w14:paraId="253DE754" w14:textId="77777777" w:rsidR="0058665F" w:rsidRPr="005A3A8F" w:rsidRDefault="0058665F" w:rsidP="0058665F">
      <w:pPr>
        <w:pStyle w:val="Bullet1"/>
        <w:spacing w:line="240" w:lineRule="auto"/>
      </w:pPr>
      <w:r>
        <w:t>T</w:t>
      </w:r>
      <w:r w:rsidRPr="005A3A8F">
        <w:t>rading and account management records (a.3, a.7, and c.1</w:t>
      </w:r>
      <w:proofErr w:type="gramStart"/>
      <w:r>
        <w:t>);</w:t>
      </w:r>
      <w:proofErr w:type="gramEnd"/>
    </w:p>
    <w:p w14:paraId="52E05450" w14:textId="77777777" w:rsidR="0058665F" w:rsidRPr="005A3A8F" w:rsidRDefault="0058665F" w:rsidP="0058665F">
      <w:pPr>
        <w:pStyle w:val="Bullet1"/>
        <w:spacing w:line="240" w:lineRule="auto"/>
      </w:pPr>
      <w:r>
        <w:t>C</w:t>
      </w:r>
      <w:r w:rsidRPr="005A3A8F">
        <w:t>ommunications and client relationship records (a.7 to a.10, and a.14</w:t>
      </w:r>
      <w:proofErr w:type="gramStart"/>
      <w:r w:rsidRPr="005A3A8F">
        <w:t>)</w:t>
      </w:r>
      <w:r>
        <w:t>;</w:t>
      </w:r>
      <w:proofErr w:type="gramEnd"/>
    </w:p>
    <w:p w14:paraId="030F4FE4" w14:textId="77777777" w:rsidR="0058665F" w:rsidRPr="005A3A8F" w:rsidRDefault="0058665F" w:rsidP="0058665F">
      <w:pPr>
        <w:pStyle w:val="Bullet1"/>
        <w:spacing w:line="240" w:lineRule="auto"/>
      </w:pPr>
      <w:r>
        <w:t>M</w:t>
      </w:r>
      <w:r w:rsidRPr="005A3A8F">
        <w:t>arketing and performance records (a.7, a.11, and a.16</w:t>
      </w:r>
      <w:proofErr w:type="gramStart"/>
      <w:r>
        <w:t>);</w:t>
      </w:r>
      <w:proofErr w:type="gramEnd"/>
    </w:p>
    <w:p w14:paraId="7D789499" w14:textId="77777777" w:rsidR="0058665F" w:rsidRPr="005A3A8F" w:rsidRDefault="0058665F" w:rsidP="0058665F">
      <w:pPr>
        <w:pStyle w:val="Bullet1"/>
        <w:spacing w:line="240" w:lineRule="auto"/>
      </w:pPr>
      <w:r>
        <w:t>C</w:t>
      </w:r>
      <w:r w:rsidRPr="005A3A8F">
        <w:t>ompliance and internal control records (a.7 and a.17</w:t>
      </w:r>
      <w:proofErr w:type="gramStart"/>
      <w:r>
        <w:t>);</w:t>
      </w:r>
      <w:proofErr w:type="gramEnd"/>
    </w:p>
    <w:p w14:paraId="15E9A953" w14:textId="77777777" w:rsidR="0058665F" w:rsidRPr="005A3A8F" w:rsidRDefault="0058665F" w:rsidP="0058665F">
      <w:pPr>
        <w:pStyle w:val="Bullet1"/>
        <w:spacing w:line="240" w:lineRule="auto"/>
      </w:pPr>
      <w:r>
        <w:t>C</w:t>
      </w:r>
      <w:r w:rsidRPr="005A3A8F">
        <w:t>ash solicitation records (a.10 and a.15</w:t>
      </w:r>
      <w:proofErr w:type="gramStart"/>
      <w:r>
        <w:t>);</w:t>
      </w:r>
      <w:proofErr w:type="gramEnd"/>
    </w:p>
    <w:p w14:paraId="40118362" w14:textId="77777777" w:rsidR="0058665F" w:rsidRPr="005A3A8F" w:rsidRDefault="0058665F" w:rsidP="0058665F">
      <w:pPr>
        <w:pStyle w:val="Bullet1"/>
        <w:spacing w:line="240" w:lineRule="auto"/>
      </w:pPr>
      <w:r>
        <w:t>T</w:t>
      </w:r>
      <w:r w:rsidRPr="005A3A8F">
        <w:t>he code of ethics and personal trading records (a.12 and a.13</w:t>
      </w:r>
      <w:proofErr w:type="gramStart"/>
      <w:r>
        <w:t>);</w:t>
      </w:r>
      <w:proofErr w:type="gramEnd"/>
    </w:p>
    <w:p w14:paraId="7AEA2336" w14:textId="77777777" w:rsidR="0058665F" w:rsidRPr="005A3A8F" w:rsidRDefault="0058665F" w:rsidP="0058665F">
      <w:pPr>
        <w:pStyle w:val="Bullet1"/>
        <w:spacing w:line="240" w:lineRule="auto"/>
      </w:pPr>
      <w:r>
        <w:t>C</w:t>
      </w:r>
      <w:r w:rsidRPr="005A3A8F">
        <w:t>ertain additional records for accounts over which the adviser has custody (b)</w:t>
      </w:r>
      <w:r>
        <w:t>;</w:t>
      </w:r>
      <w:r w:rsidRPr="005A3A8F">
        <w:t xml:space="preserve"> and</w:t>
      </w:r>
    </w:p>
    <w:p w14:paraId="0355BBF1" w14:textId="77777777" w:rsidR="0058665F" w:rsidRPr="005A3A8F" w:rsidRDefault="0058665F" w:rsidP="0058665F">
      <w:pPr>
        <w:pStyle w:val="Bullet1"/>
        <w:spacing w:line="240" w:lineRule="auto"/>
      </w:pPr>
      <w:r>
        <w:t>I</w:t>
      </w:r>
      <w:r w:rsidRPr="005A3A8F">
        <w:t>f applicable, proxy voting records (c.2).</w:t>
      </w:r>
    </w:p>
    <w:p w14:paraId="0B17C0A1" w14:textId="77777777" w:rsidR="0058665F" w:rsidRPr="005A3A8F" w:rsidRDefault="0058665F" w:rsidP="0058665F">
      <w:pPr>
        <w:rPr>
          <w:rFonts w:cs="Arial"/>
          <w:szCs w:val="20"/>
        </w:rPr>
      </w:pPr>
      <w:r w:rsidRPr="005A3A8F">
        <w:rPr>
          <w:rFonts w:cs="Arial"/>
          <w:szCs w:val="20"/>
        </w:rPr>
        <w:t xml:space="preserve">Many required records must be kept for five years after the end of the fiscal year in which the record was created or last modified. Rule 204-2(e) describes the required retention periods for specific books and records. </w:t>
      </w:r>
    </w:p>
    <w:p w14:paraId="29459D2F" w14:textId="77777777" w:rsidR="0058665F" w:rsidRPr="005A3A8F" w:rsidRDefault="0058665F" w:rsidP="0058665F">
      <w:pPr>
        <w:rPr>
          <w:rFonts w:cs="Arial"/>
          <w:szCs w:val="20"/>
        </w:rPr>
      </w:pPr>
    </w:p>
    <w:p w14:paraId="6EABCC7E" w14:textId="77777777" w:rsidR="0058665F" w:rsidRPr="005A3A8F" w:rsidRDefault="0058665F" w:rsidP="0058665F">
      <w:pPr>
        <w:rPr>
          <w:rFonts w:cs="Arial"/>
          <w:szCs w:val="20"/>
        </w:rPr>
      </w:pPr>
      <w:r w:rsidRPr="005A3A8F">
        <w:rPr>
          <w:rFonts w:cs="Arial"/>
          <w:szCs w:val="20"/>
        </w:rPr>
        <w:t xml:space="preserve">Registered investment advisers are generally permitted to store required records electronically. In addition, Rule 204-2(g) has these specific requirements: </w:t>
      </w:r>
    </w:p>
    <w:p w14:paraId="4FD0F55C" w14:textId="77777777" w:rsidR="0058665F" w:rsidRPr="005A3A8F" w:rsidRDefault="0058665F" w:rsidP="0058665F">
      <w:pPr>
        <w:pStyle w:val="Bullet1"/>
        <w:spacing w:line="240" w:lineRule="auto"/>
      </w:pPr>
      <w:r w:rsidRPr="005A3A8F">
        <w:t xml:space="preserve">Electronic records must be arranged and indexed in a way that permits easy location, access, and retrieval of any </w:t>
      </w:r>
      <w:proofErr w:type="gramStart"/>
      <w:r w:rsidRPr="005A3A8F">
        <w:t>particular record</w:t>
      </w:r>
      <w:proofErr w:type="gramEnd"/>
      <w:r w:rsidRPr="005A3A8F">
        <w:t>.</w:t>
      </w:r>
    </w:p>
    <w:p w14:paraId="1E61A05E" w14:textId="77777777" w:rsidR="0058665F" w:rsidRPr="005A3A8F" w:rsidRDefault="0058665F" w:rsidP="0058665F">
      <w:pPr>
        <w:pStyle w:val="Bullet1"/>
        <w:spacing w:line="240" w:lineRule="auto"/>
      </w:pPr>
      <w:r w:rsidRPr="005A3A8F">
        <w:t>The adviser must promptly provide any of the following upon SEC examiner request:</w:t>
      </w:r>
    </w:p>
    <w:p w14:paraId="2251F6BD" w14:textId="77777777" w:rsidR="0058665F" w:rsidRPr="005A3A8F" w:rsidRDefault="0058665F" w:rsidP="0058665F">
      <w:pPr>
        <w:pStyle w:val="Bullet2"/>
        <w:spacing w:line="240" w:lineRule="auto"/>
      </w:pPr>
      <w:r w:rsidRPr="005A3A8F">
        <w:t>A legible, true, and complete copy of the record in the medium and format in which it is stored</w:t>
      </w:r>
    </w:p>
    <w:p w14:paraId="3D737A2A" w14:textId="77777777" w:rsidR="0058665F" w:rsidRPr="005A3A8F" w:rsidRDefault="0058665F" w:rsidP="0058665F">
      <w:pPr>
        <w:pStyle w:val="Bullet2"/>
        <w:spacing w:line="240" w:lineRule="auto"/>
      </w:pPr>
      <w:r w:rsidRPr="005A3A8F">
        <w:t>A legible, true, and complete printout of the record</w:t>
      </w:r>
    </w:p>
    <w:p w14:paraId="12227E5E" w14:textId="77777777" w:rsidR="0058665F" w:rsidRPr="005A3A8F" w:rsidRDefault="0058665F" w:rsidP="0058665F">
      <w:pPr>
        <w:pStyle w:val="Bullet2"/>
        <w:spacing w:line="240" w:lineRule="auto"/>
      </w:pPr>
      <w:r w:rsidRPr="005A3A8F">
        <w:t>Means to access, view, and print the records</w:t>
      </w:r>
    </w:p>
    <w:p w14:paraId="50569F35" w14:textId="77777777" w:rsidR="0058665F" w:rsidRPr="005A3A8F" w:rsidRDefault="0058665F" w:rsidP="0058665F">
      <w:pPr>
        <w:pStyle w:val="Bullet1"/>
        <w:spacing w:line="240" w:lineRule="auto"/>
      </w:pPr>
      <w:r w:rsidRPr="005A3A8F">
        <w:t>The adviser must separately store, for the time required for preservation of the original record, a duplicate copy of the record in a permissible medium (i.e., hard copy, electronic, or micrographic).</w:t>
      </w:r>
    </w:p>
    <w:p w14:paraId="2626A3E6" w14:textId="77777777" w:rsidR="0058665F" w:rsidRPr="005A3A8F" w:rsidRDefault="0058665F" w:rsidP="0058665F">
      <w:pPr>
        <w:pStyle w:val="Bullet1"/>
        <w:spacing w:line="240" w:lineRule="auto"/>
      </w:pPr>
      <w:r w:rsidRPr="005A3A8F">
        <w:t>The adviser must establish and maintain procedures</w:t>
      </w:r>
    </w:p>
    <w:p w14:paraId="336A7AC2" w14:textId="77777777" w:rsidR="0058665F" w:rsidRPr="005A3A8F" w:rsidRDefault="0058665F" w:rsidP="0058665F">
      <w:pPr>
        <w:pStyle w:val="Bullet2"/>
        <w:spacing w:line="240" w:lineRule="auto"/>
      </w:pPr>
      <w:r w:rsidRPr="005A3A8F">
        <w:t>to ma</w:t>
      </w:r>
      <w:r>
        <w:t>intain and preserve the records</w:t>
      </w:r>
      <w:r w:rsidRPr="005A3A8F">
        <w:t xml:space="preserve"> so as to reasonably safeguard them from loss, alteration, or </w:t>
      </w:r>
      <w:proofErr w:type="gramStart"/>
      <w:r w:rsidRPr="005A3A8F">
        <w:t>destruction;</w:t>
      </w:r>
      <w:proofErr w:type="gramEnd"/>
    </w:p>
    <w:p w14:paraId="16F433E7" w14:textId="77777777" w:rsidR="0058665F" w:rsidRPr="005A3A8F" w:rsidRDefault="0058665F" w:rsidP="0058665F">
      <w:pPr>
        <w:pStyle w:val="Bullet2"/>
        <w:keepNext/>
        <w:spacing w:line="240" w:lineRule="auto"/>
      </w:pPr>
      <w:r w:rsidRPr="005A3A8F">
        <w:lastRenderedPageBreak/>
        <w:t xml:space="preserve">to limit access to the records to properly authorized personnel and the SEC; and </w:t>
      </w:r>
    </w:p>
    <w:p w14:paraId="3177ED13" w14:textId="77777777" w:rsidR="0058665F" w:rsidRPr="005A3A8F" w:rsidRDefault="0058665F" w:rsidP="0058665F">
      <w:pPr>
        <w:pStyle w:val="Bullet2"/>
        <w:spacing w:line="240" w:lineRule="auto"/>
      </w:pPr>
      <w:r w:rsidRPr="005A3A8F">
        <w:t>to reasonably ensure that any reproduction of a non-electronic original record on electronic storage media is complete, true, and legible when retrieved.</w:t>
      </w:r>
    </w:p>
    <w:p w14:paraId="60CEC8AB"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77F52EFF" w14:textId="77777777" w:rsidR="0058665F" w:rsidRPr="005A3A8F" w:rsidRDefault="0058665F" w:rsidP="0058665F">
      <w:pPr>
        <w:rPr>
          <w:rFonts w:cs="Arial"/>
          <w:szCs w:val="20"/>
        </w:rPr>
      </w:pPr>
    </w:p>
    <w:p w14:paraId="1418D58A"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904644107"/>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the creation and maintenance of required records resulted in no </w:t>
      </w:r>
      <w:r>
        <w:rPr>
          <w:rFonts w:cs="Arial"/>
          <w:szCs w:val="20"/>
        </w:rPr>
        <w:t>notable issues</w:t>
      </w:r>
      <w:r w:rsidRPr="005A3A8F">
        <w:rPr>
          <w:rFonts w:cs="Arial"/>
          <w:szCs w:val="20"/>
        </w:rPr>
        <w:t xml:space="preserve"> with respect to the following areas: </w:t>
      </w:r>
    </w:p>
    <w:p w14:paraId="17C4CE00"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745454450"/>
          <w:placeholder>
            <w:docPart w:val="2435EF8E7CC447889839D4D03776C03A"/>
          </w:placeholder>
        </w:sdtPr>
        <w:sdtEndPr/>
        <w:sdtContent>
          <w:r w:rsidRPr="005A3A8F">
            <w:t>XYZ’s</w:t>
          </w:r>
        </w:sdtContent>
      </w:sdt>
      <w:r w:rsidRPr="005A3A8F">
        <w:t xml:space="preserve"> written recordkeeping polic</w:t>
      </w:r>
      <w:r>
        <w:t>ies</w:t>
      </w:r>
      <w:r w:rsidRPr="005A3A8F">
        <w:t xml:space="preserve"> and procedures</w:t>
      </w:r>
    </w:p>
    <w:p w14:paraId="741F98AF" w14:textId="77777777" w:rsidR="0058665F" w:rsidRPr="005A3A8F" w:rsidRDefault="0058665F" w:rsidP="0058665F">
      <w:pPr>
        <w:pStyle w:val="Bullet1"/>
        <w:spacing w:line="240" w:lineRule="auto"/>
      </w:pPr>
      <w:r w:rsidRPr="005A3A8F">
        <w:t>Ability of XYZ to produce complete records in a timely manner upon request</w:t>
      </w:r>
    </w:p>
    <w:p w14:paraId="7B3164BC" w14:textId="77777777" w:rsidR="0058665F" w:rsidRPr="005A3A8F" w:rsidRDefault="0058665F" w:rsidP="0058665F">
      <w:pPr>
        <w:pStyle w:val="Bullet1"/>
        <w:spacing w:line="240" w:lineRule="auto"/>
      </w:pPr>
      <w:r w:rsidRPr="005A3A8F">
        <w:t xml:space="preserve">Maintenance of </w:t>
      </w:r>
      <w:sdt>
        <w:sdtPr>
          <w:alias w:val="Client acronym possessive"/>
          <w:tag w:val="Client-acronym-possessive"/>
          <w:id w:val="508646824"/>
          <w:placeholder>
            <w:docPart w:val="2435EF8E7CC447889839D4D03776C03A"/>
          </w:placeholder>
        </w:sdtPr>
        <w:sdtEndPr/>
        <w:sdtContent>
          <w:r w:rsidRPr="005A3A8F">
            <w:t>XYZ’s</w:t>
          </w:r>
        </w:sdtContent>
      </w:sdt>
      <w:r w:rsidRPr="005A3A8F">
        <w:t xml:space="preserve"> financial statements</w:t>
      </w:r>
    </w:p>
    <w:p w14:paraId="30F2878B" w14:textId="77777777" w:rsidR="0058665F" w:rsidRPr="005A3A8F" w:rsidRDefault="0058665F" w:rsidP="0058665F">
      <w:pPr>
        <w:pStyle w:val="Bullet1"/>
        <w:spacing w:line="240" w:lineRule="auto"/>
      </w:pPr>
      <w:r w:rsidRPr="005A3A8F">
        <w:t>Archiv</w:t>
      </w:r>
      <w:r>
        <w:t>ing</w:t>
      </w:r>
      <w:r w:rsidRPr="005A3A8F">
        <w:t xml:space="preserve"> and review of electronic correspondence</w:t>
      </w:r>
    </w:p>
    <w:p w14:paraId="6346B417" w14:textId="77777777" w:rsidR="0058665F" w:rsidRDefault="0058665F" w:rsidP="0058665F">
      <w:pPr>
        <w:pStyle w:val="Bullet1"/>
        <w:spacing w:line="240" w:lineRule="auto"/>
      </w:pPr>
      <w:r w:rsidRPr="005A3A8F">
        <w:t>Maintenance of books and records in electronic format</w:t>
      </w:r>
    </w:p>
    <w:p w14:paraId="2A77B2F8" w14:textId="77777777" w:rsidR="0058665F" w:rsidRPr="005A3A8F" w:rsidRDefault="0058665F" w:rsidP="0058665F">
      <w:pPr>
        <w:pStyle w:val="Bullet1"/>
        <w:spacing w:line="240" w:lineRule="auto"/>
      </w:pPr>
      <w:r>
        <w:t>Document destruction policies and procedures</w:t>
      </w:r>
    </w:p>
    <w:p w14:paraId="4D199B0D" w14:textId="77777777" w:rsidR="0058665F" w:rsidRPr="005A3A8F" w:rsidRDefault="0058665F" w:rsidP="0058665F">
      <w:pPr>
        <w:pStyle w:val="Bullet1"/>
        <w:spacing w:line="240" w:lineRule="auto"/>
      </w:pPr>
      <w:r w:rsidRPr="005A3A8F">
        <w:t xml:space="preserve">Maintenance of books and records for the requisite </w:t>
      </w:r>
      <w:proofErr w:type="gramStart"/>
      <w:r w:rsidRPr="005A3A8F">
        <w:t>time period</w:t>
      </w:r>
      <w:proofErr w:type="gramEnd"/>
    </w:p>
    <w:p w14:paraId="6A5E1C15" w14:textId="77777777" w:rsidR="0058665F" w:rsidRDefault="0058665F" w:rsidP="0058665F">
      <w:pPr>
        <w:rPr>
          <w:rFonts w:cs="Arial"/>
          <w:szCs w:val="20"/>
        </w:rPr>
      </w:pPr>
      <w:r>
        <w:rPr>
          <w:rFonts w:cs="Arial"/>
          <w:szCs w:val="20"/>
        </w:rPr>
        <w:t xml:space="preserve">However, </w:t>
      </w:r>
      <w:r w:rsidRPr="002C1036">
        <w:rPr>
          <w:rFonts w:cs="Arial"/>
          <w:szCs w:val="20"/>
        </w:rPr>
        <w:t xml:space="preserve">ACA’s review of </w:t>
      </w:r>
      <w:sdt>
        <w:sdtPr>
          <w:rPr>
            <w:rFonts w:cs="Arial"/>
            <w:szCs w:val="20"/>
          </w:rPr>
          <w:alias w:val="Client acronym possessive"/>
          <w:tag w:val="Client-acronym-possessive"/>
          <w:id w:val="587266443"/>
          <w:placeholder>
            <w:docPart w:val="2435EF8E7CC447889839D4D03776C03A"/>
          </w:placeholder>
        </w:sdtPr>
        <w:sdtEndPr/>
        <w:sdtContent>
          <w:r w:rsidRPr="002C1036">
            <w:rPr>
              <w:rFonts w:cs="Arial"/>
              <w:szCs w:val="20"/>
            </w:rPr>
            <w:t>XYZ’s</w:t>
          </w:r>
        </w:sdtContent>
      </w:sdt>
      <w:r w:rsidRPr="002C1036">
        <w:rPr>
          <w:rFonts w:cs="Arial"/>
          <w:szCs w:val="20"/>
        </w:rPr>
        <w:t xml:space="preserve"> books and records resulted in the following </w:t>
      </w:r>
      <w:r>
        <w:rPr>
          <w:rFonts w:cs="Arial"/>
          <w:szCs w:val="20"/>
          <w:highlight w:val="yellow"/>
        </w:rPr>
        <w:t xml:space="preserve">&lt;comment OR </w:t>
      </w:r>
      <w:r w:rsidRPr="00757BDC">
        <w:rPr>
          <w:highlight w:val="yellow"/>
        </w:rPr>
        <w:t>comments</w:t>
      </w:r>
      <w:r>
        <w:rPr>
          <w:rFonts w:cs="Arial"/>
          <w:szCs w:val="20"/>
          <w:highlight w:val="yellow"/>
        </w:rPr>
        <w:t>&gt;</w:t>
      </w:r>
      <w:r>
        <w:rPr>
          <w:rFonts w:cs="Arial"/>
          <w:szCs w:val="20"/>
        </w:rPr>
        <w:t>.</w:t>
      </w:r>
    </w:p>
    <w:p w14:paraId="37685414"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74CFBA21"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386E662C"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7E5276D4"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3CA5A2D8"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39650DD0"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070C48F9"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0246E76" w14:textId="77777777" w:rsidR="0058665F" w:rsidRPr="005A3A8F" w:rsidRDefault="0058665F" w:rsidP="00534EA9">
            <w:pPr>
              <w:rPr>
                <w:rFonts w:cs="Arial"/>
                <w:szCs w:val="20"/>
              </w:rPr>
            </w:pPr>
            <w:r>
              <w:rPr>
                <w:rFonts w:cs="Arial"/>
                <w:szCs w:val="20"/>
              </w:rPr>
              <w:t>H.1</w:t>
            </w:r>
          </w:p>
        </w:tc>
        <w:tc>
          <w:tcPr>
            <w:tcW w:w="2578" w:type="dxa"/>
            <w:tcBorders>
              <w:top w:val="single" w:sz="6" w:space="0" w:color="auto"/>
              <w:left w:val="single" w:sz="4" w:space="0" w:color="auto"/>
              <w:bottom w:val="single" w:sz="6" w:space="0" w:color="auto"/>
              <w:right w:val="single" w:sz="6" w:space="0" w:color="auto"/>
            </w:tcBorders>
            <w:vAlign w:val="center"/>
          </w:tcPr>
          <w:p w14:paraId="70AE830D"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71E66FEC"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3060A7A6"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3A56E954"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7D583EBD" w14:textId="77777777" w:rsidR="0058665F" w:rsidRPr="005A3A8F" w:rsidRDefault="0058665F" w:rsidP="00534EA9">
            <w:pPr>
              <w:rPr>
                <w:rFonts w:cs="Arial"/>
                <w:szCs w:val="20"/>
              </w:rPr>
            </w:pPr>
            <w:r>
              <w:rPr>
                <w:rFonts w:cs="Arial"/>
                <w:szCs w:val="20"/>
              </w:rPr>
              <w:t>H</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3D6BC109"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69D95128"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510B5208"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3D57D8B4"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33420EFD" w14:textId="77777777" w:rsidR="0058665F" w:rsidRPr="005A3A8F" w:rsidRDefault="0058665F" w:rsidP="00534EA9">
            <w:pPr>
              <w:rPr>
                <w:rFonts w:cs="Arial"/>
                <w:szCs w:val="20"/>
              </w:rPr>
            </w:pPr>
            <w:r>
              <w:rPr>
                <w:rFonts w:cs="Arial"/>
                <w:szCs w:val="20"/>
              </w:rPr>
              <w:t>H</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0845C0BA"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76FF579D"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3CD11D25"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6E213712" w14:textId="77777777" w:rsidR="0058665F" w:rsidRDefault="0058665F" w:rsidP="0058665F"/>
    <w:p w14:paraId="0B4AAAE6" w14:textId="77777777" w:rsidR="0058665F" w:rsidRDefault="0058665F" w:rsidP="0058665F">
      <w:r>
        <w:br w:type="page"/>
      </w:r>
    </w:p>
    <w:p w14:paraId="4A8AE8AF" w14:textId="77777777" w:rsidR="0058665F" w:rsidRPr="00AC67FC" w:rsidRDefault="0058665F" w:rsidP="0058665F">
      <w:pPr>
        <w:pStyle w:val="Heading2"/>
        <w:ind w:left="0" w:firstLine="0"/>
      </w:pPr>
      <w:r w:rsidRPr="00AC67FC">
        <w:lastRenderedPageBreak/>
        <w:t xml:space="preserve">I.  Marketing and the Use of Solicitors </w:t>
      </w:r>
    </w:p>
    <w:p w14:paraId="4E0D6514" w14:textId="77777777" w:rsidR="0058665F" w:rsidRPr="005A3A8F" w:rsidRDefault="0058665F" w:rsidP="0058665F">
      <w:pPr>
        <w:rPr>
          <w:rFonts w:cs="Arial"/>
          <w:szCs w:val="20"/>
        </w:rPr>
      </w:pPr>
      <w:r w:rsidRPr="005A3A8F">
        <w:rPr>
          <w:rFonts w:cs="Arial"/>
          <w:szCs w:val="20"/>
          <w:u w:val="single"/>
        </w:rPr>
        <w:t>Marketing</w:t>
      </w:r>
      <w:r w:rsidRPr="005A3A8F">
        <w:rPr>
          <w:rFonts w:cs="Arial"/>
          <w:szCs w:val="20"/>
        </w:rPr>
        <w:t xml:space="preserve"> – Rule 206(4)-1 under the Advisers Act governs the </w:t>
      </w:r>
      <w:proofErr w:type="gramStart"/>
      <w:r w:rsidRPr="005A3A8F">
        <w:rPr>
          <w:rFonts w:cs="Arial"/>
          <w:szCs w:val="20"/>
        </w:rPr>
        <w:t>manner in which</w:t>
      </w:r>
      <w:proofErr w:type="gramEnd"/>
      <w:r w:rsidRPr="005A3A8F">
        <w:rPr>
          <w:rFonts w:cs="Arial"/>
          <w:szCs w:val="20"/>
        </w:rPr>
        <w:t xml:space="preserve"> in</w:t>
      </w:r>
      <w:r>
        <w:rPr>
          <w:rFonts w:cs="Arial"/>
          <w:szCs w:val="20"/>
        </w:rPr>
        <w:t>vestment advisers may advertise</w:t>
      </w:r>
      <w:r w:rsidRPr="005A3A8F">
        <w:rPr>
          <w:rFonts w:cs="Arial"/>
          <w:szCs w:val="20"/>
        </w:rPr>
        <w:t xml:space="preserve"> and generally prohibits advisers from publishing, circulating, or distributing any advertisement </w:t>
      </w:r>
      <w:r>
        <w:rPr>
          <w:rFonts w:cs="Arial"/>
          <w:szCs w:val="20"/>
        </w:rPr>
        <w:t xml:space="preserve">that </w:t>
      </w:r>
      <w:r w:rsidRPr="005A3A8F">
        <w:rPr>
          <w:rFonts w:cs="Arial"/>
          <w:szCs w:val="20"/>
        </w:rPr>
        <w:t xml:space="preserve">contains any untrue statement or </w:t>
      </w:r>
      <w:r>
        <w:rPr>
          <w:rFonts w:cs="Arial"/>
          <w:szCs w:val="20"/>
        </w:rPr>
        <w:t xml:space="preserve">that </w:t>
      </w:r>
      <w:r w:rsidRPr="005A3A8F">
        <w:rPr>
          <w:rFonts w:cs="Arial"/>
          <w:szCs w:val="20"/>
        </w:rPr>
        <w:t>is otherwise false or misleading. The Advisers Act generally defines an “advertisement” to include any communication addressed to more than one person that offers any investment advisory service with regard to securities.</w:t>
      </w:r>
      <w:r w:rsidRPr="005A3A8F">
        <w:rPr>
          <w:rFonts w:cs="Arial"/>
          <w:szCs w:val="20"/>
          <w:vertAlign w:val="superscript"/>
        </w:rPr>
        <w:footnoteReference w:id="22"/>
      </w:r>
      <w:r w:rsidRPr="005A3A8F">
        <w:rPr>
          <w:rFonts w:cs="Arial"/>
          <w:szCs w:val="20"/>
        </w:rPr>
        <w:t xml:space="preserve"> The SEC has supplemented the advertising rule with numerous letters, releases, and other public documents regarding topics that </w:t>
      </w:r>
      <w:proofErr w:type="gramStart"/>
      <w:r w:rsidRPr="005A3A8F">
        <w:rPr>
          <w:rFonts w:cs="Arial"/>
          <w:szCs w:val="20"/>
        </w:rPr>
        <w:t>include</w:t>
      </w:r>
      <w:r>
        <w:rPr>
          <w:rFonts w:cs="Arial"/>
          <w:szCs w:val="20"/>
        </w:rPr>
        <w:t>;</w:t>
      </w:r>
      <w:proofErr w:type="gramEnd"/>
    </w:p>
    <w:p w14:paraId="72EB927E" w14:textId="77777777" w:rsidR="0058665F" w:rsidRPr="005A3A8F" w:rsidRDefault="0058665F" w:rsidP="0058665F">
      <w:pPr>
        <w:pStyle w:val="Bullet1"/>
        <w:spacing w:line="240" w:lineRule="auto"/>
      </w:pPr>
      <w:r>
        <w:t>P</w:t>
      </w:r>
      <w:r w:rsidRPr="005A3A8F">
        <w:t xml:space="preserve">resentation of gross-of-fees investment </w:t>
      </w:r>
      <w:proofErr w:type="gramStart"/>
      <w:r w:rsidRPr="005A3A8F">
        <w:t>returns</w:t>
      </w:r>
      <w:r>
        <w:t>;</w:t>
      </w:r>
      <w:proofErr w:type="gramEnd"/>
    </w:p>
    <w:p w14:paraId="525FF0FF" w14:textId="77777777" w:rsidR="0058665F" w:rsidRPr="005A3A8F" w:rsidRDefault="0058665F" w:rsidP="0058665F">
      <w:pPr>
        <w:pStyle w:val="Bullet1"/>
        <w:spacing w:line="240" w:lineRule="auto"/>
      </w:pPr>
      <w:r>
        <w:t>P</w:t>
      </w:r>
      <w:r w:rsidRPr="005A3A8F">
        <w:t xml:space="preserve">resentation </w:t>
      </w:r>
      <w:r>
        <w:t xml:space="preserve">of model or </w:t>
      </w:r>
      <w:proofErr w:type="spellStart"/>
      <w:r>
        <w:t>back</w:t>
      </w:r>
      <w:r w:rsidRPr="005A3A8F">
        <w:t>tested</w:t>
      </w:r>
      <w:proofErr w:type="spellEnd"/>
      <w:r w:rsidRPr="005A3A8F">
        <w:t xml:space="preserve"> performance </w:t>
      </w:r>
      <w:proofErr w:type="gramStart"/>
      <w:r w:rsidRPr="005A3A8F">
        <w:t>results</w:t>
      </w:r>
      <w:r>
        <w:t>;</w:t>
      </w:r>
      <w:proofErr w:type="gramEnd"/>
    </w:p>
    <w:p w14:paraId="45AD3EFA" w14:textId="77777777" w:rsidR="0058665F" w:rsidRPr="005A3A8F" w:rsidRDefault="0058665F" w:rsidP="0058665F">
      <w:pPr>
        <w:pStyle w:val="Bullet1"/>
        <w:spacing w:line="240" w:lineRule="auto"/>
      </w:pPr>
      <w:r>
        <w:t>P</w:t>
      </w:r>
      <w:r w:rsidRPr="005A3A8F">
        <w:t xml:space="preserve">resentation of past specific </w:t>
      </w:r>
      <w:proofErr w:type="gramStart"/>
      <w:r w:rsidRPr="005A3A8F">
        <w:t>recommendations</w:t>
      </w:r>
      <w:r>
        <w:t>;</w:t>
      </w:r>
      <w:proofErr w:type="gramEnd"/>
    </w:p>
    <w:p w14:paraId="2255DC95" w14:textId="77777777" w:rsidR="0058665F" w:rsidRPr="005A3A8F" w:rsidRDefault="0058665F" w:rsidP="0058665F">
      <w:pPr>
        <w:pStyle w:val="Bullet1"/>
        <w:spacing w:line="240" w:lineRule="auto"/>
      </w:pPr>
      <w:r>
        <w:t>U</w:t>
      </w:r>
      <w:r w:rsidRPr="005A3A8F">
        <w:t xml:space="preserve">se of partial client </w:t>
      </w:r>
      <w:proofErr w:type="gramStart"/>
      <w:r w:rsidRPr="005A3A8F">
        <w:t>lists</w:t>
      </w:r>
      <w:r>
        <w:t>;</w:t>
      </w:r>
      <w:proofErr w:type="gramEnd"/>
    </w:p>
    <w:p w14:paraId="52FBF8D9" w14:textId="77777777" w:rsidR="0058665F" w:rsidRPr="005A3A8F" w:rsidRDefault="0058665F" w:rsidP="0058665F">
      <w:pPr>
        <w:pStyle w:val="Bullet1"/>
        <w:spacing w:line="240" w:lineRule="auto"/>
      </w:pPr>
      <w:r>
        <w:t>I</w:t>
      </w:r>
      <w:r w:rsidRPr="005A3A8F">
        <w:t xml:space="preserve">nclusion of client </w:t>
      </w:r>
      <w:proofErr w:type="gramStart"/>
      <w:r w:rsidRPr="005A3A8F">
        <w:t>testimonials</w:t>
      </w:r>
      <w:r>
        <w:t>;</w:t>
      </w:r>
      <w:proofErr w:type="gramEnd"/>
    </w:p>
    <w:p w14:paraId="278689EE" w14:textId="77777777" w:rsidR="0058665F" w:rsidRPr="005A3A8F" w:rsidRDefault="0058665F" w:rsidP="0058665F">
      <w:pPr>
        <w:pStyle w:val="Bullet1"/>
        <w:spacing w:line="240" w:lineRule="auto"/>
      </w:pPr>
      <w:r>
        <w:t>A</w:t>
      </w:r>
      <w:r w:rsidRPr="005A3A8F">
        <w:t xml:space="preserve">ccuracy of performance </w:t>
      </w:r>
      <w:proofErr w:type="gramStart"/>
      <w:r w:rsidRPr="005A3A8F">
        <w:t>calculations</w:t>
      </w:r>
      <w:r>
        <w:t>;</w:t>
      </w:r>
      <w:proofErr w:type="gramEnd"/>
    </w:p>
    <w:p w14:paraId="6F6634EB" w14:textId="77777777" w:rsidR="0058665F" w:rsidRPr="005A3A8F" w:rsidRDefault="0058665F" w:rsidP="0058665F">
      <w:pPr>
        <w:pStyle w:val="Bullet1"/>
        <w:spacing w:line="240" w:lineRule="auto"/>
      </w:pPr>
      <w:r>
        <w:t>P</w:t>
      </w:r>
      <w:r w:rsidRPr="005A3A8F">
        <w:t>ortability of investment returns achieved at a prior employer</w:t>
      </w:r>
      <w:r>
        <w:t>;</w:t>
      </w:r>
      <w:r w:rsidRPr="005A3A8F">
        <w:t xml:space="preserve"> and</w:t>
      </w:r>
    </w:p>
    <w:p w14:paraId="3F0903D2" w14:textId="77777777" w:rsidR="0058665F" w:rsidRPr="00E1424A" w:rsidRDefault="0058665F" w:rsidP="0058665F">
      <w:pPr>
        <w:pStyle w:val="Bullet1"/>
        <w:spacing w:line="240" w:lineRule="auto"/>
        <w:rPr>
          <w:u w:val="single"/>
        </w:rPr>
      </w:pPr>
      <w:r>
        <w:t>U</w:t>
      </w:r>
      <w:r w:rsidRPr="005A3A8F">
        <w:t>se of websites</w:t>
      </w:r>
      <w:r>
        <w:t>.</w:t>
      </w:r>
    </w:p>
    <w:p w14:paraId="57E47138" w14:textId="77777777" w:rsidR="0058665F" w:rsidRPr="00D211CA" w:rsidRDefault="0058665F" w:rsidP="0058665F">
      <w:pPr>
        <w:rPr>
          <w:rFonts w:cs="Arial"/>
          <w:szCs w:val="20"/>
        </w:rPr>
      </w:pPr>
      <w:r>
        <w:rPr>
          <w:rFonts w:cs="Arial"/>
          <w:szCs w:val="20"/>
          <w:u w:val="single"/>
        </w:rPr>
        <w:t>Marketing a Private Fund</w:t>
      </w:r>
      <w:r w:rsidRPr="000C739C">
        <w:rPr>
          <w:rFonts w:cs="Arial"/>
          <w:szCs w:val="20"/>
        </w:rPr>
        <w:t xml:space="preserve"> </w:t>
      </w:r>
      <w:r>
        <w:rPr>
          <w:rFonts w:cs="Arial"/>
          <w:szCs w:val="20"/>
        </w:rPr>
        <w:t xml:space="preserve">– Rule 206(4)-8 generally prohibits an adviser to a pooled investment vehicle from making any untrue statement of material fact or otherwise misleading statement to any investor or prospective investor in the pooled investment vehicle. In addition, Rule 506(b) under Regulation D contains provisions that prohibit the general solicitation of private funds relying on this rule. Further, both Sections 3(c)(1) and 3(c)(7) of the IC Act prohibit public offerings </w:t>
      </w:r>
      <w:proofErr w:type="gramStart"/>
      <w:r>
        <w:rPr>
          <w:rFonts w:cs="Arial"/>
          <w:szCs w:val="20"/>
        </w:rPr>
        <w:t>in order to</w:t>
      </w:r>
      <w:proofErr w:type="gramEnd"/>
      <w:r>
        <w:rPr>
          <w:rFonts w:cs="Arial"/>
          <w:szCs w:val="20"/>
        </w:rPr>
        <w:t xml:space="preserve"> rely upon the applicable exemptions set out therein. </w:t>
      </w:r>
    </w:p>
    <w:p w14:paraId="71D85AB1" w14:textId="77777777" w:rsidR="0058665F" w:rsidRDefault="0058665F" w:rsidP="0058665F">
      <w:pPr>
        <w:rPr>
          <w:rFonts w:cs="Arial"/>
          <w:szCs w:val="20"/>
          <w:u w:val="single"/>
        </w:rPr>
      </w:pPr>
    </w:p>
    <w:p w14:paraId="141C20FB" w14:textId="77777777" w:rsidR="0058665F" w:rsidRPr="005A3A8F" w:rsidRDefault="0058665F" w:rsidP="0058665F">
      <w:pPr>
        <w:rPr>
          <w:rFonts w:cs="Arial"/>
          <w:szCs w:val="20"/>
        </w:rPr>
      </w:pPr>
      <w:r w:rsidRPr="005A3A8F">
        <w:rPr>
          <w:rFonts w:cs="Arial"/>
          <w:szCs w:val="20"/>
          <w:u w:val="single"/>
        </w:rPr>
        <w:t>Use of Solicitors</w:t>
      </w:r>
      <w:r w:rsidRPr="005A3A8F">
        <w:rPr>
          <w:rFonts w:cs="Arial"/>
          <w:szCs w:val="20"/>
        </w:rPr>
        <w:t xml:space="preserve"> – Rule 206(4)-3 </w:t>
      </w:r>
      <w:r>
        <w:rPr>
          <w:rFonts w:cs="Arial"/>
          <w:szCs w:val="20"/>
        </w:rPr>
        <w:t xml:space="preserve">(“Cash Solicitation Rule”) </w:t>
      </w:r>
      <w:r w:rsidRPr="005A3A8F">
        <w:rPr>
          <w:rFonts w:cs="Arial"/>
          <w:szCs w:val="20"/>
        </w:rPr>
        <w:t>under the Advisers Act prohibits advisers from paying a cash fee, directly or indirectly, for solicitation of a client unless the referral fee is paid pursuant to a written agreement and certain disclosures are made regarding the solicitor’s relationship with the adviser.</w:t>
      </w:r>
      <w:r w:rsidRPr="005A3A8F">
        <w:rPr>
          <w:rStyle w:val="FootnoteReference"/>
          <w:rFonts w:cs="Arial"/>
          <w:szCs w:val="20"/>
        </w:rPr>
        <w:footnoteReference w:id="23"/>
      </w:r>
      <w:r w:rsidRPr="005A3A8F">
        <w:rPr>
          <w:rFonts w:cs="Arial"/>
          <w:szCs w:val="20"/>
        </w:rPr>
        <w:t xml:space="preserve"> The primary requirements of the </w:t>
      </w:r>
      <w:r>
        <w:rPr>
          <w:rFonts w:cs="Arial"/>
          <w:szCs w:val="20"/>
        </w:rPr>
        <w:t>C</w:t>
      </w:r>
      <w:r w:rsidRPr="005A3A8F">
        <w:rPr>
          <w:rFonts w:cs="Arial"/>
          <w:szCs w:val="20"/>
        </w:rPr>
        <w:t xml:space="preserve">ash </w:t>
      </w:r>
      <w:r>
        <w:rPr>
          <w:rFonts w:cs="Arial"/>
          <w:szCs w:val="20"/>
        </w:rPr>
        <w:t>S</w:t>
      </w:r>
      <w:r w:rsidRPr="005A3A8F">
        <w:rPr>
          <w:rFonts w:cs="Arial"/>
          <w:szCs w:val="20"/>
        </w:rPr>
        <w:t xml:space="preserve">olicitation </w:t>
      </w:r>
      <w:r>
        <w:rPr>
          <w:rFonts w:cs="Arial"/>
          <w:szCs w:val="20"/>
        </w:rPr>
        <w:t>R</w:t>
      </w:r>
      <w:r w:rsidRPr="005A3A8F">
        <w:rPr>
          <w:rFonts w:cs="Arial"/>
          <w:szCs w:val="20"/>
        </w:rPr>
        <w:t>ule are detailed below:</w:t>
      </w:r>
    </w:p>
    <w:p w14:paraId="1629E739" w14:textId="77777777" w:rsidR="0058665F" w:rsidRPr="005A3A8F" w:rsidRDefault="0058665F" w:rsidP="0058665F">
      <w:pPr>
        <w:pStyle w:val="Bullet1"/>
        <w:spacing w:line="240" w:lineRule="auto"/>
        <w:rPr>
          <w:snapToGrid w:val="0"/>
        </w:rPr>
      </w:pPr>
      <w:r w:rsidRPr="005A3A8F">
        <w:rPr>
          <w:snapToGrid w:val="0"/>
        </w:rPr>
        <w:t xml:space="preserve">The </w:t>
      </w:r>
      <w:r w:rsidRPr="005A3A8F">
        <w:t>individual</w:t>
      </w:r>
      <w:r>
        <w:rPr>
          <w:snapToGrid w:val="0"/>
        </w:rPr>
        <w:t xml:space="preserve"> or </w:t>
      </w:r>
      <w:r w:rsidRPr="0040635F">
        <w:t>entity</w:t>
      </w:r>
      <w:r w:rsidRPr="005A3A8F">
        <w:rPr>
          <w:snapToGrid w:val="0"/>
        </w:rPr>
        <w:t xml:space="preserve"> cannot be disqualified from acting as a solicitor.</w:t>
      </w:r>
    </w:p>
    <w:p w14:paraId="6098255C" w14:textId="77777777" w:rsidR="0058665F" w:rsidRPr="005A3A8F" w:rsidRDefault="0058665F" w:rsidP="0058665F">
      <w:pPr>
        <w:pStyle w:val="Bullet1"/>
        <w:spacing w:line="240" w:lineRule="auto"/>
        <w:rPr>
          <w:snapToGrid w:val="0"/>
        </w:rPr>
      </w:pPr>
      <w:r w:rsidRPr="005A3A8F">
        <w:rPr>
          <w:snapToGrid w:val="0"/>
        </w:rPr>
        <w:t xml:space="preserve">The </w:t>
      </w:r>
      <w:r w:rsidRPr="005A3A8F">
        <w:t>solicitation</w:t>
      </w:r>
      <w:r w:rsidRPr="005A3A8F">
        <w:rPr>
          <w:snapToGrid w:val="0"/>
        </w:rPr>
        <w:t xml:space="preserve"> fee must be paid pursuant to a written agreement to which the adviser is a party.</w:t>
      </w:r>
    </w:p>
    <w:p w14:paraId="47DE2857" w14:textId="77777777" w:rsidR="0058665F" w:rsidRPr="005A3A8F" w:rsidRDefault="0058665F" w:rsidP="0058665F">
      <w:pPr>
        <w:pStyle w:val="Bullet1"/>
        <w:spacing w:line="240" w:lineRule="auto"/>
        <w:rPr>
          <w:snapToGrid w:val="0"/>
        </w:rPr>
      </w:pPr>
      <w:r w:rsidRPr="005A3A8F">
        <w:rPr>
          <w:snapToGrid w:val="0"/>
        </w:rPr>
        <w:t xml:space="preserve">The written </w:t>
      </w:r>
      <w:r w:rsidRPr="0040635F">
        <w:t>agreement</w:t>
      </w:r>
      <w:r w:rsidRPr="005A3A8F">
        <w:rPr>
          <w:snapToGrid w:val="0"/>
        </w:rPr>
        <w:t xml:space="preserve"> must include specific provisions regarding the solicitation arrangement.</w:t>
      </w:r>
    </w:p>
    <w:p w14:paraId="30BE7D5B" w14:textId="77777777" w:rsidR="0058665F" w:rsidRPr="005A3A8F" w:rsidRDefault="0058665F" w:rsidP="0058665F">
      <w:pPr>
        <w:pStyle w:val="Bullet1"/>
        <w:spacing w:line="240" w:lineRule="auto"/>
        <w:rPr>
          <w:snapToGrid w:val="0"/>
        </w:rPr>
      </w:pPr>
      <w:r w:rsidRPr="005A3A8F">
        <w:rPr>
          <w:snapToGrid w:val="0"/>
        </w:rPr>
        <w:lastRenderedPageBreak/>
        <w:t xml:space="preserve">The </w:t>
      </w:r>
      <w:r w:rsidRPr="005A3A8F">
        <w:t>Company</w:t>
      </w:r>
      <w:r w:rsidRPr="005A3A8F">
        <w:rPr>
          <w:snapToGrid w:val="0"/>
        </w:rPr>
        <w:t xml:space="preserve"> must receive a signed and dated acknowledgement of the solicited client’s receipt of the solicitor’s separate written disclosure document as well as Part 2 of the adviser’s ADV filing (or other disclosure brochure).</w:t>
      </w:r>
    </w:p>
    <w:p w14:paraId="16DBC72E" w14:textId="77777777" w:rsidR="0058665F" w:rsidRPr="005A3A8F" w:rsidRDefault="0058665F" w:rsidP="0058665F">
      <w:pPr>
        <w:pStyle w:val="Bullet1"/>
        <w:spacing w:line="240" w:lineRule="auto"/>
        <w:rPr>
          <w:snapToGrid w:val="0"/>
        </w:rPr>
      </w:pPr>
      <w:r w:rsidRPr="005A3A8F">
        <w:rPr>
          <w:snapToGrid w:val="0"/>
        </w:rPr>
        <w:t xml:space="preserve">The </w:t>
      </w:r>
      <w:r w:rsidRPr="005A3A8F">
        <w:t>solicitor’s</w:t>
      </w:r>
      <w:r w:rsidRPr="005A3A8F">
        <w:rPr>
          <w:snapToGrid w:val="0"/>
        </w:rPr>
        <w:t xml:space="preserve"> separate written disclosure document must include specific disclosures regarding the solicitation arrangement.</w:t>
      </w:r>
    </w:p>
    <w:p w14:paraId="0874EF41" w14:textId="77777777" w:rsidR="0058665F" w:rsidRPr="005A3A8F" w:rsidRDefault="0058665F" w:rsidP="0058665F">
      <w:pPr>
        <w:pStyle w:val="Bullet1"/>
        <w:spacing w:line="240" w:lineRule="auto"/>
        <w:rPr>
          <w:snapToGrid w:val="0"/>
        </w:rPr>
      </w:pPr>
      <w:r w:rsidRPr="005A3A8F">
        <w:rPr>
          <w:snapToGrid w:val="0"/>
        </w:rPr>
        <w:t xml:space="preserve">The </w:t>
      </w:r>
      <w:r w:rsidRPr="0040635F">
        <w:t>Company</w:t>
      </w:r>
      <w:r w:rsidRPr="005A3A8F">
        <w:rPr>
          <w:snapToGrid w:val="0"/>
        </w:rPr>
        <w:t xml:space="preserve"> must make a bona fide effort to ascertain whether the solicitor has complied with the written agreement. </w:t>
      </w:r>
    </w:p>
    <w:sdt>
      <w:sdtPr>
        <w:rPr>
          <w:rFonts w:cs="Arial"/>
          <w:szCs w:val="20"/>
        </w:rPr>
        <w:alias w:val="Private Fund Adviser"/>
        <w:tag w:val="Private-Fund-Adviser"/>
        <w:id w:val="211163962"/>
        <w:placeholder>
          <w:docPart w:val="2435EF8E7CC447889839D4D03776C03A"/>
        </w:placeholder>
      </w:sdtPr>
      <w:sdtEndPr/>
      <w:sdtContent>
        <w:p w14:paraId="090B454B" w14:textId="77777777" w:rsidR="0058665F" w:rsidRPr="005A3A8F" w:rsidRDefault="0058665F" w:rsidP="0058665F">
          <w:pPr>
            <w:rPr>
              <w:rFonts w:cs="Arial"/>
              <w:szCs w:val="20"/>
            </w:rPr>
          </w:pPr>
          <w:r w:rsidRPr="00073202">
            <w:rPr>
              <w:rFonts w:cs="Arial"/>
              <w:szCs w:val="20"/>
            </w:rPr>
            <w:t>Although the requirements of Rule 206(4)-3 generally do not apply to a solicitor that receives a cash fee solely for soliciting investors in a private fund, ACA recommends that, at a minimum, private fund advisers ensure that any solicited investors received full and fair disclosure that the solicitor was compensated for making the referral.</w:t>
          </w:r>
          <w:r w:rsidRPr="00073202">
            <w:rPr>
              <w:rStyle w:val="FootnoteReference"/>
              <w:rFonts w:cs="Arial"/>
              <w:szCs w:val="20"/>
            </w:rPr>
            <w:footnoteReference w:id="24"/>
          </w:r>
          <w:r w:rsidRPr="00073202">
            <w:rPr>
              <w:rFonts w:cs="Arial"/>
              <w:szCs w:val="20"/>
            </w:rPr>
            <w:t xml:space="preserve"> Further, depending on the facts and circumstance, an adviser that wishes to compensate a solicitor in exchange for investor referrals may need to ensure that the solicitor is registered as a broker under Section 15(a) of the Exchange Act.</w:t>
          </w:r>
        </w:p>
      </w:sdtContent>
    </w:sdt>
    <w:p w14:paraId="106DF5F6" w14:textId="77777777" w:rsidR="0058665F" w:rsidRPr="005A3A8F" w:rsidRDefault="0058665F" w:rsidP="0058665F">
      <w:pPr>
        <w:rPr>
          <w:rFonts w:cs="Arial"/>
          <w:szCs w:val="20"/>
        </w:rPr>
      </w:pPr>
    </w:p>
    <w:p w14:paraId="65819C2E"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38518B4B" w14:textId="77777777" w:rsidR="0058665F" w:rsidRPr="005A3A8F" w:rsidRDefault="0058665F" w:rsidP="0058665F">
      <w:pPr>
        <w:rPr>
          <w:rFonts w:cs="Arial"/>
          <w:szCs w:val="20"/>
        </w:rPr>
      </w:pPr>
    </w:p>
    <w:p w14:paraId="2B599C61"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424995538"/>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the creation and distribution of marketing materials and the payment of referral fees resulted in no </w:t>
      </w:r>
      <w:r>
        <w:rPr>
          <w:rFonts w:cs="Arial"/>
          <w:szCs w:val="20"/>
        </w:rPr>
        <w:t>notable issues</w:t>
      </w:r>
      <w:r w:rsidRPr="005A3A8F">
        <w:rPr>
          <w:rFonts w:cs="Arial"/>
          <w:szCs w:val="20"/>
        </w:rPr>
        <w:t xml:space="preserve"> with respect to the following areas: </w:t>
      </w:r>
    </w:p>
    <w:p w14:paraId="27D110CD"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756832108"/>
          <w:placeholder>
            <w:docPart w:val="2435EF8E7CC447889839D4D03776C03A"/>
          </w:placeholder>
        </w:sdtPr>
        <w:sdtEndPr/>
        <w:sdtContent>
          <w:r w:rsidRPr="005A3A8F">
            <w:t>XYZ’s</w:t>
          </w:r>
        </w:sdtContent>
      </w:sdt>
      <w:r w:rsidRPr="005A3A8F">
        <w:t xml:space="preserve"> written marketing and solicitation policies and procedures</w:t>
      </w:r>
    </w:p>
    <w:p w14:paraId="1A7E60F7" w14:textId="77777777" w:rsidR="0058665F" w:rsidRPr="005A3A8F" w:rsidRDefault="0058665F" w:rsidP="0058665F">
      <w:pPr>
        <w:pStyle w:val="Bullet1"/>
        <w:spacing w:line="240" w:lineRule="auto"/>
      </w:pPr>
      <w:r w:rsidRPr="005A3A8F">
        <w:t>Marketing material approval process</w:t>
      </w:r>
    </w:p>
    <w:p w14:paraId="7D5AAB0F" w14:textId="77777777" w:rsidR="0058665F" w:rsidRPr="005A3A8F" w:rsidRDefault="0058665F" w:rsidP="0058665F">
      <w:pPr>
        <w:pStyle w:val="Bullet1"/>
        <w:spacing w:line="240" w:lineRule="auto"/>
      </w:pPr>
      <w:r w:rsidRPr="005A3A8F">
        <w:t>Maintenance</w:t>
      </w:r>
      <w:r>
        <w:t xml:space="preserve"> and archival</w:t>
      </w:r>
      <w:r w:rsidRPr="005A3A8F">
        <w:t xml:space="preserve"> of </w:t>
      </w:r>
      <w:sdt>
        <w:sdtPr>
          <w:alias w:val="Client acronym possessive"/>
          <w:tag w:val="Client-acronym-possessive"/>
          <w:id w:val="-371543005"/>
          <w:placeholder>
            <w:docPart w:val="2435EF8E7CC447889839D4D03776C03A"/>
          </w:placeholder>
        </w:sdtPr>
        <w:sdtEndPr/>
        <w:sdtContent>
          <w:r w:rsidRPr="005A3A8F">
            <w:t>XYZ’s</w:t>
          </w:r>
        </w:sdtContent>
      </w:sdt>
      <w:r w:rsidRPr="005A3A8F">
        <w:t xml:space="preserve"> website</w:t>
      </w:r>
    </w:p>
    <w:p w14:paraId="1A615BA8" w14:textId="77777777" w:rsidR="0058665F" w:rsidRPr="00DB0611" w:rsidRDefault="0058665F" w:rsidP="0058665F">
      <w:pPr>
        <w:pStyle w:val="Bullet1"/>
        <w:spacing w:line="240" w:lineRule="auto"/>
      </w:pPr>
      <w:r w:rsidRPr="005A3A8F">
        <w:t>Calculation of performance results (e.g., actual results, model results, ported performance)</w:t>
      </w:r>
    </w:p>
    <w:p w14:paraId="24060397" w14:textId="77777777" w:rsidR="0058665F" w:rsidRPr="005A3A8F" w:rsidRDefault="0058665F" w:rsidP="0058665F">
      <w:pPr>
        <w:pStyle w:val="Bullet1"/>
        <w:spacing w:line="240" w:lineRule="auto"/>
      </w:pPr>
      <w:r w:rsidRPr="005A3A8F">
        <w:t xml:space="preserve">Marketing of performance results (e.g., </w:t>
      </w:r>
      <w:proofErr w:type="gramStart"/>
      <w:r w:rsidRPr="005A3A8F">
        <w:t>gross</w:t>
      </w:r>
      <w:proofErr w:type="gramEnd"/>
      <w:r w:rsidRPr="005A3A8F">
        <w:t xml:space="preserve"> and net</w:t>
      </w:r>
      <w:r>
        <w:t>-</w:t>
      </w:r>
      <w:r w:rsidRPr="005A3A8F">
        <w:t>of</w:t>
      </w:r>
      <w:r>
        <w:t>-</w:t>
      </w:r>
      <w:r w:rsidRPr="005A3A8F">
        <w:t>fees results)</w:t>
      </w:r>
    </w:p>
    <w:p w14:paraId="15C47D3E" w14:textId="77777777" w:rsidR="0058665F" w:rsidRPr="005A3A8F" w:rsidRDefault="0058665F" w:rsidP="0058665F">
      <w:pPr>
        <w:pStyle w:val="Bullet1"/>
        <w:spacing w:line="240" w:lineRule="auto"/>
      </w:pPr>
      <w:r w:rsidRPr="005A3A8F">
        <w:t>Adequacy of marketing disclosures</w:t>
      </w:r>
    </w:p>
    <w:p w14:paraId="2E056EA5" w14:textId="77777777" w:rsidR="0058665F" w:rsidRPr="005A3A8F" w:rsidRDefault="0058665F" w:rsidP="0058665F">
      <w:pPr>
        <w:pStyle w:val="Bullet1"/>
        <w:spacing w:line="240" w:lineRule="auto"/>
      </w:pPr>
      <w:r w:rsidRPr="005A3A8F">
        <w:t>Review of marketing materials for various regulatory issues (e.g., superlative statements, partial client lists, past specific recommendations, misleading statements)</w:t>
      </w:r>
    </w:p>
    <w:p w14:paraId="21726F7C" w14:textId="77777777" w:rsidR="0058665F" w:rsidRDefault="0058665F" w:rsidP="0058665F">
      <w:pPr>
        <w:pStyle w:val="Bullet1"/>
        <w:spacing w:line="240" w:lineRule="auto"/>
      </w:pPr>
      <w:r w:rsidRPr="005A3A8F">
        <w:t>Compliance with restrictions on the use of solicitors</w:t>
      </w:r>
    </w:p>
    <w:p w14:paraId="3E2B9CB9" w14:textId="77777777" w:rsidR="0058665F" w:rsidRPr="005A3A8F" w:rsidRDefault="0058665F" w:rsidP="0058665F">
      <w:pPr>
        <w:pStyle w:val="Bullet1"/>
        <w:spacing w:line="240" w:lineRule="auto"/>
      </w:pPr>
      <w:r>
        <w:t>Lobbying activity associated with marketing advisory services</w:t>
      </w:r>
    </w:p>
    <w:p w14:paraId="2A283349" w14:textId="77777777" w:rsidR="0058665F" w:rsidRPr="00DB0611" w:rsidRDefault="0058665F" w:rsidP="0058665F">
      <w:pPr>
        <w:pStyle w:val="Bullet1"/>
        <w:spacing w:line="240" w:lineRule="auto"/>
      </w:pPr>
      <w:r w:rsidRPr="00DB0611">
        <w:t>Treatment of complaints</w:t>
      </w:r>
    </w:p>
    <w:sdt>
      <w:sdtPr>
        <w:alias w:val="Private Fund Adviser"/>
        <w:tag w:val="Private-Fund-Adviser"/>
        <w:id w:val="391934887"/>
        <w:placeholder>
          <w:docPart w:val="2435EF8E7CC447889839D4D03776C03A"/>
        </w:placeholder>
      </w:sdtPr>
      <w:sdtEndPr/>
      <w:sdtContent>
        <w:p w14:paraId="63443555" w14:textId="77777777" w:rsidR="0058665F" w:rsidRPr="00073202" w:rsidRDefault="0058665F" w:rsidP="0058665F">
          <w:pPr>
            <w:pStyle w:val="Bullet1"/>
            <w:spacing w:line="240" w:lineRule="auto"/>
          </w:pPr>
          <w:r w:rsidRPr="00073202">
            <w:t xml:space="preserve">Compliance with Securities Act and IC Act requirements regarding the methods of offering, level of investor accreditation, and issuer disqualification for private funds advised by </w:t>
          </w:r>
          <w:sdt>
            <w:sdtPr>
              <w:alias w:val="Client acronym"/>
              <w:tag w:val="Client-acronym"/>
              <w:id w:val="1863936386"/>
              <w:placeholder>
                <w:docPart w:val="2435EF8E7CC447889839D4D03776C03A"/>
              </w:placeholder>
            </w:sdtPr>
            <w:sdtEndPr/>
            <w:sdtContent>
              <w:r w:rsidRPr="00073202">
                <w:t>XYZ</w:t>
              </w:r>
            </w:sdtContent>
          </w:sdt>
        </w:p>
      </w:sdtContent>
    </w:sdt>
    <w:p w14:paraId="4ABEF876" w14:textId="77777777" w:rsidR="0058665F" w:rsidRPr="005A3A8F" w:rsidRDefault="0058665F" w:rsidP="0058665F">
      <w:pPr>
        <w:pStyle w:val="Bullet1"/>
        <w:spacing w:line="240" w:lineRule="auto"/>
      </w:pPr>
      <w:r>
        <w:lastRenderedPageBreak/>
        <w:t xml:space="preserve">Communications with the media </w:t>
      </w:r>
    </w:p>
    <w:p w14:paraId="1B4EA701"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878930528"/>
          <w:placeholder>
            <w:docPart w:val="2435EF8E7CC447889839D4D03776C03A"/>
          </w:placeholder>
        </w:sdtPr>
        <w:sdtEndPr/>
        <w:sdtContent>
          <w:r w:rsidRPr="005A3A8F">
            <w:rPr>
              <w:rFonts w:cs="Arial"/>
              <w:szCs w:val="20"/>
            </w:rPr>
            <w:t>XYZ’s</w:t>
          </w:r>
        </w:sdtContent>
      </w:sdt>
      <w:r w:rsidRPr="005A3A8F">
        <w:rPr>
          <w:rFonts w:cs="Arial"/>
          <w:szCs w:val="20"/>
        </w:rPr>
        <w:t xml:space="preserve"> marketing materials and solicitation arrangements re</w:t>
      </w:r>
      <w:r>
        <w:rPr>
          <w:rFonts w:cs="Arial"/>
          <w:szCs w:val="20"/>
        </w:rPr>
        <w:t xml:space="preserve">sulted in the following </w:t>
      </w:r>
      <w:r>
        <w:rPr>
          <w:rFonts w:cs="Arial"/>
          <w:szCs w:val="20"/>
          <w:highlight w:val="yellow"/>
        </w:rPr>
        <w:t xml:space="preserve">&lt;comment OR </w:t>
      </w:r>
      <w:r w:rsidRPr="00757BDC">
        <w:rPr>
          <w:highlight w:val="yellow"/>
        </w:rPr>
        <w:t>comments</w:t>
      </w:r>
      <w:r>
        <w:rPr>
          <w:rFonts w:cs="Arial"/>
          <w:szCs w:val="20"/>
          <w:highlight w:val="yellow"/>
        </w:rPr>
        <w:t>&gt;</w:t>
      </w:r>
      <w:r>
        <w:rPr>
          <w:rFonts w:cs="Arial"/>
          <w:szCs w:val="20"/>
        </w:rPr>
        <w:t>.</w:t>
      </w:r>
    </w:p>
    <w:p w14:paraId="33698690"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55EBD6E5"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725C1ACD"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27D182B"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24150077"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54BF9CB6"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3247DB2A"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539FF4CB" w14:textId="77777777" w:rsidR="0058665F" w:rsidRPr="005A3A8F" w:rsidRDefault="0058665F" w:rsidP="00534EA9">
            <w:pPr>
              <w:rPr>
                <w:rFonts w:cs="Arial"/>
                <w:szCs w:val="20"/>
              </w:rPr>
            </w:pPr>
            <w:r>
              <w:rPr>
                <w:rFonts w:cs="Arial"/>
                <w:szCs w:val="20"/>
              </w:rPr>
              <w:t>I.1</w:t>
            </w:r>
          </w:p>
        </w:tc>
        <w:tc>
          <w:tcPr>
            <w:tcW w:w="2578" w:type="dxa"/>
            <w:tcBorders>
              <w:top w:val="single" w:sz="6" w:space="0" w:color="auto"/>
              <w:left w:val="single" w:sz="4" w:space="0" w:color="auto"/>
              <w:bottom w:val="single" w:sz="6" w:space="0" w:color="auto"/>
              <w:right w:val="single" w:sz="6" w:space="0" w:color="auto"/>
            </w:tcBorders>
            <w:vAlign w:val="center"/>
          </w:tcPr>
          <w:p w14:paraId="3A7EF54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33945CFE"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5DC03897"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04B4443A"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09AF99BA" w14:textId="77777777" w:rsidR="0058665F" w:rsidRPr="005A3A8F" w:rsidRDefault="0058665F" w:rsidP="00534EA9">
            <w:pPr>
              <w:rPr>
                <w:rFonts w:cs="Arial"/>
                <w:szCs w:val="20"/>
              </w:rPr>
            </w:pPr>
            <w:r>
              <w:rPr>
                <w:rFonts w:cs="Arial"/>
                <w:szCs w:val="20"/>
              </w:rPr>
              <w:t>I</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30A92247"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6394CFFD"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5EFC00B7"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4E71F58A"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12AA0D16" w14:textId="77777777" w:rsidR="0058665F" w:rsidRPr="005A3A8F" w:rsidRDefault="0058665F" w:rsidP="00534EA9">
            <w:pPr>
              <w:rPr>
                <w:rFonts w:cs="Arial"/>
                <w:szCs w:val="20"/>
              </w:rPr>
            </w:pPr>
            <w:r>
              <w:rPr>
                <w:rFonts w:cs="Arial"/>
                <w:szCs w:val="20"/>
              </w:rPr>
              <w:t>I</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20C4B852"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5DFE586"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6975274F"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04E581EF" w14:textId="77777777" w:rsidR="0058665F" w:rsidRDefault="0058665F" w:rsidP="0058665F">
      <w:pPr>
        <w:rPr>
          <w:rFonts w:cs="Arial"/>
          <w:szCs w:val="20"/>
        </w:rPr>
      </w:pPr>
    </w:p>
    <w:p w14:paraId="73B65648" w14:textId="77777777" w:rsidR="0058665F" w:rsidRDefault="0058665F" w:rsidP="0058665F">
      <w:pPr>
        <w:rPr>
          <w:rFonts w:cs="Arial"/>
          <w:szCs w:val="20"/>
        </w:rPr>
      </w:pPr>
      <w:r>
        <w:rPr>
          <w:rFonts w:cs="Arial"/>
          <w:szCs w:val="20"/>
        </w:rPr>
        <w:br w:type="page"/>
      </w:r>
    </w:p>
    <w:p w14:paraId="35190BA8" w14:textId="77777777" w:rsidR="0058665F" w:rsidRPr="00AC67FC" w:rsidRDefault="0058665F" w:rsidP="0058665F">
      <w:pPr>
        <w:pStyle w:val="Heading2"/>
        <w:ind w:left="0" w:firstLine="0"/>
      </w:pPr>
      <w:r w:rsidRPr="00AC67FC">
        <w:lastRenderedPageBreak/>
        <w:t>J.  Valuation and Pricing</w:t>
      </w:r>
    </w:p>
    <w:p w14:paraId="1CE0FD7B" w14:textId="77777777" w:rsidR="0058665F" w:rsidRPr="005A3A8F" w:rsidRDefault="0058665F" w:rsidP="0058665F">
      <w:pPr>
        <w:rPr>
          <w:rFonts w:cs="Arial"/>
          <w:szCs w:val="20"/>
        </w:rPr>
      </w:pPr>
      <w:r w:rsidRPr="005A3A8F">
        <w:rPr>
          <w:rFonts w:cs="Arial"/>
          <w:szCs w:val="20"/>
        </w:rPr>
        <w:t xml:space="preserve">In </w:t>
      </w:r>
      <w:r w:rsidRPr="005A3A8F">
        <w:rPr>
          <w:rFonts w:cs="Arial"/>
          <w:i/>
          <w:szCs w:val="20"/>
        </w:rPr>
        <w:t>Release IA-2204</w:t>
      </w:r>
      <w:r w:rsidRPr="005A3A8F">
        <w:rPr>
          <w:rFonts w:cs="Arial"/>
          <w:szCs w:val="20"/>
        </w:rPr>
        <w:t>, the SEC stated that investment advisers should adopt and implement processes to value client holdings and assess fees based on those valuations. The fair valuation of client investments can be an area of intense scrutiny during SEC examinations. An adviser’s performance and fee calculations are dependent upon the prices assigned to securities held in client accounts. Furthermore, security prices are important to most advisers’ portfolio management and trading processes. Advisers should adopt and implement policies and procedures that are reasonably designed to price securities in a manner that is fair, accurate, and consistent with any disclosures.</w:t>
      </w:r>
    </w:p>
    <w:p w14:paraId="7E691C2A" w14:textId="77777777" w:rsidR="0058665F" w:rsidRPr="005A3A8F" w:rsidRDefault="0058665F" w:rsidP="0058665F">
      <w:pPr>
        <w:rPr>
          <w:rFonts w:cs="Arial"/>
          <w:szCs w:val="20"/>
        </w:rPr>
      </w:pPr>
    </w:p>
    <w:p w14:paraId="216A7836" w14:textId="77777777" w:rsidR="0058665F" w:rsidRPr="005A3A8F" w:rsidRDefault="0058665F" w:rsidP="0058665F">
      <w:pPr>
        <w:rPr>
          <w:rFonts w:cs="Arial"/>
          <w:szCs w:val="20"/>
        </w:rPr>
      </w:pPr>
      <w:r w:rsidRPr="005A3A8F">
        <w:rPr>
          <w:rFonts w:cs="Arial"/>
          <w:szCs w:val="20"/>
        </w:rPr>
        <w:t>Securities that are frequently traded on public exchanges, such as many domestic equities, are relatively easy to price. However, the valuation of investments for which there is no readily available pricing information i</w:t>
      </w:r>
      <w:r>
        <w:rPr>
          <w:rFonts w:cs="Arial"/>
          <w:szCs w:val="20"/>
        </w:rPr>
        <w:t xml:space="preserve">nvolves the exercise of the valuer’s judgment and </w:t>
      </w:r>
      <w:r w:rsidRPr="005A3A8F">
        <w:rPr>
          <w:rFonts w:cs="Arial"/>
          <w:szCs w:val="20"/>
        </w:rPr>
        <w:t xml:space="preserve">cannot be subjected to a simple mechanistic formula. The SEC’s </w:t>
      </w:r>
      <w:r w:rsidRPr="004357E6">
        <w:rPr>
          <w:rFonts w:cs="Arial"/>
          <w:i/>
          <w:szCs w:val="20"/>
        </w:rPr>
        <w:t>Accounting Series Releases 113</w:t>
      </w:r>
      <w:r w:rsidRPr="005A3A8F">
        <w:rPr>
          <w:rFonts w:cs="Arial"/>
          <w:szCs w:val="20"/>
        </w:rPr>
        <w:t xml:space="preserve"> and </w:t>
      </w:r>
      <w:r w:rsidRPr="004357E6">
        <w:rPr>
          <w:rFonts w:cs="Arial"/>
          <w:i/>
          <w:szCs w:val="20"/>
        </w:rPr>
        <w:t>118</w:t>
      </w:r>
      <w:r w:rsidRPr="005A3A8F">
        <w:rPr>
          <w:rFonts w:cs="Arial"/>
          <w:szCs w:val="20"/>
        </w:rPr>
        <w:t xml:space="preserve"> explain how fair value methodologies should be used to determine the approximate amount that could be expected to be received upon the current sale of a security with no readily available market quotation. In addition, the SEC’s Division of Investment Management issued two letters to the </w:t>
      </w:r>
      <w:r w:rsidRPr="005A3A8F">
        <w:rPr>
          <w:rFonts w:cs="Arial"/>
          <w:i/>
          <w:szCs w:val="20"/>
        </w:rPr>
        <w:t>Investment Company Institute</w:t>
      </w:r>
      <w:r w:rsidRPr="005A3A8F">
        <w:rPr>
          <w:rFonts w:cs="Arial"/>
          <w:szCs w:val="20"/>
        </w:rPr>
        <w:t xml:space="preserve"> (</w:t>
      </w:r>
      <w:r w:rsidRPr="004357E6">
        <w:rPr>
          <w:rFonts w:cs="Arial"/>
          <w:szCs w:val="20"/>
        </w:rPr>
        <w:t>December 8, 1999</w:t>
      </w:r>
      <w:r w:rsidRPr="005A3A8F">
        <w:rPr>
          <w:rFonts w:cs="Arial"/>
          <w:szCs w:val="20"/>
        </w:rPr>
        <w:t xml:space="preserve">, and </w:t>
      </w:r>
      <w:r w:rsidRPr="004357E6">
        <w:rPr>
          <w:rFonts w:cs="Arial"/>
          <w:szCs w:val="20"/>
        </w:rPr>
        <w:t>April 30, 2001</w:t>
      </w:r>
      <w:r w:rsidRPr="005A3A8F">
        <w:rPr>
          <w:rFonts w:cs="Arial"/>
          <w:szCs w:val="20"/>
        </w:rPr>
        <w:t>) regarding valuation issues. Additional guidance can be found in various enforcement actions that the SEC has brought over the years for advisers’ failure to reasonably supervise portfolio managers who were responsible for valuing clients’ portfolios.</w:t>
      </w:r>
      <w:r w:rsidRPr="005A3A8F">
        <w:rPr>
          <w:rStyle w:val="FootnoteReference"/>
          <w:rFonts w:cs="Arial"/>
          <w:szCs w:val="20"/>
        </w:rPr>
        <w:footnoteReference w:id="25"/>
      </w:r>
      <w:r w:rsidRPr="005A3A8F">
        <w:rPr>
          <w:rFonts w:cs="Arial"/>
          <w:szCs w:val="20"/>
        </w:rPr>
        <w:t xml:space="preserve"> The Financial Accounting Standard</w:t>
      </w:r>
      <w:r>
        <w:rPr>
          <w:rFonts w:cs="Arial"/>
          <w:szCs w:val="20"/>
        </w:rPr>
        <w:t>s</w:t>
      </w:r>
      <w:r w:rsidRPr="005A3A8F">
        <w:rPr>
          <w:rFonts w:cs="Arial"/>
          <w:szCs w:val="20"/>
        </w:rPr>
        <w:t xml:space="preserve"> Board’s Accounting Standards Codification (“ASC”) 820-10 (originally issued </w:t>
      </w:r>
      <w:r>
        <w:rPr>
          <w:rFonts w:cs="Arial"/>
          <w:szCs w:val="20"/>
        </w:rPr>
        <w:t xml:space="preserve">in </w:t>
      </w:r>
      <w:r w:rsidRPr="005A3A8F">
        <w:rPr>
          <w:rFonts w:cs="Arial"/>
          <w:szCs w:val="20"/>
        </w:rPr>
        <w:t>September 2006 as Financial Accounting Standard</w:t>
      </w:r>
      <w:r>
        <w:rPr>
          <w:rFonts w:cs="Arial"/>
          <w:szCs w:val="20"/>
        </w:rPr>
        <w:t>s</w:t>
      </w:r>
      <w:r w:rsidRPr="005A3A8F">
        <w:rPr>
          <w:rFonts w:cs="Arial"/>
          <w:szCs w:val="20"/>
        </w:rPr>
        <w:t xml:space="preserve"> Board’s Statement 157) also provides guidance regarding appropriate valuation methodologies. ASC 820-10’s recommended hierarchy of valuation metrics is summarized below in descending order of preference</w:t>
      </w:r>
      <w:r>
        <w:rPr>
          <w:rFonts w:cs="Arial"/>
          <w:szCs w:val="20"/>
        </w:rPr>
        <w:t>:</w:t>
      </w:r>
    </w:p>
    <w:p w14:paraId="0C927A53" w14:textId="77777777" w:rsidR="0058665F" w:rsidRPr="005A3A8F" w:rsidRDefault="0058665F" w:rsidP="0058665F">
      <w:pPr>
        <w:pStyle w:val="Bullet1"/>
        <w:spacing w:line="240" w:lineRule="auto"/>
      </w:pPr>
      <w:r w:rsidRPr="005A3A8F">
        <w:rPr>
          <w:u w:val="single"/>
        </w:rPr>
        <w:t>Level 1</w:t>
      </w:r>
      <w:r w:rsidRPr="005A3A8F">
        <w:t xml:space="preserve"> – Quoted prices in active markets for identical assets or liabilities</w:t>
      </w:r>
    </w:p>
    <w:p w14:paraId="6A6B794C" w14:textId="77777777" w:rsidR="0058665F" w:rsidRPr="005A3A8F" w:rsidRDefault="0058665F" w:rsidP="0058665F">
      <w:pPr>
        <w:pStyle w:val="Bullet1"/>
        <w:spacing w:line="240" w:lineRule="auto"/>
      </w:pPr>
      <w:r w:rsidRPr="005A3A8F">
        <w:rPr>
          <w:u w:val="single"/>
        </w:rPr>
        <w:t>Level 2</w:t>
      </w:r>
      <w:r w:rsidRPr="005A3A8F">
        <w:t xml:space="preserve"> – Observable inputs other than quoted prices, such as</w:t>
      </w:r>
      <w:r>
        <w:t xml:space="preserve"> the following:</w:t>
      </w:r>
    </w:p>
    <w:p w14:paraId="38194CD3" w14:textId="77777777" w:rsidR="0058665F" w:rsidRPr="005A3A8F" w:rsidRDefault="0058665F" w:rsidP="0058665F">
      <w:pPr>
        <w:pStyle w:val="Bullet2"/>
        <w:spacing w:line="240" w:lineRule="auto"/>
      </w:pPr>
      <w:r w:rsidRPr="005A3A8F">
        <w:rPr>
          <w:u w:val="single"/>
        </w:rPr>
        <w:t>Level 2a</w:t>
      </w:r>
      <w:r w:rsidRPr="005A3A8F">
        <w:t xml:space="preserve"> – Quoted prices for similar assets or liabilities in active markets</w:t>
      </w:r>
    </w:p>
    <w:p w14:paraId="3DA509ED" w14:textId="77777777" w:rsidR="0058665F" w:rsidRPr="005A3A8F" w:rsidRDefault="0058665F" w:rsidP="0058665F">
      <w:pPr>
        <w:pStyle w:val="Bullet2"/>
        <w:spacing w:line="240" w:lineRule="auto"/>
      </w:pPr>
      <w:r w:rsidRPr="005A3A8F">
        <w:rPr>
          <w:u w:val="single"/>
        </w:rPr>
        <w:t>Level 2b</w:t>
      </w:r>
      <w:r w:rsidRPr="005A3A8F">
        <w:t xml:space="preserve"> – Quoted prices for identical or similar assets or liabilities in markets where there are few transactions, prices are not current, price quotations vary substantially over time or among market makers, or in which little information is released publicly</w:t>
      </w:r>
    </w:p>
    <w:p w14:paraId="7F7AA9AD" w14:textId="77777777" w:rsidR="0058665F" w:rsidRPr="008D10D9" w:rsidRDefault="0058665F" w:rsidP="0058665F">
      <w:pPr>
        <w:pStyle w:val="Bullet2"/>
        <w:spacing w:line="240" w:lineRule="auto"/>
      </w:pPr>
      <w:r w:rsidRPr="008D10D9">
        <w:rPr>
          <w:u w:val="single"/>
        </w:rPr>
        <w:t>Level 2c</w:t>
      </w:r>
      <w:r w:rsidRPr="008D10D9">
        <w:t xml:space="preserve"> –</w:t>
      </w:r>
      <w:r>
        <w:t xml:space="preserve"> </w:t>
      </w:r>
      <w:r w:rsidRPr="008D10D9">
        <w:t>Inputs other than quoted prices that are observable for the asset or liability (such as interest rates, yield curves, implied vo</w:t>
      </w:r>
      <w:r>
        <w:t>latilities, and credit spreads)</w:t>
      </w:r>
    </w:p>
    <w:p w14:paraId="1FCC5739" w14:textId="77777777" w:rsidR="0058665F" w:rsidRPr="005A3A8F" w:rsidRDefault="0058665F" w:rsidP="0058665F">
      <w:pPr>
        <w:pStyle w:val="Bullet2"/>
        <w:spacing w:line="240" w:lineRule="auto"/>
      </w:pPr>
      <w:r w:rsidRPr="005A3A8F">
        <w:rPr>
          <w:u w:val="single"/>
        </w:rPr>
        <w:t>Level 2d</w:t>
      </w:r>
      <w:r w:rsidRPr="005A3A8F">
        <w:t xml:space="preserve"> – Inputs derived from or corroborated by observable market data by correlation or other means</w:t>
      </w:r>
    </w:p>
    <w:p w14:paraId="7D3AE578" w14:textId="77777777" w:rsidR="0058665F" w:rsidRPr="005A3A8F" w:rsidRDefault="0058665F" w:rsidP="0058665F">
      <w:pPr>
        <w:pStyle w:val="Bullet1"/>
        <w:spacing w:line="240" w:lineRule="auto"/>
      </w:pPr>
      <w:r w:rsidRPr="005A3A8F">
        <w:rPr>
          <w:u w:val="single"/>
        </w:rPr>
        <w:t>Level 3</w:t>
      </w:r>
      <w:r w:rsidRPr="005A3A8F">
        <w:t xml:space="preserve"> – Unobservable inputs for the asset or liability</w:t>
      </w:r>
    </w:p>
    <w:p w14:paraId="57821C89" w14:textId="77777777" w:rsidR="0058665F" w:rsidRPr="005A3A8F" w:rsidRDefault="0058665F" w:rsidP="0058665F">
      <w:pPr>
        <w:autoSpaceDE w:val="0"/>
        <w:autoSpaceDN w:val="0"/>
        <w:adjustRightInd w:val="0"/>
        <w:rPr>
          <w:rFonts w:cs="Arial"/>
          <w:szCs w:val="20"/>
        </w:rPr>
      </w:pPr>
      <w:r w:rsidRPr="005A3A8F">
        <w:rPr>
          <w:rFonts w:cs="Arial"/>
          <w:szCs w:val="20"/>
        </w:rPr>
        <w:t xml:space="preserve">No matter which valuation metric is used, the fair value of a security should be the price at which an asset could be acquired or sold in a current transaction between willing parties in which the parties each acted knowledgeably, prudently, and without compulsion. Fair value should not be </w:t>
      </w:r>
      <w:r w:rsidRPr="005A3A8F">
        <w:rPr>
          <w:rFonts w:cs="Arial"/>
          <w:szCs w:val="20"/>
        </w:rPr>
        <w:lastRenderedPageBreak/>
        <w:t>based on what can be obtained from an immediate “fire sale” di</w:t>
      </w:r>
      <w:r>
        <w:rPr>
          <w:rFonts w:cs="Arial"/>
          <w:szCs w:val="20"/>
        </w:rPr>
        <w:t>sposition</w:t>
      </w:r>
      <w:r w:rsidRPr="005A3A8F">
        <w:rPr>
          <w:rFonts w:cs="Arial"/>
          <w:szCs w:val="20"/>
        </w:rPr>
        <w:t xml:space="preserve"> nor on what a buyer might pay at some later time or under more favorable circumstances.</w:t>
      </w:r>
    </w:p>
    <w:p w14:paraId="358D9BFF" w14:textId="77777777" w:rsidR="0058665F" w:rsidRPr="005A3A8F" w:rsidRDefault="0058665F" w:rsidP="0058665F">
      <w:pPr>
        <w:autoSpaceDE w:val="0"/>
        <w:autoSpaceDN w:val="0"/>
        <w:adjustRightInd w:val="0"/>
        <w:rPr>
          <w:rFonts w:cs="Arial"/>
          <w:szCs w:val="20"/>
        </w:rPr>
      </w:pPr>
    </w:p>
    <w:p w14:paraId="14A65284" w14:textId="77777777" w:rsidR="0058665F" w:rsidRPr="005A3A8F" w:rsidRDefault="0058665F" w:rsidP="0058665F">
      <w:pPr>
        <w:keepNext/>
        <w:autoSpaceDE w:val="0"/>
        <w:autoSpaceDN w:val="0"/>
        <w:adjustRightInd w:val="0"/>
        <w:rPr>
          <w:rFonts w:cs="Arial"/>
          <w:szCs w:val="20"/>
        </w:rPr>
      </w:pPr>
      <w:r w:rsidRPr="005A3A8F">
        <w:rPr>
          <w:rFonts w:cs="Arial"/>
          <w:szCs w:val="20"/>
        </w:rPr>
        <w:t>In accordance with regulatory guidance and industry best practices, an adviser has the following primary obligations regarding fair valuation:</w:t>
      </w:r>
    </w:p>
    <w:p w14:paraId="4BB8535D" w14:textId="77777777" w:rsidR="0058665F" w:rsidRPr="005A3A8F" w:rsidRDefault="0058665F" w:rsidP="0058665F">
      <w:pPr>
        <w:pStyle w:val="Bullet1"/>
        <w:spacing w:line="240" w:lineRule="auto"/>
      </w:pPr>
      <w:r w:rsidRPr="005A3A8F">
        <w:t xml:space="preserve">The adviser should adopt written policies and procedures that require the adviser to monitor for circumstances that may necessitate the use of fair value </w:t>
      </w:r>
      <w:proofErr w:type="gramStart"/>
      <w:r w:rsidRPr="005A3A8F">
        <w:t>pricing</w:t>
      </w:r>
      <w:r>
        <w:t>;</w:t>
      </w:r>
      <w:proofErr w:type="gramEnd"/>
    </w:p>
    <w:p w14:paraId="79630693" w14:textId="77777777" w:rsidR="0058665F" w:rsidRPr="005A3A8F" w:rsidRDefault="0058665F" w:rsidP="0058665F">
      <w:pPr>
        <w:pStyle w:val="Bullet1"/>
        <w:spacing w:line="240" w:lineRule="auto"/>
      </w:pPr>
      <w:r w:rsidRPr="005A3A8F">
        <w:t xml:space="preserve">The adviser should establish criteria for determining when market quotations are not reliable for a particular </w:t>
      </w:r>
      <w:proofErr w:type="gramStart"/>
      <w:r w:rsidRPr="005A3A8F">
        <w:t>security</w:t>
      </w:r>
      <w:r>
        <w:t>;</w:t>
      </w:r>
      <w:proofErr w:type="gramEnd"/>
    </w:p>
    <w:p w14:paraId="670035E7" w14:textId="77777777" w:rsidR="0058665F" w:rsidRPr="005A3A8F" w:rsidRDefault="0058665F" w:rsidP="0058665F">
      <w:pPr>
        <w:pStyle w:val="Bullet1"/>
        <w:spacing w:line="240" w:lineRule="auto"/>
      </w:pPr>
      <w:r w:rsidRPr="005A3A8F">
        <w:t>The adviser should establish a methodology or methodologies to determine the current fair value of a security</w:t>
      </w:r>
      <w:r>
        <w:t>; and</w:t>
      </w:r>
    </w:p>
    <w:p w14:paraId="0E20CC8B" w14:textId="77777777" w:rsidR="0058665F" w:rsidRPr="005A3A8F" w:rsidRDefault="0058665F" w:rsidP="0058665F">
      <w:pPr>
        <w:pStyle w:val="Bullet1"/>
        <w:spacing w:line="240" w:lineRule="auto"/>
      </w:pPr>
      <w:r w:rsidRPr="005A3A8F">
        <w:t>The adviser should periodically review the appropriateness and accuracy of the methods used in valuing securities.</w:t>
      </w:r>
    </w:p>
    <w:p w14:paraId="1B539A02" w14:textId="77777777" w:rsidR="0058665F" w:rsidRPr="005A3A8F" w:rsidRDefault="0058665F" w:rsidP="0058665F">
      <w:pPr>
        <w:rPr>
          <w:rFonts w:cs="Arial"/>
          <w:sz w:val="22"/>
          <w:szCs w:val="22"/>
        </w:rPr>
      </w:pPr>
      <w:r w:rsidRPr="005A3A8F">
        <w:rPr>
          <w:rFonts w:cs="Arial"/>
          <w:szCs w:val="20"/>
        </w:rPr>
        <w:t>Ultimately each adviser, acting in good faith and exercising reasonable business judgment, must consider a broad array of factors to devise an appropriate approach to valuation.</w:t>
      </w:r>
    </w:p>
    <w:p w14:paraId="71480A54" w14:textId="77777777" w:rsidR="0058665F" w:rsidRPr="005A3A8F" w:rsidRDefault="0058665F" w:rsidP="0058665F">
      <w:pPr>
        <w:rPr>
          <w:rFonts w:cs="Arial"/>
          <w:szCs w:val="20"/>
        </w:rPr>
      </w:pPr>
    </w:p>
    <w:p w14:paraId="73C11CEB"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527F4C7F" w14:textId="77777777" w:rsidR="0058665F" w:rsidRPr="005A3A8F" w:rsidRDefault="0058665F" w:rsidP="0058665F">
      <w:pPr>
        <w:rPr>
          <w:rFonts w:cs="Arial"/>
          <w:szCs w:val="20"/>
        </w:rPr>
      </w:pPr>
    </w:p>
    <w:p w14:paraId="78A677FA"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890504882"/>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its valuation and pricing processes resulted in no </w:t>
      </w:r>
      <w:r>
        <w:rPr>
          <w:rFonts w:cs="Arial"/>
          <w:szCs w:val="20"/>
        </w:rPr>
        <w:t>notable issues</w:t>
      </w:r>
      <w:r w:rsidRPr="005A3A8F">
        <w:rPr>
          <w:rFonts w:cs="Arial"/>
          <w:szCs w:val="20"/>
        </w:rPr>
        <w:t xml:space="preserve"> with respect to the following areas: </w:t>
      </w:r>
    </w:p>
    <w:p w14:paraId="2555BBD7" w14:textId="77777777" w:rsidR="0058665F" w:rsidRDefault="0058665F" w:rsidP="0058665F">
      <w:pPr>
        <w:pStyle w:val="Bullet1"/>
        <w:spacing w:line="240" w:lineRule="auto"/>
      </w:pPr>
      <w:r w:rsidRPr="005A3A8F">
        <w:t xml:space="preserve">Adequacy of </w:t>
      </w:r>
      <w:sdt>
        <w:sdtPr>
          <w:alias w:val="Client acronym possessive"/>
          <w:tag w:val="Client-acronym-possessive"/>
          <w:id w:val="-1379234228"/>
          <w:placeholder>
            <w:docPart w:val="2435EF8E7CC447889839D4D03776C03A"/>
          </w:placeholder>
        </w:sdtPr>
        <w:sdtEndPr/>
        <w:sdtContent>
          <w:r w:rsidRPr="005A3A8F">
            <w:t>XYZ’s</w:t>
          </w:r>
        </w:sdtContent>
      </w:sdt>
      <w:r w:rsidRPr="005A3A8F">
        <w:t xml:space="preserve"> written valuation polic</w:t>
      </w:r>
      <w:r>
        <w:t>ies</w:t>
      </w:r>
      <w:r w:rsidRPr="005A3A8F">
        <w:t xml:space="preserve"> and procedures</w:t>
      </w:r>
    </w:p>
    <w:p w14:paraId="6513F10F" w14:textId="77777777" w:rsidR="0058665F" w:rsidRPr="005A3A8F" w:rsidRDefault="0058665F" w:rsidP="0058665F">
      <w:pPr>
        <w:pStyle w:val="Bullet1"/>
        <w:spacing w:line="240" w:lineRule="auto"/>
      </w:pPr>
      <w:r>
        <w:t>Adherence to written valuation policies and relevant disclosures</w:t>
      </w:r>
    </w:p>
    <w:p w14:paraId="4913B101" w14:textId="77777777" w:rsidR="0058665F" w:rsidRPr="005A3A8F" w:rsidRDefault="0058665F" w:rsidP="0058665F">
      <w:pPr>
        <w:pStyle w:val="Bullet1"/>
        <w:spacing w:line="240" w:lineRule="auto"/>
      </w:pPr>
      <w:r>
        <w:t>Maintenance of documentation to support pricing and valuation of client investments</w:t>
      </w:r>
    </w:p>
    <w:p w14:paraId="137A4410" w14:textId="77777777" w:rsidR="0058665F" w:rsidRDefault="0058665F" w:rsidP="0058665F">
      <w:pPr>
        <w:pStyle w:val="Bullet1"/>
        <w:spacing w:line="240" w:lineRule="auto"/>
      </w:pPr>
      <w:r w:rsidRPr="005A3A8F">
        <w:t xml:space="preserve">Reasonableness of </w:t>
      </w:r>
      <w:sdt>
        <w:sdtPr>
          <w:alias w:val="Client acronym possessive"/>
          <w:tag w:val="Client-acronym-possessive"/>
          <w:id w:val="-2099320300"/>
          <w:placeholder>
            <w:docPart w:val="2435EF8E7CC447889839D4D03776C03A"/>
          </w:placeholder>
        </w:sdtPr>
        <w:sdtEndPr/>
        <w:sdtContent>
          <w:r w:rsidRPr="005A3A8F">
            <w:t>XYZ’s</w:t>
          </w:r>
        </w:sdtContent>
      </w:sdt>
      <w:r w:rsidRPr="005A3A8F">
        <w:t xml:space="preserve"> fair valuation techniqu</w:t>
      </w:r>
      <w:r>
        <w:t>es</w:t>
      </w:r>
    </w:p>
    <w:p w14:paraId="5491E557" w14:textId="77777777" w:rsidR="0058665F" w:rsidRPr="005A3A8F" w:rsidRDefault="0058665F" w:rsidP="0058665F">
      <w:pPr>
        <w:pStyle w:val="Bullet1"/>
        <w:spacing w:line="240" w:lineRule="auto"/>
      </w:pPr>
      <w:r w:rsidRPr="005A3A8F">
        <w:t xml:space="preserve">Occurrence of pricing errors, including the restatement of </w:t>
      </w:r>
      <w:r>
        <w:t>net asset value</w:t>
      </w:r>
    </w:p>
    <w:p w14:paraId="7C18180A" w14:textId="77777777" w:rsidR="0058665F" w:rsidRPr="005A3A8F" w:rsidRDefault="0058665F" w:rsidP="0058665F">
      <w:pPr>
        <w:pStyle w:val="Bullet1"/>
        <w:spacing w:line="240" w:lineRule="auto"/>
      </w:pPr>
      <w:r w:rsidRPr="005A3A8F">
        <w:t xml:space="preserve">Termination </w:t>
      </w:r>
      <w:r>
        <w:t xml:space="preserve">or redemption </w:t>
      </w:r>
      <w:r w:rsidRPr="005A3A8F">
        <w:t>of a client</w:t>
      </w:r>
      <w:r>
        <w:t xml:space="preserve"> or </w:t>
      </w:r>
      <w:r w:rsidRPr="005A3A8F">
        <w:t>investor during a billing period</w:t>
      </w:r>
    </w:p>
    <w:p w14:paraId="435F24E1" w14:textId="77777777" w:rsidR="0058665F" w:rsidRPr="005A3A8F" w:rsidRDefault="0058665F" w:rsidP="0058665F">
      <w:pPr>
        <w:rPr>
          <w:rFonts w:cs="Arial"/>
          <w:szCs w:val="20"/>
        </w:rPr>
      </w:pPr>
      <w:r w:rsidRPr="004974B6">
        <w:rPr>
          <w:rFonts w:cs="Arial"/>
          <w:szCs w:val="20"/>
        </w:rPr>
        <w:t xml:space="preserve">ACA’s review of </w:t>
      </w:r>
      <w:sdt>
        <w:sdtPr>
          <w:rPr>
            <w:rFonts w:cs="Arial"/>
            <w:szCs w:val="20"/>
          </w:rPr>
          <w:alias w:val="Client acronym possessive"/>
          <w:tag w:val="Client-acronym-possessive"/>
          <w:id w:val="189731859"/>
          <w:placeholder>
            <w:docPart w:val="2435EF8E7CC447889839D4D03776C03A"/>
          </w:placeholder>
        </w:sdtPr>
        <w:sdtEndPr/>
        <w:sdtContent>
          <w:r w:rsidRPr="004974B6">
            <w:rPr>
              <w:rFonts w:cs="Arial"/>
              <w:szCs w:val="20"/>
            </w:rPr>
            <w:t>XYZ’s</w:t>
          </w:r>
        </w:sdtContent>
      </w:sdt>
      <w:r w:rsidRPr="004974B6">
        <w:rPr>
          <w:rFonts w:cs="Arial"/>
          <w:szCs w:val="20"/>
        </w:rPr>
        <w:t xml:space="preserve"> valuation and pricing processes resulted in the following </w:t>
      </w:r>
      <w:r>
        <w:rPr>
          <w:rFonts w:cs="Arial"/>
          <w:szCs w:val="20"/>
          <w:highlight w:val="yellow"/>
        </w:rPr>
        <w:t xml:space="preserve">&lt;comment OR </w:t>
      </w:r>
      <w:r w:rsidRPr="00C1030D">
        <w:rPr>
          <w:highlight w:val="yellow"/>
        </w:rPr>
        <w:t>comments</w:t>
      </w:r>
      <w:r>
        <w:rPr>
          <w:rFonts w:cs="Arial"/>
          <w:szCs w:val="20"/>
          <w:highlight w:val="yellow"/>
        </w:rPr>
        <w:t>&gt;</w:t>
      </w:r>
      <w:r>
        <w:rPr>
          <w:rFonts w:cs="Arial"/>
          <w:szCs w:val="20"/>
        </w:rPr>
        <w:t>.</w:t>
      </w:r>
    </w:p>
    <w:p w14:paraId="34169F49"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14F5FAE2"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62E97B4D"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322C134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5FEBC675"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73295D87"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05640AA3"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3BA666E0" w14:textId="77777777" w:rsidR="0058665F" w:rsidRPr="005A3A8F" w:rsidRDefault="0058665F" w:rsidP="00534EA9">
            <w:pPr>
              <w:rPr>
                <w:rFonts w:cs="Arial"/>
                <w:szCs w:val="20"/>
              </w:rPr>
            </w:pPr>
            <w:r>
              <w:rPr>
                <w:rFonts w:cs="Arial"/>
                <w:szCs w:val="20"/>
              </w:rPr>
              <w:t>J.1</w:t>
            </w:r>
          </w:p>
        </w:tc>
        <w:tc>
          <w:tcPr>
            <w:tcW w:w="2578" w:type="dxa"/>
            <w:tcBorders>
              <w:top w:val="single" w:sz="6" w:space="0" w:color="auto"/>
              <w:left w:val="single" w:sz="4" w:space="0" w:color="auto"/>
              <w:bottom w:val="single" w:sz="6" w:space="0" w:color="auto"/>
              <w:right w:val="single" w:sz="6" w:space="0" w:color="auto"/>
            </w:tcBorders>
            <w:vAlign w:val="center"/>
          </w:tcPr>
          <w:p w14:paraId="79C570BE"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26833345"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1252967E"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28B4B905"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69F8BECB" w14:textId="77777777" w:rsidR="0058665F" w:rsidRPr="005A3A8F" w:rsidRDefault="0058665F" w:rsidP="00534EA9">
            <w:pPr>
              <w:rPr>
                <w:rFonts w:cs="Arial"/>
                <w:szCs w:val="20"/>
              </w:rPr>
            </w:pPr>
            <w:r>
              <w:rPr>
                <w:rFonts w:cs="Arial"/>
                <w:szCs w:val="20"/>
              </w:rPr>
              <w:lastRenderedPageBreak/>
              <w:t>J</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06BC58B4"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02A39489"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58860683"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15C63AAB"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382AAEBD" w14:textId="77777777" w:rsidR="0058665F" w:rsidRPr="005A3A8F" w:rsidRDefault="0058665F" w:rsidP="00534EA9">
            <w:pPr>
              <w:rPr>
                <w:rFonts w:cs="Arial"/>
                <w:szCs w:val="20"/>
              </w:rPr>
            </w:pPr>
            <w:r>
              <w:rPr>
                <w:rFonts w:cs="Arial"/>
                <w:szCs w:val="20"/>
              </w:rPr>
              <w:t>J</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587E4BCB"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002EA15D"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17F10E81"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70C55EC2" w14:textId="77777777" w:rsidR="0058665F" w:rsidRDefault="0058665F" w:rsidP="0058665F"/>
    <w:p w14:paraId="5ED1240E" w14:textId="77777777" w:rsidR="0058665F" w:rsidRDefault="0058665F" w:rsidP="0058665F">
      <w:pPr>
        <w:rPr>
          <w:spacing w:val="-3"/>
          <w:kern w:val="32"/>
          <w:sz w:val="22"/>
          <w:szCs w:val="22"/>
        </w:rPr>
      </w:pPr>
      <w:r>
        <w:br w:type="page"/>
      </w:r>
    </w:p>
    <w:p w14:paraId="18610893" w14:textId="77777777" w:rsidR="0058665F" w:rsidRPr="00AC67FC" w:rsidRDefault="0058665F" w:rsidP="0058665F">
      <w:pPr>
        <w:pStyle w:val="Heading2"/>
        <w:ind w:left="0" w:firstLine="0"/>
      </w:pPr>
      <w:r w:rsidRPr="00AC67FC">
        <w:lastRenderedPageBreak/>
        <w:t>K. Privacy, the Safeguarding of Information, Cybersecurity, and Identity Theft Prevention</w:t>
      </w:r>
    </w:p>
    <w:p w14:paraId="5D92C0EC" w14:textId="77777777" w:rsidR="0058665F" w:rsidRPr="005A3A8F" w:rsidRDefault="0058665F" w:rsidP="0058665F">
      <w:pPr>
        <w:rPr>
          <w:rFonts w:cs="Arial"/>
          <w:szCs w:val="20"/>
        </w:rPr>
      </w:pPr>
      <w:r w:rsidRPr="005A3A8F">
        <w:rPr>
          <w:rFonts w:cs="Arial"/>
          <w:szCs w:val="20"/>
        </w:rPr>
        <w:t xml:space="preserve">Regulation S-P requires registered investment advisers to adopt and implement policies and procedures regarding the use and safekeeping of nonpublic information about clients who are natural persons. </w:t>
      </w:r>
      <w:r>
        <w:rPr>
          <w:rFonts w:cs="Arial"/>
          <w:szCs w:val="20"/>
        </w:rPr>
        <w:t xml:space="preserve">Advisers should adopt and implement reasonable controls to prevent the unauthorized use or taking of proprietary information, including such unauthorized </w:t>
      </w:r>
      <w:proofErr w:type="gramStart"/>
      <w:r>
        <w:rPr>
          <w:rFonts w:cs="Arial"/>
          <w:szCs w:val="20"/>
        </w:rPr>
        <w:t>use</w:t>
      </w:r>
      <w:proofErr w:type="gramEnd"/>
      <w:r>
        <w:rPr>
          <w:rFonts w:cs="Arial"/>
          <w:szCs w:val="20"/>
        </w:rPr>
        <w:t xml:space="preserve"> or taking by company insiders. </w:t>
      </w:r>
      <w:r w:rsidRPr="005A3A8F">
        <w:rPr>
          <w:rFonts w:cs="Arial"/>
          <w:szCs w:val="20"/>
        </w:rPr>
        <w:t xml:space="preserve">Regulation S-P also requires that investment advisers deliver an initial privacy notice to new natural person customers and annual privacy notices to </w:t>
      </w:r>
      <w:proofErr w:type="gramStart"/>
      <w:r w:rsidRPr="005A3A8F">
        <w:rPr>
          <w:rFonts w:cs="Arial"/>
          <w:szCs w:val="20"/>
        </w:rPr>
        <w:t>all natural</w:t>
      </w:r>
      <w:proofErr w:type="gramEnd"/>
      <w:r w:rsidRPr="005A3A8F">
        <w:rPr>
          <w:rFonts w:cs="Arial"/>
          <w:szCs w:val="20"/>
        </w:rPr>
        <w:t xml:space="preserve"> person customers. </w:t>
      </w:r>
      <w:r w:rsidRPr="00945EC9">
        <w:rPr>
          <w:rFonts w:cs="Arial"/>
          <w:szCs w:val="20"/>
        </w:rPr>
        <w:t>However, the FAST Act provides an exception to the annual delivery requirement for any financial institution that (</w:t>
      </w:r>
      <w:proofErr w:type="spellStart"/>
      <w:r w:rsidRPr="00945EC9">
        <w:rPr>
          <w:rFonts w:cs="Arial"/>
          <w:szCs w:val="20"/>
        </w:rPr>
        <w:t>i</w:t>
      </w:r>
      <w:proofErr w:type="spellEnd"/>
      <w:r w:rsidRPr="00945EC9">
        <w:rPr>
          <w:rFonts w:cs="Arial"/>
          <w:szCs w:val="20"/>
        </w:rPr>
        <w:t xml:space="preserve">) does not share nonpublic personal information </w:t>
      </w:r>
      <w:r w:rsidRPr="00A902C1">
        <w:rPr>
          <w:rFonts w:cs="Arial"/>
          <w:szCs w:val="20"/>
        </w:rPr>
        <w:t xml:space="preserve">with nonaffiliated third parties </w:t>
      </w:r>
      <w:r>
        <w:t>other than as</w:t>
      </w:r>
      <w:r w:rsidRPr="00C1030D">
        <w:t xml:space="preserve"> allowed by subsection (b)(2) or (e) of 15 U.S.C § 6802</w:t>
      </w:r>
      <w:r>
        <w:t>,</w:t>
      </w:r>
      <w:r w:rsidRPr="00A902C1">
        <w:rPr>
          <w:rFonts w:cs="Arial"/>
          <w:szCs w:val="20"/>
        </w:rPr>
        <w:t xml:space="preserve"> and </w:t>
      </w:r>
      <w:r w:rsidRPr="00945EC9">
        <w:rPr>
          <w:rFonts w:cs="Arial"/>
          <w:szCs w:val="20"/>
        </w:rPr>
        <w:t xml:space="preserve">(ii) has not changed its policies and practices from </w:t>
      </w:r>
      <w:r>
        <w:rPr>
          <w:rFonts w:cs="Arial"/>
          <w:szCs w:val="20"/>
        </w:rPr>
        <w:t>those</w:t>
      </w:r>
      <w:r w:rsidRPr="00945EC9">
        <w:rPr>
          <w:rFonts w:cs="Arial"/>
          <w:szCs w:val="20"/>
        </w:rPr>
        <w:t xml:space="preserve"> that were disclosed in the most recent privacy notice distributed. </w:t>
      </w:r>
      <w:sdt>
        <w:sdtPr>
          <w:rPr>
            <w:rFonts w:cs="Arial"/>
            <w:szCs w:val="20"/>
          </w:rPr>
          <w:alias w:val="Private Fund Adviser"/>
          <w:tag w:val="Private-Fund-Adviser"/>
          <w:id w:val="-1232689511"/>
          <w:placeholder>
            <w:docPart w:val="2435EF8E7CC447889839D4D03776C03A"/>
          </w:placeholder>
        </w:sdtPr>
        <w:sdtEndPr/>
        <w:sdtContent>
          <w:r w:rsidRPr="005A3A8F">
            <w:rPr>
              <w:rFonts w:cs="Arial"/>
              <w:szCs w:val="20"/>
            </w:rPr>
            <w:t>Privately offered funds must comply with the Federal Trade Commission (“FTC”) privacy rules found in Part 313 of Title 16 in the Code of Federal Regulations. Generally, private funds can comply with the FTC rules and standards by following policies and procedures that are designed to comply with Regulation S-P.</w:t>
          </w:r>
        </w:sdtContent>
      </w:sdt>
      <w:r w:rsidRPr="005A3A8F">
        <w:rPr>
          <w:rFonts w:cs="Arial"/>
          <w:szCs w:val="20"/>
        </w:rPr>
        <w:t xml:space="preserve"> </w:t>
      </w:r>
    </w:p>
    <w:p w14:paraId="62000F8C" w14:textId="77777777" w:rsidR="0058665F" w:rsidRPr="005A3A8F" w:rsidRDefault="0058665F" w:rsidP="0058665F">
      <w:pPr>
        <w:rPr>
          <w:rFonts w:cs="Arial"/>
          <w:szCs w:val="20"/>
        </w:rPr>
      </w:pPr>
    </w:p>
    <w:p w14:paraId="37616AB1" w14:textId="77777777" w:rsidR="0058665F" w:rsidRPr="005A3A8F" w:rsidRDefault="0058665F" w:rsidP="0058665F">
      <w:pPr>
        <w:rPr>
          <w:rFonts w:cs="Arial"/>
          <w:szCs w:val="20"/>
        </w:rPr>
      </w:pPr>
      <w:r w:rsidRPr="005A3A8F">
        <w:rPr>
          <w:rFonts w:cs="Arial"/>
          <w:szCs w:val="20"/>
        </w:rPr>
        <w:t xml:space="preserve">Regulation S-AM prohibits a registered investment adviser from using information about an individual consumer that has been obtained from an affiliated entity for marketing purposes unless the information-sharing practices have been disclosed and the consumer has not opted out. </w:t>
      </w:r>
    </w:p>
    <w:p w14:paraId="2F46D34E" w14:textId="77777777" w:rsidR="0058665F" w:rsidRPr="005A3A8F" w:rsidRDefault="0058665F" w:rsidP="0058665F">
      <w:pPr>
        <w:rPr>
          <w:rFonts w:cs="Arial"/>
          <w:szCs w:val="20"/>
        </w:rPr>
      </w:pPr>
    </w:p>
    <w:p w14:paraId="4B252A5B" w14:textId="77777777" w:rsidR="0058665F" w:rsidRDefault="0058665F" w:rsidP="0058665F">
      <w:r>
        <w:t>Regulation S-ID requires each financial institution and creditor that maintains one or more covered accounts to implement and maintain written policies and procedures designed to detect, prevent, and mitigate the effects of identity theft. Examples of SEC-regulated entities that would be considered financial institutions or creditors with covered accounts for purposes of Regulation S-ID include the following:</w:t>
      </w:r>
    </w:p>
    <w:p w14:paraId="6BD6C8C9" w14:textId="77777777" w:rsidR="0058665F" w:rsidRDefault="0058665F" w:rsidP="0058665F">
      <w:pPr>
        <w:pStyle w:val="Bullet1"/>
        <w:spacing w:line="240" w:lineRule="auto"/>
      </w:pPr>
      <w:r>
        <w:t>Investment advisers with the ability to direct transfers or payments from accounts belonging to natural persons to third parties upon the individuals’ instructions</w:t>
      </w:r>
      <w:r>
        <w:rPr>
          <w:rStyle w:val="FootnoteReference"/>
        </w:rPr>
        <w:footnoteReference w:id="26"/>
      </w:r>
    </w:p>
    <w:p w14:paraId="29E1BE28" w14:textId="77777777" w:rsidR="0058665F" w:rsidRDefault="0058665F" w:rsidP="0058665F">
      <w:pPr>
        <w:pStyle w:val="Bullet1"/>
        <w:spacing w:line="240" w:lineRule="auto"/>
      </w:pPr>
      <w:r>
        <w:t>Investment advisers managing private funds with natural person investors where the adviser or an affiliate has the authority to direct the individuals’ investment proceeds to third parties.</w:t>
      </w:r>
    </w:p>
    <w:p w14:paraId="5448D72D" w14:textId="77777777" w:rsidR="0058665F" w:rsidRDefault="0058665F" w:rsidP="0058665F">
      <w:pPr>
        <w:rPr>
          <w:rFonts w:cs="Arial"/>
          <w:szCs w:val="20"/>
        </w:rPr>
      </w:pPr>
      <w:r>
        <w:rPr>
          <w:rFonts w:cs="Arial"/>
          <w:szCs w:val="20"/>
        </w:rPr>
        <w:t>Programs implemented to comply with Regulation S-ID must, among other requirements, receive written approval from the adviser’s board of directors or a designated member of senior management (as applicable), address training of employees to identify red flags, ensure third-party service providers to covered accounts have their own reasonable red flags programs in place, and provide for an annual review of the adviser’s red-flags program.</w:t>
      </w:r>
    </w:p>
    <w:p w14:paraId="0973C09A" w14:textId="77777777" w:rsidR="0058665F" w:rsidRDefault="0058665F" w:rsidP="0058665F">
      <w:pPr>
        <w:rPr>
          <w:rFonts w:cs="Arial"/>
          <w:szCs w:val="20"/>
        </w:rPr>
      </w:pPr>
    </w:p>
    <w:p w14:paraId="38B092F6" w14:textId="77777777" w:rsidR="0058665F" w:rsidRPr="00B77E37" w:rsidRDefault="0058665F" w:rsidP="0058665F">
      <w:pPr>
        <w:rPr>
          <w:rFonts w:cs="Arial"/>
          <w:szCs w:val="20"/>
          <w:highlight w:val="green"/>
        </w:rPr>
      </w:pPr>
      <w:r w:rsidRPr="002913AE">
        <w:rPr>
          <w:rFonts w:cs="Arial"/>
          <w:szCs w:val="20"/>
          <w:u w:val="single"/>
        </w:rPr>
        <w:t>Cybersecurity</w:t>
      </w:r>
      <w:r>
        <w:rPr>
          <w:rFonts w:cs="Arial"/>
          <w:szCs w:val="20"/>
        </w:rPr>
        <w:t xml:space="preserve"> – The SEC has brought </w:t>
      </w:r>
      <w:r>
        <w:t xml:space="preserve">multiple enforcement actions against investment advisers for failure to adopt written policies and procedures reasonably designed to safeguard customer information. In various Risk Alerts, </w:t>
      </w:r>
      <w:r w:rsidRPr="004D0E1B">
        <w:t>Releases and other public documents</w:t>
      </w:r>
      <w:r>
        <w:t>,</w:t>
      </w:r>
      <w:r w:rsidRPr="004D0E1B">
        <w:t xml:space="preserve"> the SEC has described industry practices and approaches to managing cybersecurity risk and maintaining operational resiliency</w:t>
      </w:r>
      <w:r>
        <w:t xml:space="preserve"> </w:t>
      </w:r>
      <w:r w:rsidRPr="0060101F">
        <w:rPr>
          <w:highlight w:val="yellow"/>
        </w:rPr>
        <w:t xml:space="preserve">&lt;Discuss with </w:t>
      </w:r>
      <w:proofErr w:type="spellStart"/>
      <w:r w:rsidRPr="0060101F">
        <w:rPr>
          <w:highlight w:val="yellow"/>
        </w:rPr>
        <w:t>Aponix</w:t>
      </w:r>
      <w:proofErr w:type="spellEnd"/>
      <w:r w:rsidRPr="0060101F">
        <w:rPr>
          <w:highlight w:val="yellow"/>
        </w:rPr>
        <w:t xml:space="preserve"> before expanding upon the text&gt;</w:t>
      </w:r>
      <w:r w:rsidRPr="004D0E1B">
        <w:t>.</w:t>
      </w:r>
    </w:p>
    <w:p w14:paraId="6902B7FD" w14:textId="77777777" w:rsidR="0058665F" w:rsidRPr="005A3A8F" w:rsidRDefault="0058665F" w:rsidP="0058665F"/>
    <w:p w14:paraId="28594FD6" w14:textId="77777777" w:rsidR="0058665F" w:rsidRDefault="0058665F" w:rsidP="0058665F">
      <w:pPr>
        <w:rPr>
          <w:rFonts w:cs="Arial"/>
          <w:szCs w:val="20"/>
        </w:rPr>
      </w:pPr>
      <w:r w:rsidRPr="005A3A8F">
        <w:rPr>
          <w:rFonts w:cs="Arial"/>
          <w:szCs w:val="20"/>
          <w:highlight w:val="yellow"/>
        </w:rPr>
        <w:lastRenderedPageBreak/>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05587FF0" w14:textId="77777777" w:rsidR="0058665F" w:rsidRPr="005A3A8F" w:rsidRDefault="0058665F" w:rsidP="0058665F">
      <w:pPr>
        <w:rPr>
          <w:rFonts w:cs="Arial"/>
          <w:szCs w:val="20"/>
        </w:rPr>
      </w:pPr>
    </w:p>
    <w:p w14:paraId="2F30E0B2"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648163302"/>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client privacy and the </w:t>
      </w:r>
      <w:r>
        <w:rPr>
          <w:rFonts w:cs="Arial"/>
          <w:szCs w:val="20"/>
        </w:rPr>
        <w:t xml:space="preserve">safeguarding of information </w:t>
      </w:r>
      <w:r w:rsidRPr="005A3A8F">
        <w:rPr>
          <w:rFonts w:cs="Arial"/>
          <w:szCs w:val="20"/>
        </w:rPr>
        <w:t xml:space="preserve">resulted in no </w:t>
      </w:r>
      <w:r>
        <w:rPr>
          <w:rFonts w:cs="Arial"/>
          <w:szCs w:val="20"/>
        </w:rPr>
        <w:t>notable issues</w:t>
      </w:r>
      <w:r w:rsidRPr="005A3A8F">
        <w:rPr>
          <w:rFonts w:cs="Arial"/>
          <w:szCs w:val="20"/>
        </w:rPr>
        <w:t xml:space="preserve"> wit</w:t>
      </w:r>
      <w:r>
        <w:rPr>
          <w:rFonts w:cs="Arial"/>
          <w:szCs w:val="20"/>
        </w:rPr>
        <w:t>h respect to the following areas</w:t>
      </w:r>
      <w:r w:rsidRPr="005A3A8F">
        <w:rPr>
          <w:rFonts w:cs="Arial"/>
          <w:szCs w:val="20"/>
        </w:rPr>
        <w:t xml:space="preserve">: </w:t>
      </w:r>
    </w:p>
    <w:p w14:paraId="0128E396"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636492528"/>
          <w:placeholder>
            <w:docPart w:val="2435EF8E7CC447889839D4D03776C03A"/>
          </w:placeholder>
        </w:sdtPr>
        <w:sdtEndPr/>
        <w:sdtContent>
          <w:r w:rsidRPr="005A3A8F">
            <w:t>XYZ’s</w:t>
          </w:r>
        </w:sdtContent>
      </w:sdt>
      <w:r w:rsidRPr="005A3A8F">
        <w:t xml:space="preserve"> written privacy</w:t>
      </w:r>
      <w:r>
        <w:t>, information security, cybersecurity, and identity theft</w:t>
      </w:r>
      <w:r w:rsidRPr="005A3A8F">
        <w:t xml:space="preserve"> polic</w:t>
      </w:r>
      <w:r>
        <w:t>ies</w:t>
      </w:r>
      <w:r w:rsidRPr="005A3A8F">
        <w:t xml:space="preserve"> and procedures</w:t>
      </w:r>
    </w:p>
    <w:p w14:paraId="18AF9995" w14:textId="77777777" w:rsidR="0058665F" w:rsidRPr="005A3A8F" w:rsidRDefault="0058665F" w:rsidP="0058665F">
      <w:pPr>
        <w:pStyle w:val="Bullet1"/>
        <w:spacing w:line="240" w:lineRule="auto"/>
      </w:pPr>
      <w:r w:rsidRPr="005A3A8F">
        <w:t>Initi</w:t>
      </w:r>
      <w:r>
        <w:t>al and annual delivery of the pr</w:t>
      </w:r>
      <w:r w:rsidRPr="005A3A8F">
        <w:t xml:space="preserve">ivacy </w:t>
      </w:r>
      <w:r>
        <w:t>n</w:t>
      </w:r>
      <w:r w:rsidRPr="005A3A8F">
        <w:t>otice</w:t>
      </w:r>
    </w:p>
    <w:p w14:paraId="23A3A36D" w14:textId="77777777" w:rsidR="0058665F" w:rsidRDefault="0058665F" w:rsidP="0058665F">
      <w:pPr>
        <w:pStyle w:val="Bullet1"/>
        <w:spacing w:line="240" w:lineRule="auto"/>
      </w:pPr>
      <w:r w:rsidRPr="005A3A8F">
        <w:t xml:space="preserve">Processes </w:t>
      </w:r>
      <w:r>
        <w:t>to</w:t>
      </w:r>
      <w:r w:rsidRPr="005A3A8F">
        <w:t xml:space="preserve"> protect client information</w:t>
      </w:r>
      <w:r>
        <w:t>, including cybersecurity controls</w:t>
      </w:r>
    </w:p>
    <w:p w14:paraId="57C157B6" w14:textId="77777777" w:rsidR="0058665F" w:rsidRPr="005A3A8F" w:rsidRDefault="0058665F" w:rsidP="0058665F">
      <w:pPr>
        <w:pStyle w:val="Bullet1"/>
        <w:spacing w:line="240" w:lineRule="auto"/>
      </w:pPr>
      <w:r>
        <w:t xml:space="preserve">Processes to protect </w:t>
      </w:r>
      <w:sdt>
        <w:sdtPr>
          <w:alias w:val="Client acronym"/>
          <w:tag w:val="Client-acronym"/>
          <w:id w:val="1799336185"/>
          <w:placeholder>
            <w:docPart w:val="2435EF8E7CC447889839D4D03776C03A"/>
          </w:placeholder>
        </w:sdtPr>
        <w:sdtEndPr/>
        <w:sdtContent>
          <w:r>
            <w:t>XYZ</w:t>
          </w:r>
        </w:sdtContent>
      </w:sdt>
      <w:r>
        <w:t xml:space="preserve"> proprietary information</w:t>
      </w:r>
    </w:p>
    <w:p w14:paraId="2F4ED1C6" w14:textId="77777777" w:rsidR="0058665F" w:rsidRDefault="0058665F" w:rsidP="0058665F">
      <w:pPr>
        <w:pStyle w:val="Bullet1"/>
        <w:spacing w:line="240" w:lineRule="auto"/>
      </w:pPr>
      <w:r w:rsidRPr="005A3A8F">
        <w:t>Information sharing with affiliates</w:t>
      </w:r>
    </w:p>
    <w:p w14:paraId="7DD26341" w14:textId="77777777" w:rsidR="0058665F" w:rsidRDefault="0058665F" w:rsidP="0058665F">
      <w:pPr>
        <w:pStyle w:val="Bullet1"/>
        <w:spacing w:line="240" w:lineRule="auto"/>
      </w:pPr>
      <w:r>
        <w:t xml:space="preserve">Oversight of third parties with access to </w:t>
      </w:r>
      <w:sdt>
        <w:sdtPr>
          <w:alias w:val="Client acronym possessive"/>
          <w:tag w:val="Client-acronym-possessive"/>
          <w:id w:val="666376403"/>
          <w:placeholder>
            <w:docPart w:val="2435EF8E7CC447889839D4D03776C03A"/>
          </w:placeholder>
        </w:sdtPr>
        <w:sdtEndPr/>
        <w:sdtContent>
          <w:r>
            <w:t>XYZ’s</w:t>
          </w:r>
        </w:sdtContent>
      </w:sdt>
      <w:r>
        <w:t xml:space="preserve"> sensitive information</w:t>
      </w:r>
    </w:p>
    <w:p w14:paraId="0B36BC03" w14:textId="77777777" w:rsidR="0058665F" w:rsidRPr="005A3A8F" w:rsidRDefault="0058665F" w:rsidP="0058665F">
      <w:pPr>
        <w:rPr>
          <w:rFonts w:cs="Arial"/>
          <w:szCs w:val="20"/>
        </w:rPr>
      </w:pPr>
      <w:r w:rsidRPr="005A3A8F">
        <w:rPr>
          <w:rFonts w:cs="Arial"/>
          <w:szCs w:val="20"/>
        </w:rPr>
        <w:t>ACA’s review of this regulatory issue re</w:t>
      </w:r>
      <w:r>
        <w:rPr>
          <w:rFonts w:cs="Arial"/>
          <w:szCs w:val="20"/>
        </w:rPr>
        <w:t xml:space="preserve">sulted in the following </w:t>
      </w:r>
      <w:r w:rsidRPr="00CE3305">
        <w:rPr>
          <w:rFonts w:cs="Arial"/>
          <w:szCs w:val="20"/>
          <w:highlight w:val="yellow"/>
        </w:rPr>
        <w:t xml:space="preserve">&lt;comment </w:t>
      </w:r>
      <w:r>
        <w:rPr>
          <w:rFonts w:cs="Arial"/>
          <w:szCs w:val="20"/>
          <w:highlight w:val="yellow"/>
        </w:rPr>
        <w:t>OR</w:t>
      </w:r>
      <w:r w:rsidRPr="006C33DB">
        <w:rPr>
          <w:rFonts w:cs="Arial"/>
          <w:szCs w:val="20"/>
          <w:highlight w:val="yellow"/>
        </w:rPr>
        <w:t xml:space="preserve"> </w:t>
      </w:r>
      <w:r w:rsidRPr="00C1030D">
        <w:rPr>
          <w:highlight w:val="yellow"/>
        </w:rPr>
        <w:t>comments</w:t>
      </w:r>
      <w:r w:rsidRPr="006C33DB">
        <w:rPr>
          <w:rFonts w:cs="Arial"/>
          <w:szCs w:val="20"/>
          <w:highlight w:val="yellow"/>
        </w:rPr>
        <w:t>&gt;</w:t>
      </w:r>
      <w:r>
        <w:rPr>
          <w:rFonts w:cs="Arial"/>
          <w:szCs w:val="20"/>
        </w:rPr>
        <w:t>.</w:t>
      </w:r>
    </w:p>
    <w:p w14:paraId="4DD77B42"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23D7D264"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EA06758"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4AA9890A"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64FB17F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0FD2C4E2"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3C1D4006"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29AF1A53" w14:textId="77777777" w:rsidR="0058665F" w:rsidRPr="005A3A8F" w:rsidRDefault="0058665F" w:rsidP="00534EA9">
            <w:pPr>
              <w:rPr>
                <w:rFonts w:cs="Arial"/>
                <w:szCs w:val="20"/>
              </w:rPr>
            </w:pPr>
            <w:r>
              <w:rPr>
                <w:rFonts w:cs="Arial"/>
                <w:szCs w:val="20"/>
              </w:rPr>
              <w:t>K.1</w:t>
            </w:r>
          </w:p>
        </w:tc>
        <w:tc>
          <w:tcPr>
            <w:tcW w:w="2578" w:type="dxa"/>
            <w:tcBorders>
              <w:top w:val="single" w:sz="6" w:space="0" w:color="auto"/>
              <w:left w:val="single" w:sz="4" w:space="0" w:color="auto"/>
              <w:bottom w:val="single" w:sz="6" w:space="0" w:color="auto"/>
              <w:right w:val="single" w:sz="6" w:space="0" w:color="auto"/>
            </w:tcBorders>
            <w:vAlign w:val="center"/>
          </w:tcPr>
          <w:p w14:paraId="3D91AD61"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18B54A2B"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7DEB049F"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327C32F7"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492DEE2F" w14:textId="77777777" w:rsidR="0058665F" w:rsidRPr="005A3A8F" w:rsidRDefault="0058665F" w:rsidP="00534EA9">
            <w:pPr>
              <w:rPr>
                <w:rFonts w:cs="Arial"/>
                <w:szCs w:val="20"/>
              </w:rPr>
            </w:pPr>
            <w:r>
              <w:rPr>
                <w:rFonts w:cs="Arial"/>
                <w:szCs w:val="20"/>
              </w:rPr>
              <w:t>K</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0217704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583ACFD2"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63439371"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56D87DBF"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61BBEA32" w14:textId="77777777" w:rsidR="0058665F" w:rsidRPr="005A3A8F" w:rsidRDefault="0058665F" w:rsidP="00534EA9">
            <w:pPr>
              <w:rPr>
                <w:rFonts w:cs="Arial"/>
                <w:szCs w:val="20"/>
              </w:rPr>
            </w:pPr>
            <w:r>
              <w:rPr>
                <w:rFonts w:cs="Arial"/>
                <w:szCs w:val="20"/>
              </w:rPr>
              <w:t>K</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01147069"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0829235F"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2D3EA1F8"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4A5CF7FE" w14:textId="77777777" w:rsidR="0058665F" w:rsidRPr="00666A1F" w:rsidRDefault="0058665F" w:rsidP="0058665F">
      <w:pPr>
        <w:rPr>
          <w:rFonts w:cs="Arial"/>
          <w:szCs w:val="20"/>
        </w:rPr>
      </w:pPr>
    </w:p>
    <w:p w14:paraId="6BA2A722" w14:textId="77777777" w:rsidR="0058665F" w:rsidRDefault="0058665F" w:rsidP="0058665F">
      <w:pPr>
        <w:rPr>
          <w:rFonts w:cs="Arial"/>
          <w:szCs w:val="20"/>
        </w:rPr>
      </w:pPr>
      <w:r>
        <w:rPr>
          <w:rFonts w:cs="Arial"/>
          <w:szCs w:val="20"/>
        </w:rPr>
        <w:br w:type="page"/>
      </w:r>
    </w:p>
    <w:p w14:paraId="59F2B7B7" w14:textId="77777777" w:rsidR="0058665F" w:rsidRPr="00AC67FC" w:rsidRDefault="0058665F" w:rsidP="0058665F">
      <w:pPr>
        <w:pStyle w:val="Heading2"/>
        <w:ind w:left="0" w:firstLine="0"/>
      </w:pPr>
      <w:r w:rsidRPr="00AC67FC">
        <w:lastRenderedPageBreak/>
        <w:t xml:space="preserve">L. Business Continuity Planning </w:t>
      </w:r>
    </w:p>
    <w:p w14:paraId="4F7EC4C4" w14:textId="77777777" w:rsidR="0058665F" w:rsidRPr="005A3A8F" w:rsidRDefault="0058665F" w:rsidP="0058665F">
      <w:pPr>
        <w:rPr>
          <w:rFonts w:cs="Arial"/>
          <w:szCs w:val="20"/>
        </w:rPr>
      </w:pPr>
      <w:r w:rsidRPr="005A3A8F">
        <w:rPr>
          <w:rFonts w:cs="Arial"/>
          <w:szCs w:val="20"/>
        </w:rPr>
        <w:t xml:space="preserve">In </w:t>
      </w:r>
      <w:r w:rsidRPr="005A3A8F">
        <w:rPr>
          <w:rFonts w:cs="Arial"/>
          <w:i/>
          <w:szCs w:val="20"/>
        </w:rPr>
        <w:t>Release IA-2204</w:t>
      </w:r>
      <w:r w:rsidRPr="005A3A8F">
        <w:rPr>
          <w:rFonts w:cs="Arial"/>
          <w:szCs w:val="20"/>
        </w:rPr>
        <w:t xml:space="preserve">, the SEC stated that an adviser’s fiduciary duty to its clients includes the obligation to protect clients’ interests from being placed at risk by a business interruption, a natural disaster, or the loss of key personnel. In addition to regulatory expectations, the development and testing of business continuity plans is a prudent course of business. </w:t>
      </w:r>
    </w:p>
    <w:p w14:paraId="4D4F7283" w14:textId="77777777" w:rsidR="0058665F" w:rsidRPr="005A3A8F" w:rsidRDefault="0058665F" w:rsidP="0058665F">
      <w:pPr>
        <w:rPr>
          <w:rFonts w:cs="Arial"/>
          <w:szCs w:val="20"/>
        </w:rPr>
      </w:pPr>
    </w:p>
    <w:p w14:paraId="7BE8E739"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30FB7B88" w14:textId="77777777" w:rsidR="0058665F" w:rsidRPr="005A3A8F" w:rsidRDefault="0058665F" w:rsidP="0058665F">
      <w:pPr>
        <w:rPr>
          <w:rFonts w:cs="Arial"/>
          <w:szCs w:val="20"/>
        </w:rPr>
      </w:pPr>
    </w:p>
    <w:p w14:paraId="3ABED3C4"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860575867"/>
          <w:placeholder>
            <w:docPart w:val="2435EF8E7CC447889839D4D03776C03A"/>
          </w:placeholder>
        </w:sdtPr>
        <w:sdtEndPr/>
        <w:sdtContent>
          <w:r w:rsidRPr="005A3A8F">
            <w:rPr>
              <w:rFonts w:cs="Arial"/>
              <w:szCs w:val="20"/>
            </w:rPr>
            <w:t>XYZ’s</w:t>
          </w:r>
        </w:sdtContent>
      </w:sdt>
      <w:r w:rsidRPr="005A3A8F">
        <w:rPr>
          <w:rFonts w:cs="Arial"/>
          <w:szCs w:val="20"/>
        </w:rPr>
        <w:t xml:space="preserve"> internal control policies and procedures related to contingency and disaster recovery planning resulted in no </w:t>
      </w:r>
      <w:r>
        <w:rPr>
          <w:rFonts w:cs="Arial"/>
          <w:szCs w:val="20"/>
        </w:rPr>
        <w:t>notable issues</w:t>
      </w:r>
      <w:r w:rsidRPr="005A3A8F">
        <w:rPr>
          <w:rFonts w:cs="Arial"/>
          <w:szCs w:val="20"/>
        </w:rPr>
        <w:t xml:space="preserve"> with respect to the following areas: </w:t>
      </w:r>
    </w:p>
    <w:p w14:paraId="45CEEB5B"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126239924"/>
          <w:placeholder>
            <w:docPart w:val="2435EF8E7CC447889839D4D03776C03A"/>
          </w:placeholder>
        </w:sdtPr>
        <w:sdtEndPr/>
        <w:sdtContent>
          <w:r w:rsidRPr="005A3A8F">
            <w:t>XYZ’s</w:t>
          </w:r>
        </w:sdtContent>
      </w:sdt>
      <w:r w:rsidRPr="005A3A8F">
        <w:t xml:space="preserve"> written contingency and disaster recovery plan</w:t>
      </w:r>
    </w:p>
    <w:p w14:paraId="2E27E424" w14:textId="77777777" w:rsidR="0058665F" w:rsidRDefault="0058665F" w:rsidP="0058665F">
      <w:pPr>
        <w:pStyle w:val="Bullet1"/>
        <w:spacing w:line="240" w:lineRule="auto"/>
      </w:pPr>
      <w:r w:rsidRPr="005A3A8F">
        <w:t>Testing of the written contingency and disaster recovery plan</w:t>
      </w:r>
    </w:p>
    <w:p w14:paraId="4B680A00" w14:textId="77777777" w:rsidR="0058665F" w:rsidRPr="00536427" w:rsidRDefault="0058665F" w:rsidP="0058665F">
      <w:pPr>
        <w:pStyle w:val="Bullet1"/>
        <w:spacing w:line="240" w:lineRule="auto"/>
      </w:pPr>
      <w:r>
        <w:t xml:space="preserve">Training on </w:t>
      </w:r>
      <w:r w:rsidRPr="005A3A8F">
        <w:t>the written contingency and disaster recovery plan</w:t>
      </w:r>
    </w:p>
    <w:p w14:paraId="7154826E" w14:textId="77777777" w:rsidR="0058665F" w:rsidRDefault="0058665F" w:rsidP="0058665F">
      <w:pPr>
        <w:pStyle w:val="Bullet1"/>
        <w:spacing w:line="240" w:lineRule="auto"/>
      </w:pPr>
      <w:r>
        <w:t>Monitoring of key service providers’ disaster recovery capabilities</w:t>
      </w:r>
    </w:p>
    <w:p w14:paraId="521CAD65" w14:textId="77777777" w:rsidR="0058665F" w:rsidRPr="005A3A8F" w:rsidRDefault="0058665F" w:rsidP="0058665F">
      <w:pPr>
        <w:pStyle w:val="Bullet1"/>
        <w:spacing w:line="240" w:lineRule="auto"/>
      </w:pPr>
      <w:r>
        <w:t xml:space="preserve">Adequacy of </w:t>
      </w:r>
      <w:sdt>
        <w:sdtPr>
          <w:alias w:val="Client acronym possessive"/>
          <w:tag w:val="Client-acronym-possessive"/>
          <w:id w:val="1001474256"/>
          <w:placeholder>
            <w:docPart w:val="2435EF8E7CC447889839D4D03776C03A"/>
          </w:placeholder>
        </w:sdtPr>
        <w:sdtEndPr/>
        <w:sdtContent>
          <w:r>
            <w:t>XYZ’s</w:t>
          </w:r>
        </w:sdtContent>
      </w:sdt>
      <w:r>
        <w:t xml:space="preserve"> succession plan</w:t>
      </w:r>
    </w:p>
    <w:p w14:paraId="3134EA36" w14:textId="77777777" w:rsidR="0058665F" w:rsidRPr="005A3A8F" w:rsidRDefault="0058665F" w:rsidP="0058665F">
      <w:pPr>
        <w:rPr>
          <w:rFonts w:cs="Arial"/>
          <w:szCs w:val="20"/>
        </w:rPr>
      </w:pPr>
      <w:r w:rsidRPr="005A3A8F">
        <w:rPr>
          <w:rFonts w:cs="Arial"/>
          <w:szCs w:val="20"/>
        </w:rPr>
        <w:t>ACA’s review of this regulatory issue re</w:t>
      </w:r>
      <w:r>
        <w:rPr>
          <w:rFonts w:cs="Arial"/>
          <w:szCs w:val="20"/>
        </w:rPr>
        <w:t xml:space="preserve">sulted in the following </w:t>
      </w:r>
      <w:r>
        <w:rPr>
          <w:rFonts w:cs="Arial"/>
          <w:szCs w:val="20"/>
          <w:highlight w:val="yellow"/>
        </w:rPr>
        <w:t xml:space="preserve">&lt;comment OR </w:t>
      </w:r>
      <w:r w:rsidRPr="00C1030D">
        <w:rPr>
          <w:highlight w:val="yellow"/>
        </w:rPr>
        <w:t>comments</w:t>
      </w:r>
      <w:r>
        <w:rPr>
          <w:rFonts w:cs="Arial"/>
          <w:szCs w:val="20"/>
          <w:highlight w:val="yellow"/>
        </w:rPr>
        <w:t>&gt;</w:t>
      </w:r>
      <w:r>
        <w:rPr>
          <w:rFonts w:cs="Arial"/>
          <w:szCs w:val="20"/>
        </w:rPr>
        <w:t>.</w:t>
      </w:r>
    </w:p>
    <w:p w14:paraId="5609F062"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69819B8A"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657C67A"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00661F39"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68C88C92"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70C5A616"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5561F8FA"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2C38FF96" w14:textId="77777777" w:rsidR="0058665F" w:rsidRPr="005A3A8F" w:rsidRDefault="0058665F" w:rsidP="00534EA9">
            <w:pPr>
              <w:rPr>
                <w:rFonts w:cs="Arial"/>
                <w:szCs w:val="20"/>
              </w:rPr>
            </w:pPr>
            <w:r>
              <w:rPr>
                <w:rFonts w:cs="Arial"/>
                <w:szCs w:val="20"/>
              </w:rPr>
              <w:t>L.1</w:t>
            </w:r>
          </w:p>
        </w:tc>
        <w:tc>
          <w:tcPr>
            <w:tcW w:w="2578" w:type="dxa"/>
            <w:tcBorders>
              <w:top w:val="single" w:sz="6" w:space="0" w:color="auto"/>
              <w:left w:val="single" w:sz="4" w:space="0" w:color="auto"/>
              <w:bottom w:val="single" w:sz="6" w:space="0" w:color="auto"/>
              <w:right w:val="single" w:sz="6" w:space="0" w:color="auto"/>
            </w:tcBorders>
            <w:vAlign w:val="center"/>
          </w:tcPr>
          <w:p w14:paraId="21B1DA09"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3F065C1E"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7208C45C"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5FF1E54C"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2A997CE4" w14:textId="77777777" w:rsidR="0058665F" w:rsidRPr="005A3A8F" w:rsidRDefault="0058665F" w:rsidP="00534EA9">
            <w:pPr>
              <w:rPr>
                <w:rFonts w:cs="Arial"/>
                <w:szCs w:val="20"/>
              </w:rPr>
            </w:pPr>
            <w:r>
              <w:rPr>
                <w:rFonts w:cs="Arial"/>
                <w:szCs w:val="20"/>
              </w:rPr>
              <w:t>L</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5D590A26"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3BE72D0B"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2EB7E5A6"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01FF6F8F"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5DF68633" w14:textId="77777777" w:rsidR="0058665F" w:rsidRPr="005A3A8F" w:rsidRDefault="0058665F" w:rsidP="00534EA9">
            <w:pPr>
              <w:rPr>
                <w:rFonts w:cs="Arial"/>
                <w:szCs w:val="20"/>
              </w:rPr>
            </w:pPr>
            <w:r>
              <w:rPr>
                <w:rFonts w:cs="Arial"/>
                <w:szCs w:val="20"/>
              </w:rPr>
              <w:t>L</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55873A74"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3FDA4B82"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348F8C20"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3F6782D0" w14:textId="77777777" w:rsidR="0058665F" w:rsidRDefault="0058665F" w:rsidP="0058665F"/>
    <w:p w14:paraId="01123272" w14:textId="77777777" w:rsidR="0058665F" w:rsidRDefault="0058665F" w:rsidP="0058665F">
      <w:r>
        <w:br w:type="page"/>
      </w:r>
    </w:p>
    <w:p w14:paraId="3225F178" w14:textId="77777777" w:rsidR="0058665F" w:rsidRPr="00AC67FC" w:rsidRDefault="0058665F" w:rsidP="0058665F">
      <w:pPr>
        <w:pStyle w:val="Heading2"/>
        <w:ind w:left="0" w:firstLine="0"/>
      </w:pPr>
      <w:r w:rsidRPr="00AC67FC">
        <w:lastRenderedPageBreak/>
        <w:t>M. Compliance Program</w:t>
      </w:r>
    </w:p>
    <w:p w14:paraId="74AD48F5" w14:textId="77777777" w:rsidR="0058665F" w:rsidRPr="005A3A8F" w:rsidRDefault="0058665F" w:rsidP="0058665F">
      <w:pPr>
        <w:tabs>
          <w:tab w:val="left" w:pos="360"/>
        </w:tabs>
        <w:rPr>
          <w:rFonts w:cs="Arial"/>
          <w:szCs w:val="20"/>
        </w:rPr>
      </w:pPr>
      <w:r w:rsidRPr="005A3A8F">
        <w:rPr>
          <w:rFonts w:cs="Arial"/>
          <w:szCs w:val="20"/>
        </w:rPr>
        <w:t xml:space="preserve">Pursuant to Rule 206(4)-7, each registered investment adviser must adopt and implement written policies and procedures that are reasonably designed to prevent the adviser or any of its supervised persons from violating the Federal Securities Laws. The rule requires advisers to consider their fiduciary and regulatory obligations and to formalize policies and procedures to address them. </w:t>
      </w:r>
    </w:p>
    <w:p w14:paraId="36D4C578" w14:textId="77777777" w:rsidR="0058665F" w:rsidRPr="005A3A8F" w:rsidRDefault="0058665F" w:rsidP="0058665F">
      <w:pPr>
        <w:rPr>
          <w:rFonts w:cs="Arial"/>
          <w:szCs w:val="20"/>
        </w:rPr>
      </w:pPr>
    </w:p>
    <w:p w14:paraId="1BA86264" w14:textId="77777777" w:rsidR="0058665F" w:rsidRPr="005A3A8F" w:rsidRDefault="0058665F" w:rsidP="0058665F">
      <w:pPr>
        <w:rPr>
          <w:rFonts w:cs="Arial"/>
          <w:szCs w:val="20"/>
        </w:rPr>
      </w:pPr>
      <w:r w:rsidRPr="005A3A8F">
        <w:rPr>
          <w:rFonts w:cs="Arial"/>
          <w:szCs w:val="20"/>
          <w:u w:val="single"/>
        </w:rPr>
        <w:t>Written Policies and Procedures</w:t>
      </w:r>
      <w:r w:rsidRPr="005A3A8F">
        <w:rPr>
          <w:rFonts w:cs="Arial"/>
          <w:szCs w:val="20"/>
        </w:rPr>
        <w:t xml:space="preserve"> – Rule 206(4)-7 requires each registered investment adviser to adopt and implement written policies and procedures that are tailored to reflect the adviser’s operations. Each adviser, in designing its policies and procedures, should identify conflicts and other compliance factors creating risk exposure for it and its clients </w:t>
      </w:r>
      <w:proofErr w:type="gramStart"/>
      <w:r w:rsidRPr="005A3A8F">
        <w:rPr>
          <w:rFonts w:cs="Arial"/>
          <w:szCs w:val="20"/>
        </w:rPr>
        <w:t>in light of</w:t>
      </w:r>
      <w:proofErr w:type="gramEnd"/>
      <w:r w:rsidRPr="005A3A8F">
        <w:rPr>
          <w:rFonts w:cs="Arial"/>
          <w:szCs w:val="20"/>
        </w:rPr>
        <w:t xml:space="preserve"> the adviser’s particular</w:t>
      </w:r>
      <w:r>
        <w:rPr>
          <w:rFonts w:cs="Arial"/>
          <w:szCs w:val="20"/>
        </w:rPr>
        <w:t xml:space="preserve"> operations,</w:t>
      </w:r>
      <w:r w:rsidRPr="005A3A8F">
        <w:rPr>
          <w:rFonts w:cs="Arial"/>
          <w:szCs w:val="20"/>
        </w:rPr>
        <w:t xml:space="preserve"> and then design policies and procedures that address those risks. An adviser’s policies and procedures should be designed to prevent violations from occurring, detect violations that have occurred, and properly address any violations that have been detected.</w:t>
      </w:r>
    </w:p>
    <w:p w14:paraId="25D348FB" w14:textId="77777777" w:rsidR="0058665F" w:rsidRDefault="0058665F" w:rsidP="0058665F">
      <w:pPr>
        <w:rPr>
          <w:rFonts w:cs="Arial"/>
          <w:szCs w:val="20"/>
        </w:rPr>
      </w:pPr>
    </w:p>
    <w:p w14:paraId="35A396EE" w14:textId="77777777" w:rsidR="0058665F" w:rsidRDefault="0058665F" w:rsidP="0058665F">
      <w:pPr>
        <w:rPr>
          <w:rFonts w:cs="Arial"/>
          <w:szCs w:val="20"/>
        </w:rPr>
      </w:pPr>
      <w:r w:rsidRPr="00E91DF1">
        <w:rPr>
          <w:rFonts w:cs="Arial"/>
          <w:szCs w:val="20"/>
          <w:u w:val="single"/>
        </w:rPr>
        <w:t>Escalation and Resolution of Issues that Arise</w:t>
      </w:r>
      <w:r>
        <w:rPr>
          <w:rFonts w:cs="Arial"/>
          <w:szCs w:val="20"/>
        </w:rPr>
        <w:t xml:space="preserve"> – Whistleblowing provisions in the Dodd-Frank Act and the associated rules adopted by the SEC are intended to ensure that investment advisers are proactive in identifying and promptly addressing any potentially serious regulatory deficiencies. Investment advisers should ensure that all employees understand their responsibilities regarding the identification and reporting of potential risk areas. Advisers should also evaluate the channels that employees can use to report concerns and the ways in which concerns that are reported will be investigated. Employees who report potential concerns in good faith should be protected from retaliation. </w:t>
      </w:r>
    </w:p>
    <w:p w14:paraId="5FE208D1" w14:textId="77777777" w:rsidR="0058665F" w:rsidRPr="005A3A8F" w:rsidRDefault="0058665F" w:rsidP="0058665F">
      <w:pPr>
        <w:rPr>
          <w:rFonts w:cs="Arial"/>
          <w:szCs w:val="20"/>
        </w:rPr>
      </w:pPr>
    </w:p>
    <w:p w14:paraId="7D792A64" w14:textId="77777777" w:rsidR="0058665F" w:rsidRPr="005A3A8F" w:rsidRDefault="0058665F" w:rsidP="0058665F">
      <w:pPr>
        <w:rPr>
          <w:rFonts w:cs="Arial"/>
          <w:szCs w:val="20"/>
        </w:rPr>
      </w:pPr>
      <w:r w:rsidRPr="005A3A8F">
        <w:rPr>
          <w:rFonts w:cs="Arial"/>
          <w:szCs w:val="20"/>
          <w:u w:val="single"/>
        </w:rPr>
        <w:t>Annual Review</w:t>
      </w:r>
      <w:r w:rsidRPr="005A3A8F">
        <w:rPr>
          <w:rFonts w:cs="Arial"/>
          <w:szCs w:val="20"/>
        </w:rPr>
        <w:t xml:space="preserve"> – Rule 206(4)-7 requires each registered adviser to review its policies and procedures at least annually to evaluate their adequacy and the effectiveness of their implementation. The review should consider any compliance matters that arose during the previous year, any changes in the business activities of the adviser or its affiliates, and any changes in the Advisers Act or other applicable regulations that might require revisions to the policies or procedures. Advisers should also consider the need for interim reviews in response to significant compliance events, changes in business arrangements, or regulatory developments. </w:t>
      </w:r>
    </w:p>
    <w:p w14:paraId="2C5C30D2" w14:textId="77777777" w:rsidR="0058665F" w:rsidRPr="005A3A8F" w:rsidRDefault="0058665F" w:rsidP="0058665F">
      <w:pPr>
        <w:rPr>
          <w:rFonts w:cs="Arial"/>
          <w:szCs w:val="20"/>
        </w:rPr>
      </w:pPr>
    </w:p>
    <w:p w14:paraId="67C9B0BE" w14:textId="77777777" w:rsidR="0058665F" w:rsidRPr="005A3A8F" w:rsidRDefault="0058665F" w:rsidP="0058665F">
      <w:pPr>
        <w:rPr>
          <w:rFonts w:cs="Arial"/>
          <w:szCs w:val="20"/>
        </w:rPr>
      </w:pPr>
      <w:r w:rsidRPr="005A3A8F">
        <w:rPr>
          <w:rFonts w:cs="Arial"/>
          <w:szCs w:val="20"/>
          <w:u w:val="single"/>
        </w:rPr>
        <w:t>Chief Compliance Officer</w:t>
      </w:r>
      <w:r w:rsidRPr="005A3A8F">
        <w:rPr>
          <w:rFonts w:cs="Arial"/>
          <w:szCs w:val="20"/>
        </w:rPr>
        <w:t xml:space="preserve"> – Rule 206(4)-7 requires each registered investment adviser to designate a CCO to administer its compliance policies and procedures. An adviser’s CCO should be competent and knowledgeable regarding the Advisers Act and should be empowered with full responsibility and authority to develop and enforce appropriate policies and procedures. Thus, the CCO should have a position of sufficient seniority and authority within the organization to compel others to adhere to the compliance policies and procedures.</w:t>
      </w:r>
    </w:p>
    <w:p w14:paraId="3F8E5BAA" w14:textId="77777777" w:rsidR="0058665F" w:rsidRPr="005A3A8F" w:rsidRDefault="0058665F" w:rsidP="0058665F">
      <w:pPr>
        <w:rPr>
          <w:rFonts w:cs="Arial"/>
          <w:szCs w:val="20"/>
        </w:rPr>
      </w:pPr>
    </w:p>
    <w:p w14:paraId="535F5F26" w14:textId="77777777" w:rsidR="0058665F" w:rsidRDefault="0058665F" w:rsidP="0058665F">
      <w:r>
        <w:rPr>
          <w:u w:val="single"/>
        </w:rPr>
        <w:t>Forensic Testing</w:t>
      </w:r>
      <w:r>
        <w:t xml:space="preserve"> – Where appropriate, advisers' policies and procedures should employ forensic tests to identify potential compliance issues, which tests may include analyses of (</w:t>
      </w:r>
      <w:proofErr w:type="spellStart"/>
      <w:r>
        <w:t>i</w:t>
      </w:r>
      <w:proofErr w:type="spellEnd"/>
      <w:r>
        <w:t xml:space="preserve">) brokerage execution quality, (ii) portfolio turnover rates to identify possible overtrading of securities, and (iii) the comparative performance of similarly managed accounts to detect favoritism, misallocation of investment opportunities, or other breaches of fiduciary </w:t>
      </w:r>
      <w:r>
        <w:lastRenderedPageBreak/>
        <w:t>responsibilities, among other things.</w:t>
      </w:r>
      <w:r>
        <w:rPr>
          <w:rStyle w:val="FootnoteReference"/>
        </w:rPr>
        <w:footnoteReference w:id="27"/>
      </w:r>
      <w:r>
        <w:t xml:space="preserve"> Forensic tests and monitoring also often provide meaningful metrics that may complement compliance program reviews.</w:t>
      </w:r>
    </w:p>
    <w:p w14:paraId="0CD21F35" w14:textId="77777777" w:rsidR="0058665F" w:rsidRDefault="0058665F" w:rsidP="0058665F">
      <w:pPr>
        <w:rPr>
          <w:rFonts w:cs="Arial"/>
          <w:szCs w:val="20"/>
          <w:highlight w:val="yellow"/>
        </w:rPr>
      </w:pPr>
    </w:p>
    <w:p w14:paraId="7403E508" w14:textId="77777777" w:rsidR="0058665F" w:rsidRDefault="0058665F" w:rsidP="0058665F">
      <w:pPr>
        <w:rPr>
          <w:rFonts w:cs="Arial"/>
          <w:szCs w:val="20"/>
        </w:rPr>
      </w:pPr>
      <w:r w:rsidRPr="005A3A8F">
        <w:rPr>
          <w:rFonts w:cs="Arial"/>
          <w:szCs w:val="20"/>
          <w:highlight w:val="yellow"/>
        </w:rPr>
        <w:t>&lt;Note to consultants: Include the language below if there are any review areas where you have no findings and recommendations. Remove any areas that you did not review</w:t>
      </w:r>
      <w:r>
        <w:rPr>
          <w:rFonts w:cs="Arial"/>
          <w:szCs w:val="20"/>
          <w:highlight w:val="yellow"/>
        </w:rPr>
        <w:t xml:space="preserve"> or that resulted in findings</w:t>
      </w:r>
      <w:r w:rsidRPr="005A3A8F">
        <w:rPr>
          <w:rFonts w:cs="Arial"/>
          <w:szCs w:val="20"/>
          <w:highlight w:val="yellow"/>
        </w:rPr>
        <w:t xml:space="preserve">. The intention of </w:t>
      </w:r>
      <w:r>
        <w:rPr>
          <w:rFonts w:cs="Arial"/>
          <w:szCs w:val="20"/>
          <w:highlight w:val="yellow"/>
        </w:rPr>
        <w:t xml:space="preserve">the bulleted list </w:t>
      </w:r>
      <w:r w:rsidRPr="005A3A8F">
        <w:rPr>
          <w:rFonts w:cs="Arial"/>
          <w:szCs w:val="20"/>
          <w:highlight w:val="yellow"/>
        </w:rPr>
        <w:t>is to inform clients of the areas that we reviewed but have no comment on.&gt;</w:t>
      </w:r>
    </w:p>
    <w:p w14:paraId="54764743" w14:textId="77777777" w:rsidR="0058665F" w:rsidRPr="005A3A8F" w:rsidRDefault="0058665F" w:rsidP="0058665F">
      <w:pPr>
        <w:rPr>
          <w:rFonts w:cs="Arial"/>
          <w:szCs w:val="20"/>
        </w:rPr>
      </w:pPr>
    </w:p>
    <w:p w14:paraId="5898A9C8"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348478883"/>
          <w:placeholder>
            <w:docPart w:val="2435EF8E7CC447889839D4D03776C03A"/>
          </w:placeholder>
        </w:sdtPr>
        <w:sdtEndPr/>
        <w:sdtContent>
          <w:r w:rsidRPr="005A3A8F">
            <w:rPr>
              <w:rFonts w:cs="Arial"/>
              <w:szCs w:val="20"/>
            </w:rPr>
            <w:t>XYZ’s</w:t>
          </w:r>
        </w:sdtContent>
      </w:sdt>
      <w:r w:rsidRPr="005A3A8F">
        <w:rPr>
          <w:rFonts w:cs="Arial"/>
          <w:szCs w:val="20"/>
        </w:rPr>
        <w:t xml:space="preserve"> compliance program resulted in no </w:t>
      </w:r>
      <w:r>
        <w:rPr>
          <w:rFonts w:cs="Arial"/>
          <w:szCs w:val="20"/>
        </w:rPr>
        <w:t>notable issues</w:t>
      </w:r>
      <w:r w:rsidRPr="005A3A8F">
        <w:rPr>
          <w:rFonts w:cs="Arial"/>
          <w:szCs w:val="20"/>
        </w:rPr>
        <w:t xml:space="preserve"> wit</w:t>
      </w:r>
      <w:r>
        <w:rPr>
          <w:rFonts w:cs="Arial"/>
          <w:szCs w:val="20"/>
        </w:rPr>
        <w:t>h respect to the following areas</w:t>
      </w:r>
      <w:r w:rsidRPr="005A3A8F">
        <w:rPr>
          <w:rFonts w:cs="Arial"/>
          <w:szCs w:val="20"/>
        </w:rPr>
        <w:t xml:space="preserve">: </w:t>
      </w:r>
    </w:p>
    <w:p w14:paraId="73B652B1" w14:textId="77777777" w:rsidR="0058665F" w:rsidRPr="005A3A8F" w:rsidRDefault="0058665F" w:rsidP="0058665F">
      <w:pPr>
        <w:pStyle w:val="Bullet1"/>
        <w:spacing w:line="240" w:lineRule="auto"/>
      </w:pPr>
      <w:r w:rsidRPr="005A3A8F">
        <w:t xml:space="preserve">Adequacy of </w:t>
      </w:r>
      <w:sdt>
        <w:sdtPr>
          <w:alias w:val="Client acronym possessive"/>
          <w:tag w:val="Client-acronym-possessive"/>
          <w:id w:val="-1050451151"/>
          <w:placeholder>
            <w:docPart w:val="2435EF8E7CC447889839D4D03776C03A"/>
          </w:placeholder>
        </w:sdtPr>
        <w:sdtEndPr/>
        <w:sdtContent>
          <w:r w:rsidRPr="005A3A8F">
            <w:t>XYZ’s</w:t>
          </w:r>
        </w:sdtContent>
      </w:sdt>
      <w:r w:rsidRPr="005A3A8F">
        <w:t xml:space="preserve"> compliance policies and procedures</w:t>
      </w:r>
    </w:p>
    <w:p w14:paraId="348F45DD" w14:textId="77777777" w:rsidR="0058665F" w:rsidRPr="005A3A8F" w:rsidRDefault="0058665F" w:rsidP="0058665F">
      <w:pPr>
        <w:pStyle w:val="Bullet1"/>
        <w:spacing w:line="240" w:lineRule="auto"/>
      </w:pPr>
      <w:r>
        <w:t>Completion of a formal risk-</w:t>
      </w:r>
      <w:r w:rsidRPr="005A3A8F">
        <w:t>mapping process</w:t>
      </w:r>
    </w:p>
    <w:p w14:paraId="777808F9" w14:textId="77777777" w:rsidR="0058665F" w:rsidRDefault="0058665F" w:rsidP="0058665F">
      <w:pPr>
        <w:pStyle w:val="Bullet1"/>
        <w:spacing w:line="240" w:lineRule="auto"/>
      </w:pPr>
      <w:r w:rsidRPr="005A3A8F">
        <w:t xml:space="preserve">Process of formally reviewing </w:t>
      </w:r>
      <w:sdt>
        <w:sdtPr>
          <w:alias w:val="Client acronym possessive"/>
          <w:tag w:val="Client-acronym-possessive"/>
          <w:id w:val="1085727508"/>
          <w:placeholder>
            <w:docPart w:val="2435EF8E7CC447889839D4D03776C03A"/>
          </w:placeholder>
        </w:sdtPr>
        <w:sdtEndPr/>
        <w:sdtContent>
          <w:r w:rsidRPr="005A3A8F">
            <w:t>XYZ’s</w:t>
          </w:r>
        </w:sdtContent>
      </w:sdt>
      <w:r w:rsidRPr="005A3A8F">
        <w:t xml:space="preserve"> compliance program</w:t>
      </w:r>
    </w:p>
    <w:p w14:paraId="52FD228E" w14:textId="77777777" w:rsidR="0058665F" w:rsidRPr="005A3A8F" w:rsidRDefault="0058665F" w:rsidP="0058665F">
      <w:pPr>
        <w:pStyle w:val="Bullet1"/>
        <w:spacing w:line="240" w:lineRule="auto"/>
      </w:pPr>
      <w:r>
        <w:t>Adequacy of forensic compliance testing, monitoring, and surveillance</w:t>
      </w:r>
    </w:p>
    <w:p w14:paraId="54238337" w14:textId="77777777" w:rsidR="0058665F" w:rsidRPr="005A3A8F" w:rsidRDefault="0058665F" w:rsidP="0058665F">
      <w:pPr>
        <w:pStyle w:val="Bullet1"/>
        <w:spacing w:line="240" w:lineRule="auto"/>
      </w:pPr>
      <w:r w:rsidRPr="005A3A8F">
        <w:t xml:space="preserve">Evaluation of </w:t>
      </w:r>
      <w:sdt>
        <w:sdtPr>
          <w:alias w:val="Client acronym possessive"/>
          <w:tag w:val="Client-acronym-possessive"/>
          <w:id w:val="-1204012068"/>
          <w:placeholder>
            <w:docPart w:val="2435EF8E7CC447889839D4D03776C03A"/>
          </w:placeholder>
        </w:sdtPr>
        <w:sdtEndPr/>
        <w:sdtContent>
          <w:r w:rsidRPr="005A3A8F">
            <w:t>XYZ’s</w:t>
          </w:r>
        </w:sdtContent>
      </w:sdt>
      <w:r w:rsidRPr="005A3A8F">
        <w:t xml:space="preserve"> compliance resources</w:t>
      </w:r>
    </w:p>
    <w:p w14:paraId="716DC8D1" w14:textId="77777777" w:rsidR="0058665F" w:rsidRPr="005A3A8F" w:rsidRDefault="0058665F" w:rsidP="0058665F">
      <w:pPr>
        <w:pStyle w:val="Bullet1"/>
        <w:spacing w:line="240" w:lineRule="auto"/>
      </w:pPr>
      <w:r w:rsidRPr="005A3A8F">
        <w:t xml:space="preserve">Reasonableness of </w:t>
      </w:r>
      <w:sdt>
        <w:sdtPr>
          <w:alias w:val="Client acronym possessive"/>
          <w:tag w:val="Client-acronym-possessive"/>
          <w:id w:val="-957956461"/>
          <w:placeholder>
            <w:docPart w:val="2435EF8E7CC447889839D4D03776C03A"/>
          </w:placeholder>
        </w:sdtPr>
        <w:sdtEndPr/>
        <w:sdtContent>
          <w:r w:rsidRPr="005A3A8F">
            <w:t>XYZ’s</w:t>
          </w:r>
        </w:sdtContent>
      </w:sdt>
      <w:r w:rsidRPr="005A3A8F">
        <w:t xml:space="preserve"> processes to supervise employees</w:t>
      </w:r>
      <w:r>
        <w:t>, including those working from branch offices</w:t>
      </w:r>
    </w:p>
    <w:p w14:paraId="1BBDF316" w14:textId="77777777" w:rsidR="0058665F" w:rsidRPr="005A3A8F" w:rsidRDefault="0058665F" w:rsidP="0058665F">
      <w:pPr>
        <w:pStyle w:val="Bullet1"/>
        <w:spacing w:line="240" w:lineRule="auto"/>
      </w:pPr>
      <w:r w:rsidRPr="005A3A8F">
        <w:t>Occurrence of periodic and regular compliance training</w:t>
      </w:r>
    </w:p>
    <w:p w14:paraId="612361E4" w14:textId="77777777" w:rsidR="0058665F" w:rsidRPr="005A3A8F" w:rsidRDefault="0058665F" w:rsidP="0058665F">
      <w:pPr>
        <w:pStyle w:val="Bullet1"/>
        <w:spacing w:line="240" w:lineRule="auto"/>
      </w:pPr>
      <w:r w:rsidRPr="005A3A8F">
        <w:t>Evaluation of key third-party service providers</w:t>
      </w:r>
    </w:p>
    <w:p w14:paraId="256F4BEF" w14:textId="77777777" w:rsidR="0058665F" w:rsidRPr="005A3A8F" w:rsidRDefault="0058665F" w:rsidP="0058665F">
      <w:pPr>
        <w:pStyle w:val="Bullet1"/>
        <w:spacing w:line="240" w:lineRule="auto"/>
      </w:pPr>
      <w:r w:rsidRPr="005A3A8F">
        <w:t>Monitoring for ERISA “plan assets”</w:t>
      </w:r>
    </w:p>
    <w:p w14:paraId="39C0DD13" w14:textId="77777777" w:rsidR="0058665F" w:rsidRPr="005A3A8F" w:rsidRDefault="0058665F" w:rsidP="0058665F">
      <w:pPr>
        <w:pStyle w:val="Bullet1"/>
        <w:spacing w:line="240" w:lineRule="auto"/>
      </w:pPr>
      <w:r w:rsidRPr="005A3A8F">
        <w:t>Monitoring the investor limitations of Section 3(c)1 and Section 3(c)7 of the IC Act</w:t>
      </w:r>
    </w:p>
    <w:p w14:paraId="36EE0628" w14:textId="77777777" w:rsidR="0058665F" w:rsidRDefault="0058665F" w:rsidP="0058665F">
      <w:pPr>
        <w:pStyle w:val="Bullet1"/>
        <w:spacing w:line="240" w:lineRule="auto"/>
      </w:pPr>
      <w:r w:rsidRPr="005A3A8F">
        <w:t>Efforts to combat money laundering schemes</w:t>
      </w:r>
    </w:p>
    <w:p w14:paraId="646F07B8" w14:textId="77777777" w:rsidR="0058665F" w:rsidRPr="005A3A8F" w:rsidRDefault="0058665F" w:rsidP="0058665F">
      <w:pPr>
        <w:pStyle w:val="Bullet1"/>
        <w:spacing w:line="240" w:lineRule="auto"/>
      </w:pPr>
      <w:r>
        <w:t>Efforts to prevent elder abuse</w:t>
      </w:r>
    </w:p>
    <w:p w14:paraId="1287F9DC" w14:textId="77777777" w:rsidR="0058665F" w:rsidRPr="005A3A8F" w:rsidRDefault="0058665F" w:rsidP="0058665F">
      <w:pPr>
        <w:pStyle w:val="Bullet1"/>
        <w:spacing w:line="240" w:lineRule="auto"/>
      </w:pPr>
      <w:r w:rsidRPr="005A3A8F">
        <w:t xml:space="preserve">Issues raised from prior SEC examinations of </w:t>
      </w:r>
      <w:sdt>
        <w:sdtPr>
          <w:alias w:val="Client acronym"/>
          <w:tag w:val="Client-acronym"/>
          <w:id w:val="22216624"/>
          <w:placeholder>
            <w:docPart w:val="2435EF8E7CC447889839D4D03776C03A"/>
          </w:placeholder>
        </w:sdtPr>
        <w:sdtEndPr/>
        <w:sdtContent>
          <w:r w:rsidRPr="005A3A8F">
            <w:t>XYZ</w:t>
          </w:r>
        </w:sdtContent>
      </w:sdt>
    </w:p>
    <w:p w14:paraId="05892280" w14:textId="77777777" w:rsidR="0058665F" w:rsidRPr="005A3A8F" w:rsidRDefault="0058665F" w:rsidP="0058665F">
      <w:pPr>
        <w:pStyle w:val="Bullet1"/>
        <w:spacing w:line="240" w:lineRule="auto"/>
      </w:pPr>
      <w:r w:rsidRPr="005A3A8F">
        <w:t xml:space="preserve">Issues raised from prior ACA reviews of </w:t>
      </w:r>
      <w:sdt>
        <w:sdtPr>
          <w:alias w:val="Client acronym"/>
          <w:tag w:val="Client-acronym"/>
          <w:id w:val="-1736780374"/>
          <w:placeholder>
            <w:docPart w:val="2435EF8E7CC447889839D4D03776C03A"/>
          </w:placeholder>
        </w:sdtPr>
        <w:sdtEndPr/>
        <w:sdtContent>
          <w:r w:rsidRPr="005A3A8F">
            <w:t>XYZ</w:t>
          </w:r>
        </w:sdtContent>
      </w:sdt>
    </w:p>
    <w:p w14:paraId="78FD371A" w14:textId="77777777" w:rsidR="0058665F" w:rsidRPr="005A3A8F" w:rsidRDefault="0058665F" w:rsidP="0058665F">
      <w:pPr>
        <w:pStyle w:val="Bullet1"/>
        <w:spacing w:line="240" w:lineRule="auto"/>
      </w:pPr>
      <w:r w:rsidRPr="005A3A8F">
        <w:t>Efforts to identify and address conflicts of interest</w:t>
      </w:r>
    </w:p>
    <w:p w14:paraId="2537DFE6" w14:textId="77777777" w:rsidR="0058665F" w:rsidRPr="005A3A8F" w:rsidRDefault="0058665F" w:rsidP="0058665F">
      <w:pPr>
        <w:rPr>
          <w:rFonts w:cs="Arial"/>
          <w:szCs w:val="20"/>
        </w:rPr>
      </w:pPr>
      <w:r w:rsidRPr="005A3A8F">
        <w:rPr>
          <w:rFonts w:cs="Arial"/>
          <w:szCs w:val="20"/>
        </w:rPr>
        <w:t xml:space="preserve">ACA’s review of </w:t>
      </w:r>
      <w:sdt>
        <w:sdtPr>
          <w:rPr>
            <w:rFonts w:cs="Arial"/>
            <w:szCs w:val="20"/>
          </w:rPr>
          <w:alias w:val="Client acronym possessive"/>
          <w:tag w:val="Client-acronym-possessive"/>
          <w:id w:val="-1163860226"/>
          <w:placeholder>
            <w:docPart w:val="2435EF8E7CC447889839D4D03776C03A"/>
          </w:placeholder>
        </w:sdtPr>
        <w:sdtEndPr/>
        <w:sdtContent>
          <w:r w:rsidRPr="005A3A8F">
            <w:rPr>
              <w:rFonts w:cs="Arial"/>
              <w:szCs w:val="20"/>
            </w:rPr>
            <w:t>XYZ’s</w:t>
          </w:r>
        </w:sdtContent>
      </w:sdt>
      <w:r w:rsidRPr="005A3A8F">
        <w:rPr>
          <w:rFonts w:cs="Arial"/>
          <w:szCs w:val="20"/>
        </w:rPr>
        <w:t xml:space="preserve"> compliance program resulted in the follo</w:t>
      </w:r>
      <w:r>
        <w:rPr>
          <w:rFonts w:cs="Arial"/>
          <w:szCs w:val="20"/>
        </w:rPr>
        <w:t xml:space="preserve">wing </w:t>
      </w:r>
      <w:r>
        <w:rPr>
          <w:rFonts w:cs="Arial"/>
          <w:szCs w:val="20"/>
          <w:highlight w:val="yellow"/>
        </w:rPr>
        <w:t xml:space="preserve">&lt;comment OR </w:t>
      </w:r>
      <w:r w:rsidRPr="00C1030D">
        <w:rPr>
          <w:highlight w:val="yellow"/>
        </w:rPr>
        <w:t>comments</w:t>
      </w:r>
      <w:r>
        <w:rPr>
          <w:rFonts w:cs="Arial"/>
          <w:szCs w:val="20"/>
          <w:highlight w:val="yellow"/>
        </w:rPr>
        <w:t>&gt;</w:t>
      </w:r>
      <w:r>
        <w:rPr>
          <w:rFonts w:cs="Arial"/>
          <w:szCs w:val="20"/>
        </w:rPr>
        <w:t>.</w:t>
      </w:r>
    </w:p>
    <w:p w14:paraId="6B955358" w14:textId="77777777" w:rsidR="0058665F" w:rsidRPr="005A3A8F" w:rsidRDefault="0058665F" w:rsidP="0058665F">
      <w:pPr>
        <w:rPr>
          <w:rFonts w:cs="Arial"/>
          <w:szCs w:val="20"/>
        </w:rPr>
      </w:pPr>
    </w:p>
    <w:tbl>
      <w:tblPr>
        <w:tblW w:w="1310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15" w:type="dxa"/>
          <w:left w:w="115" w:type="dxa"/>
          <w:bottom w:w="115" w:type="dxa"/>
          <w:right w:w="115" w:type="dxa"/>
        </w:tblCellMar>
        <w:tblLook w:val="04A0" w:firstRow="1" w:lastRow="0" w:firstColumn="1" w:lastColumn="0" w:noHBand="0" w:noVBand="1"/>
      </w:tblPr>
      <w:tblGrid>
        <w:gridCol w:w="1147"/>
        <w:gridCol w:w="2578"/>
        <w:gridCol w:w="8161"/>
        <w:gridCol w:w="1218"/>
      </w:tblGrid>
      <w:tr w:rsidR="0058665F" w:rsidRPr="008530EA" w14:paraId="2CA95990" w14:textId="77777777" w:rsidTr="00534EA9">
        <w:trPr>
          <w:tblHeader/>
          <w:jc w:val="center"/>
        </w:trPr>
        <w:tc>
          <w:tcPr>
            <w:tcW w:w="1147"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5AAB3A2C"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lastRenderedPageBreak/>
              <w:t>Issue Number</w:t>
            </w:r>
          </w:p>
        </w:tc>
        <w:tc>
          <w:tcPr>
            <w:tcW w:w="2578" w:type="dxa"/>
            <w:tcBorders>
              <w:top w:val="single" w:sz="4" w:space="0" w:color="auto"/>
              <w:left w:val="single" w:sz="4" w:space="0" w:color="auto"/>
              <w:bottom w:val="single" w:sz="6" w:space="0" w:color="auto"/>
              <w:right w:val="single" w:sz="6" w:space="0" w:color="auto"/>
            </w:tcBorders>
            <w:shd w:val="clear" w:color="auto" w:fill="00325D" w:themeFill="text2"/>
            <w:vAlign w:val="center"/>
          </w:tcPr>
          <w:p w14:paraId="75E396B4"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Issue</w:t>
            </w:r>
          </w:p>
        </w:tc>
        <w:tc>
          <w:tcPr>
            <w:tcW w:w="8161" w:type="dxa"/>
            <w:tcBorders>
              <w:top w:val="single" w:sz="4" w:space="0" w:color="auto"/>
              <w:left w:val="single" w:sz="6" w:space="0" w:color="auto"/>
              <w:bottom w:val="single" w:sz="6" w:space="0" w:color="auto"/>
              <w:right w:val="single" w:sz="6" w:space="0" w:color="auto"/>
            </w:tcBorders>
            <w:shd w:val="clear" w:color="auto" w:fill="00325D" w:themeFill="text2"/>
            <w:vAlign w:val="center"/>
          </w:tcPr>
          <w:p w14:paraId="371966BC"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Finding</w:t>
            </w:r>
            <w:r>
              <w:rPr>
                <w:rStyle w:val="BookTitle"/>
                <w:rFonts w:cs="Arial"/>
                <w:color w:val="FFFFFF" w:themeColor="background1"/>
              </w:rPr>
              <w:t>s</w:t>
            </w:r>
            <w:r w:rsidRPr="008530EA">
              <w:rPr>
                <w:rStyle w:val="BookTitle"/>
                <w:rFonts w:cs="Arial"/>
                <w:color w:val="FFFFFF" w:themeColor="background1"/>
              </w:rPr>
              <w:t xml:space="preserve"> and Recommendation</w:t>
            </w:r>
            <w:r>
              <w:rPr>
                <w:rStyle w:val="BookTitle"/>
                <w:rFonts w:cs="Arial"/>
                <w:color w:val="FFFFFF" w:themeColor="background1"/>
              </w:rPr>
              <w:t>s</w:t>
            </w:r>
          </w:p>
        </w:tc>
        <w:tc>
          <w:tcPr>
            <w:tcW w:w="1218" w:type="dxa"/>
            <w:tcBorders>
              <w:top w:val="single" w:sz="4" w:space="0" w:color="auto"/>
              <w:left w:val="single" w:sz="6" w:space="0" w:color="auto"/>
              <w:bottom w:val="single" w:sz="6" w:space="0" w:color="auto"/>
              <w:right w:val="single" w:sz="4" w:space="0" w:color="auto"/>
            </w:tcBorders>
            <w:shd w:val="clear" w:color="auto" w:fill="00325D" w:themeFill="text2"/>
            <w:vAlign w:val="center"/>
          </w:tcPr>
          <w:p w14:paraId="64871123" w14:textId="77777777" w:rsidR="0058665F" w:rsidRPr="008530EA" w:rsidRDefault="0058665F" w:rsidP="00534EA9">
            <w:pPr>
              <w:keepNext/>
              <w:jc w:val="center"/>
              <w:rPr>
                <w:rStyle w:val="BookTitle"/>
                <w:rFonts w:cs="Arial"/>
                <w:color w:val="FFFFFF" w:themeColor="background1"/>
              </w:rPr>
            </w:pPr>
            <w:r w:rsidRPr="008530EA">
              <w:rPr>
                <w:rStyle w:val="BookTitle"/>
                <w:rFonts w:cs="Arial"/>
                <w:color w:val="FFFFFF" w:themeColor="background1"/>
              </w:rPr>
              <w:t>Risk Level</w:t>
            </w:r>
          </w:p>
        </w:tc>
      </w:tr>
      <w:tr w:rsidR="0058665F" w:rsidRPr="005A3A8F" w14:paraId="5C51697C"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77DDA7BA" w14:textId="77777777" w:rsidR="0058665F" w:rsidRPr="005A3A8F" w:rsidRDefault="0058665F" w:rsidP="00534EA9">
            <w:pPr>
              <w:rPr>
                <w:rFonts w:cs="Arial"/>
                <w:szCs w:val="20"/>
              </w:rPr>
            </w:pPr>
            <w:r>
              <w:rPr>
                <w:rFonts w:cs="Arial"/>
                <w:szCs w:val="20"/>
              </w:rPr>
              <w:t>M.1</w:t>
            </w:r>
          </w:p>
        </w:tc>
        <w:tc>
          <w:tcPr>
            <w:tcW w:w="2578" w:type="dxa"/>
            <w:tcBorders>
              <w:top w:val="single" w:sz="6" w:space="0" w:color="auto"/>
              <w:left w:val="single" w:sz="4" w:space="0" w:color="auto"/>
              <w:bottom w:val="single" w:sz="6" w:space="0" w:color="auto"/>
              <w:right w:val="single" w:sz="6" w:space="0" w:color="auto"/>
            </w:tcBorders>
            <w:vAlign w:val="center"/>
          </w:tcPr>
          <w:p w14:paraId="0D78702D"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60742D83"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0000"/>
            <w:vAlign w:val="center"/>
          </w:tcPr>
          <w:p w14:paraId="6402D926" w14:textId="77777777" w:rsidR="0058665F" w:rsidRPr="008530EA" w:rsidRDefault="0058665F" w:rsidP="00534EA9">
            <w:pPr>
              <w:jc w:val="center"/>
              <w:rPr>
                <w:rStyle w:val="BookTitle"/>
                <w:rFonts w:cs="Arial"/>
                <w:color w:val="FFFFFF" w:themeColor="background1"/>
                <w:szCs w:val="20"/>
              </w:rPr>
            </w:pPr>
            <w:r>
              <w:rPr>
                <w:rStyle w:val="BookTitle"/>
                <w:rFonts w:cs="Arial"/>
                <w:color w:val="FFFFFF" w:themeColor="background1"/>
                <w:szCs w:val="20"/>
              </w:rPr>
              <w:t>High</w:t>
            </w:r>
          </w:p>
        </w:tc>
      </w:tr>
      <w:tr w:rsidR="0058665F" w:rsidRPr="005A3A8F" w14:paraId="0BF470B9" w14:textId="77777777" w:rsidTr="00534EA9">
        <w:trPr>
          <w:jc w:val="center"/>
        </w:trPr>
        <w:tc>
          <w:tcPr>
            <w:tcW w:w="1147" w:type="dxa"/>
            <w:tcBorders>
              <w:top w:val="single" w:sz="6" w:space="0" w:color="auto"/>
              <w:left w:val="single" w:sz="4" w:space="0" w:color="auto"/>
              <w:bottom w:val="single" w:sz="6" w:space="0" w:color="auto"/>
              <w:right w:val="single" w:sz="6" w:space="0" w:color="auto"/>
            </w:tcBorders>
            <w:vAlign w:val="center"/>
          </w:tcPr>
          <w:p w14:paraId="3A489C5A" w14:textId="77777777" w:rsidR="0058665F" w:rsidRPr="005A3A8F" w:rsidRDefault="0058665F" w:rsidP="00534EA9">
            <w:pPr>
              <w:rPr>
                <w:rFonts w:cs="Arial"/>
                <w:szCs w:val="20"/>
              </w:rPr>
            </w:pPr>
            <w:r>
              <w:rPr>
                <w:rFonts w:cs="Arial"/>
                <w:szCs w:val="20"/>
              </w:rPr>
              <w:t>M</w:t>
            </w:r>
            <w:r w:rsidRPr="005A3A8F">
              <w:rPr>
                <w:rFonts w:cs="Arial"/>
                <w:szCs w:val="20"/>
              </w:rPr>
              <w:t>.2</w:t>
            </w:r>
          </w:p>
        </w:tc>
        <w:tc>
          <w:tcPr>
            <w:tcW w:w="2578" w:type="dxa"/>
            <w:tcBorders>
              <w:top w:val="single" w:sz="6" w:space="0" w:color="auto"/>
              <w:left w:val="single" w:sz="4" w:space="0" w:color="auto"/>
              <w:bottom w:val="single" w:sz="6" w:space="0" w:color="auto"/>
              <w:right w:val="single" w:sz="6" w:space="0" w:color="auto"/>
            </w:tcBorders>
            <w:vAlign w:val="center"/>
          </w:tcPr>
          <w:p w14:paraId="0EA30E87"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6" w:space="0" w:color="auto"/>
              <w:right w:val="single" w:sz="6" w:space="0" w:color="auto"/>
            </w:tcBorders>
          </w:tcPr>
          <w:p w14:paraId="2070FEC0"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6" w:space="0" w:color="auto"/>
              <w:right w:val="single" w:sz="4" w:space="0" w:color="auto"/>
            </w:tcBorders>
            <w:shd w:val="clear" w:color="auto" w:fill="FFC000"/>
            <w:vAlign w:val="center"/>
          </w:tcPr>
          <w:p w14:paraId="29E9DDF3" w14:textId="77777777" w:rsidR="0058665F" w:rsidRPr="00FA60F9" w:rsidRDefault="0058665F" w:rsidP="00534EA9">
            <w:pPr>
              <w:jc w:val="center"/>
              <w:rPr>
                <w:rFonts w:cs="Arial"/>
                <w:b/>
                <w:bCs/>
                <w:smallCaps/>
                <w:color w:val="FFFFFF" w:themeColor="background1"/>
                <w:szCs w:val="20"/>
              </w:rPr>
            </w:pPr>
            <w:r w:rsidRPr="00FA60F9">
              <w:rPr>
                <w:rFonts w:cs="Arial"/>
                <w:b/>
                <w:bCs/>
                <w:smallCaps/>
                <w:color w:val="FFFFFF" w:themeColor="background1"/>
                <w:szCs w:val="20"/>
              </w:rPr>
              <w:t>Moderate</w:t>
            </w:r>
          </w:p>
        </w:tc>
      </w:tr>
      <w:tr w:rsidR="0058665F" w:rsidRPr="005A3A8F" w14:paraId="5F63943C" w14:textId="77777777" w:rsidTr="00534EA9">
        <w:trPr>
          <w:jc w:val="center"/>
        </w:trPr>
        <w:tc>
          <w:tcPr>
            <w:tcW w:w="1147" w:type="dxa"/>
            <w:tcBorders>
              <w:top w:val="single" w:sz="6" w:space="0" w:color="auto"/>
              <w:left w:val="single" w:sz="4" w:space="0" w:color="auto"/>
              <w:bottom w:val="single" w:sz="4" w:space="0" w:color="auto"/>
              <w:right w:val="single" w:sz="6" w:space="0" w:color="auto"/>
            </w:tcBorders>
            <w:vAlign w:val="center"/>
          </w:tcPr>
          <w:p w14:paraId="3B951A96" w14:textId="77777777" w:rsidR="0058665F" w:rsidRPr="005A3A8F" w:rsidRDefault="0058665F" w:rsidP="00534EA9">
            <w:pPr>
              <w:rPr>
                <w:rFonts w:cs="Arial"/>
                <w:szCs w:val="20"/>
              </w:rPr>
            </w:pPr>
            <w:r>
              <w:rPr>
                <w:rFonts w:cs="Arial"/>
                <w:szCs w:val="20"/>
              </w:rPr>
              <w:t>M</w:t>
            </w:r>
            <w:r w:rsidRPr="005A3A8F">
              <w:rPr>
                <w:rFonts w:cs="Arial"/>
                <w:szCs w:val="20"/>
              </w:rPr>
              <w:t>.3</w:t>
            </w:r>
          </w:p>
        </w:tc>
        <w:tc>
          <w:tcPr>
            <w:tcW w:w="2578" w:type="dxa"/>
            <w:tcBorders>
              <w:top w:val="single" w:sz="6" w:space="0" w:color="auto"/>
              <w:left w:val="single" w:sz="4" w:space="0" w:color="auto"/>
              <w:bottom w:val="single" w:sz="4" w:space="0" w:color="auto"/>
              <w:right w:val="single" w:sz="6" w:space="0" w:color="auto"/>
            </w:tcBorders>
            <w:vAlign w:val="center"/>
          </w:tcPr>
          <w:p w14:paraId="6229BADE" w14:textId="77777777" w:rsidR="0058665F" w:rsidRPr="005A3A8F" w:rsidRDefault="0058665F" w:rsidP="00534EA9">
            <w:pPr>
              <w:jc w:val="left"/>
              <w:rPr>
                <w:rFonts w:cs="Arial"/>
                <w:szCs w:val="20"/>
              </w:rPr>
            </w:pPr>
          </w:p>
        </w:tc>
        <w:tc>
          <w:tcPr>
            <w:tcW w:w="8161" w:type="dxa"/>
            <w:tcBorders>
              <w:top w:val="single" w:sz="6" w:space="0" w:color="auto"/>
              <w:left w:val="single" w:sz="6" w:space="0" w:color="auto"/>
              <w:bottom w:val="single" w:sz="4" w:space="0" w:color="auto"/>
              <w:right w:val="single" w:sz="6" w:space="0" w:color="auto"/>
            </w:tcBorders>
          </w:tcPr>
          <w:p w14:paraId="75F2B056" w14:textId="77777777" w:rsidR="0058665F" w:rsidRPr="005A3A8F" w:rsidRDefault="0058665F" w:rsidP="00534EA9">
            <w:pPr>
              <w:rPr>
                <w:rFonts w:cs="Arial"/>
                <w:szCs w:val="20"/>
              </w:rPr>
            </w:pPr>
          </w:p>
        </w:tc>
        <w:tc>
          <w:tcPr>
            <w:tcW w:w="1218" w:type="dxa"/>
            <w:tcBorders>
              <w:top w:val="single" w:sz="6" w:space="0" w:color="auto"/>
              <w:left w:val="single" w:sz="6" w:space="0" w:color="auto"/>
              <w:bottom w:val="single" w:sz="4" w:space="0" w:color="auto"/>
              <w:right w:val="single" w:sz="4" w:space="0" w:color="auto"/>
            </w:tcBorders>
            <w:shd w:val="clear" w:color="auto" w:fill="00B050"/>
            <w:vAlign w:val="center"/>
          </w:tcPr>
          <w:p w14:paraId="7A63BD56" w14:textId="77777777" w:rsidR="0058665F" w:rsidRPr="00FA60F9" w:rsidRDefault="0058665F" w:rsidP="00534EA9">
            <w:pPr>
              <w:jc w:val="center"/>
              <w:rPr>
                <w:rFonts w:cs="Arial"/>
                <w:b/>
                <w:bCs/>
                <w:smallCaps/>
                <w:color w:val="FFFFFF" w:themeColor="background1"/>
                <w:szCs w:val="20"/>
              </w:rPr>
            </w:pPr>
            <w:r>
              <w:rPr>
                <w:rFonts w:cs="Arial"/>
                <w:b/>
                <w:bCs/>
                <w:smallCaps/>
                <w:color w:val="FFFFFF" w:themeColor="background1"/>
                <w:szCs w:val="20"/>
              </w:rPr>
              <w:t>Low</w:t>
            </w:r>
          </w:p>
        </w:tc>
      </w:tr>
    </w:tbl>
    <w:p w14:paraId="0A3AB5B7" w14:textId="77777777" w:rsidR="0058665F" w:rsidRDefault="0058665F" w:rsidP="0058665F">
      <w:pPr>
        <w:rPr>
          <w:rFonts w:cs="Arial"/>
          <w:szCs w:val="20"/>
        </w:rPr>
      </w:pPr>
    </w:p>
    <w:p w14:paraId="0959E0E3" w14:textId="77777777" w:rsidR="0058665F" w:rsidRDefault="0058665F" w:rsidP="0058665F">
      <w:pPr>
        <w:rPr>
          <w:rFonts w:cs="Arial"/>
          <w:szCs w:val="20"/>
        </w:rPr>
      </w:pPr>
    </w:p>
    <w:p w14:paraId="581508CE" w14:textId="77777777" w:rsidR="0058665F" w:rsidRDefault="0058665F" w:rsidP="0058665F">
      <w:pPr>
        <w:rPr>
          <w:rFonts w:cs="Arial"/>
          <w:szCs w:val="20"/>
        </w:rPr>
      </w:pPr>
      <w:r>
        <w:rPr>
          <w:rFonts w:cs="Arial"/>
          <w:szCs w:val="20"/>
        </w:rPr>
        <w:br w:type="page"/>
      </w:r>
    </w:p>
    <w:p w14:paraId="39FFA459" w14:textId="77777777" w:rsidR="0058665F" w:rsidRPr="00AC67FC" w:rsidRDefault="0058665F" w:rsidP="0058665F">
      <w:pPr>
        <w:pBdr>
          <w:bottom w:val="single" w:sz="8" w:space="4" w:color="4F81BD"/>
        </w:pBdr>
        <w:spacing w:before="360" w:after="360"/>
        <w:contextualSpacing/>
        <w:jc w:val="left"/>
        <w:outlineLvl w:val="0"/>
        <w:rPr>
          <w:rFonts w:ascii="Arial Bold" w:hAnsi="Arial Bold" w:cs="Arial"/>
          <w:b/>
          <w:color w:val="006CA9"/>
          <w:spacing w:val="5"/>
          <w:kern w:val="36"/>
          <w:sz w:val="40"/>
          <w:szCs w:val="30"/>
        </w:rPr>
      </w:pPr>
      <w:r w:rsidRPr="00AC67FC">
        <w:rPr>
          <w:rFonts w:ascii="Arial Bold" w:hAnsi="Arial Bold" w:cs="Arial"/>
          <w:b/>
          <w:color w:val="006CA9"/>
          <w:spacing w:val="5"/>
          <w:kern w:val="36"/>
          <w:sz w:val="40"/>
          <w:szCs w:val="30"/>
        </w:rPr>
        <w:lastRenderedPageBreak/>
        <w:t>VII.</w:t>
      </w:r>
      <w:r w:rsidRPr="00AC67FC">
        <w:rPr>
          <w:rFonts w:ascii="Arial Bold" w:hAnsi="Arial Bold" w:cs="Arial"/>
          <w:b/>
          <w:color w:val="006CA9"/>
          <w:spacing w:val="5"/>
          <w:kern w:val="36"/>
          <w:sz w:val="40"/>
          <w:szCs w:val="30"/>
        </w:rPr>
        <w:tab/>
        <w:t>Conclusion</w:t>
      </w:r>
    </w:p>
    <w:p w14:paraId="1F50B82F" w14:textId="77777777" w:rsidR="0058665F" w:rsidRDefault="0058665F" w:rsidP="0058665F">
      <w:pPr>
        <w:rPr>
          <w:rFonts w:cs="Arial"/>
          <w:szCs w:val="20"/>
        </w:rPr>
      </w:pPr>
    </w:p>
    <w:p w14:paraId="76B6B258" w14:textId="77777777" w:rsidR="0058665F" w:rsidRPr="005A3A8F" w:rsidRDefault="0058665F" w:rsidP="0058665F">
      <w:pPr>
        <w:rPr>
          <w:rFonts w:cs="Arial"/>
          <w:szCs w:val="20"/>
        </w:rPr>
      </w:pPr>
      <w:r w:rsidRPr="005A3A8F">
        <w:rPr>
          <w:rFonts w:cs="Arial"/>
          <w:szCs w:val="20"/>
        </w:rPr>
        <w:t xml:space="preserve">ACA believes that our review of </w:t>
      </w:r>
      <w:sdt>
        <w:sdtPr>
          <w:rPr>
            <w:rFonts w:cs="Arial"/>
            <w:szCs w:val="20"/>
          </w:rPr>
          <w:alias w:val="Client acronym possessive"/>
          <w:tag w:val="Client-acronym-possessive"/>
          <w:id w:val="-1195535603"/>
          <w:placeholder>
            <w:docPart w:val="2435EF8E7CC447889839D4D03776C03A"/>
          </w:placeholder>
        </w:sdtPr>
        <w:sdtEndPr/>
        <w:sdtContent>
          <w:r w:rsidRPr="005A3A8F">
            <w:rPr>
              <w:rFonts w:cs="Arial"/>
              <w:szCs w:val="20"/>
            </w:rPr>
            <w:t>XYZ’s</w:t>
          </w:r>
        </w:sdtContent>
      </w:sdt>
      <w:r w:rsidRPr="005A3A8F">
        <w:rPr>
          <w:rFonts w:cs="Arial"/>
          <w:szCs w:val="20"/>
        </w:rPr>
        <w:t xml:space="preserve"> books and records, together with oral representations from </w:t>
      </w:r>
      <w:sdt>
        <w:sdtPr>
          <w:rPr>
            <w:rFonts w:cs="Arial"/>
            <w:szCs w:val="20"/>
          </w:rPr>
          <w:alias w:val="Client acronym possessive"/>
          <w:tag w:val="Client-acronym-possessive"/>
          <w:id w:val="1325475495"/>
          <w:placeholder>
            <w:docPart w:val="2435EF8E7CC447889839D4D03776C03A"/>
          </w:placeholder>
        </w:sdtPr>
        <w:sdtEndPr/>
        <w:sdtContent>
          <w:r w:rsidRPr="005A3A8F">
            <w:rPr>
              <w:rFonts w:cs="Arial"/>
              <w:szCs w:val="20"/>
            </w:rPr>
            <w:t>XYZ’s</w:t>
          </w:r>
        </w:sdtContent>
      </w:sdt>
      <w:r w:rsidRPr="005A3A8F">
        <w:rPr>
          <w:rFonts w:cs="Arial"/>
          <w:szCs w:val="20"/>
        </w:rPr>
        <w:t xml:space="preserve"> personnel, provides a reasonable basis for the findings and recommendations herein. ACA may have reviewed certain of the records, data, or information provided by XYZ on a sample basis. ACA’s findings and recommendations reflect applicable regulations, compliance requirements, and </w:t>
      </w:r>
      <w:sdt>
        <w:sdtPr>
          <w:rPr>
            <w:rFonts w:cs="Arial"/>
            <w:szCs w:val="20"/>
          </w:rPr>
          <w:alias w:val="Client acronym possessive"/>
          <w:tag w:val="Client-acronym-possessive"/>
          <w:id w:val="-483166141"/>
          <w:placeholder>
            <w:docPart w:val="2435EF8E7CC447889839D4D03776C03A"/>
          </w:placeholder>
        </w:sdtPr>
        <w:sdtEndPr/>
        <w:sdtContent>
          <w:r w:rsidRPr="005A3A8F">
            <w:rPr>
              <w:rFonts w:cs="Arial"/>
              <w:szCs w:val="20"/>
            </w:rPr>
            <w:t>XYZ’s</w:t>
          </w:r>
        </w:sdtContent>
      </w:sdt>
      <w:r w:rsidRPr="005A3A8F">
        <w:rPr>
          <w:rFonts w:cs="Arial"/>
          <w:szCs w:val="20"/>
        </w:rPr>
        <w:t xml:space="preserve"> operations only as of the time of the engagement</w:t>
      </w:r>
      <w:r>
        <w:rPr>
          <w:rFonts w:cs="Arial"/>
          <w:szCs w:val="20"/>
        </w:rPr>
        <w:t>.</w:t>
      </w:r>
    </w:p>
    <w:p w14:paraId="59E4E0EA" w14:textId="77777777" w:rsidR="0058665F" w:rsidRPr="005A3A8F" w:rsidRDefault="0058665F" w:rsidP="0058665F">
      <w:pPr>
        <w:rPr>
          <w:rFonts w:cs="Arial"/>
          <w:szCs w:val="20"/>
        </w:rPr>
      </w:pPr>
    </w:p>
    <w:p w14:paraId="3C955018" w14:textId="77777777" w:rsidR="0058665F" w:rsidRPr="005A3A8F" w:rsidRDefault="0058665F" w:rsidP="0058665F">
      <w:pPr>
        <w:rPr>
          <w:rFonts w:cs="Arial"/>
          <w:szCs w:val="20"/>
        </w:rPr>
      </w:pPr>
      <w:r w:rsidRPr="005A3A8F">
        <w:rPr>
          <w:rFonts w:cs="Arial"/>
          <w:szCs w:val="20"/>
        </w:rPr>
        <w:t xml:space="preserve">ACA’s findings and recommendations must be reviewed in totality. Certain of ACA’s recommendations may be predicated on the implementation of other recommendations. This report is supplemental to ACA’s oral discussions with </w:t>
      </w:r>
      <w:sdt>
        <w:sdtPr>
          <w:rPr>
            <w:rFonts w:cs="Arial"/>
            <w:szCs w:val="20"/>
          </w:rPr>
          <w:alias w:val="Client acronym possessive"/>
          <w:tag w:val="Client-acronym-possessive"/>
          <w:id w:val="-988168842"/>
          <w:placeholder>
            <w:docPart w:val="2435EF8E7CC447889839D4D03776C03A"/>
          </w:placeholder>
        </w:sdtPr>
        <w:sdtEndPr/>
        <w:sdtContent>
          <w:r w:rsidRPr="005A3A8F">
            <w:rPr>
              <w:rFonts w:cs="Arial"/>
              <w:szCs w:val="20"/>
            </w:rPr>
            <w:t>XYZ’s</w:t>
          </w:r>
        </w:sdtContent>
      </w:sdt>
      <w:r w:rsidRPr="005A3A8F">
        <w:rPr>
          <w:rFonts w:cs="Arial"/>
          <w:szCs w:val="20"/>
        </w:rPr>
        <w:t xml:space="preserve"> </w:t>
      </w:r>
      <w:r>
        <w:rPr>
          <w:rFonts w:cs="Arial"/>
          <w:szCs w:val="20"/>
        </w:rPr>
        <w:t>C</w:t>
      </w:r>
      <w:r w:rsidRPr="005A3A8F">
        <w:rPr>
          <w:rFonts w:cs="Arial"/>
          <w:szCs w:val="20"/>
        </w:rPr>
        <w:t xml:space="preserve">ompliance and </w:t>
      </w:r>
      <w:r>
        <w:rPr>
          <w:rFonts w:cs="Arial"/>
          <w:szCs w:val="20"/>
        </w:rPr>
        <w:t>L</w:t>
      </w:r>
      <w:r w:rsidRPr="005A3A8F">
        <w:rPr>
          <w:rFonts w:cs="Arial"/>
          <w:szCs w:val="20"/>
        </w:rPr>
        <w:t xml:space="preserve">egal </w:t>
      </w:r>
      <w:r>
        <w:rPr>
          <w:rFonts w:cs="Arial"/>
          <w:szCs w:val="20"/>
        </w:rPr>
        <w:t>D</w:t>
      </w:r>
      <w:r w:rsidRPr="005A3A8F">
        <w:rPr>
          <w:rFonts w:cs="Arial"/>
          <w:szCs w:val="20"/>
        </w:rPr>
        <w:t xml:space="preserve">epartments </w:t>
      </w:r>
      <w:sdt>
        <w:sdtPr>
          <w:rPr>
            <w:rFonts w:cs="Arial"/>
            <w:szCs w:val="20"/>
          </w:rPr>
          <w:alias w:val="Name of Law Firm"/>
          <w:tag w:val="Name-of-Law-Firm"/>
          <w:id w:val="617185630"/>
          <w:placeholder>
            <w:docPart w:val="1D5EBADEB2FF41968E8D8383A889A318"/>
          </w:placeholder>
        </w:sdtPr>
        <w:sdtEndPr/>
        <w:sdtContent>
          <w:r w:rsidRPr="00073202">
            <w:rPr>
              <w:rFonts w:cs="Arial"/>
              <w:szCs w:val="20"/>
            </w:rPr>
            <w:t xml:space="preserve">or NAME OF LAW </w:t>
          </w:r>
          <w:proofErr w:type="spellStart"/>
          <w:r w:rsidRPr="00073202">
            <w:rPr>
              <w:rFonts w:cs="Arial"/>
              <w:szCs w:val="20"/>
            </w:rPr>
            <w:t>FIRM</w:t>
          </w:r>
        </w:sdtContent>
      </w:sdt>
      <w:r w:rsidRPr="005A3A8F">
        <w:rPr>
          <w:rFonts w:cs="Arial"/>
          <w:szCs w:val="20"/>
        </w:rPr>
        <w:t>.Not</w:t>
      </w:r>
      <w:proofErr w:type="spellEnd"/>
      <w:r w:rsidRPr="005A3A8F">
        <w:rPr>
          <w:rFonts w:cs="Arial"/>
          <w:szCs w:val="20"/>
        </w:rPr>
        <w:t xml:space="preserve"> all </w:t>
      </w:r>
      <w:r>
        <w:rPr>
          <w:rFonts w:cs="Arial"/>
          <w:szCs w:val="20"/>
        </w:rPr>
        <w:t>findings and recommendations</w:t>
      </w:r>
      <w:r w:rsidRPr="005A3A8F">
        <w:rPr>
          <w:rFonts w:cs="Arial"/>
          <w:szCs w:val="20"/>
        </w:rPr>
        <w:t xml:space="preserve"> are </w:t>
      </w:r>
      <w:r>
        <w:rPr>
          <w:rFonts w:cs="Arial"/>
          <w:szCs w:val="20"/>
        </w:rPr>
        <w:t xml:space="preserve">necessarily </w:t>
      </w:r>
      <w:r w:rsidRPr="005A3A8F">
        <w:rPr>
          <w:rFonts w:cs="Arial"/>
          <w:szCs w:val="20"/>
        </w:rPr>
        <w:t xml:space="preserve">memorialized in this report. </w:t>
      </w:r>
      <w:r w:rsidRPr="0084424F">
        <w:rPr>
          <w:rFonts w:cs="Arial"/>
          <w:szCs w:val="20"/>
        </w:rPr>
        <w:t xml:space="preserve">Findings and recommendations made in prior ACA reports, to the extent not remediated by </w:t>
      </w:r>
      <w:sdt>
        <w:sdtPr>
          <w:rPr>
            <w:rFonts w:cs="Arial"/>
            <w:szCs w:val="20"/>
          </w:rPr>
          <w:alias w:val="Client acronym"/>
          <w:tag w:val="Client-acronym"/>
          <w:id w:val="89970126"/>
          <w:placeholder>
            <w:docPart w:val="2435EF8E7CC447889839D4D03776C03A"/>
          </w:placeholder>
        </w:sdtPr>
        <w:sdtEndPr/>
        <w:sdtContent>
          <w:r w:rsidRPr="0084424F">
            <w:rPr>
              <w:rFonts w:cs="Arial"/>
              <w:szCs w:val="20"/>
            </w:rPr>
            <w:t>XYZ</w:t>
          </w:r>
        </w:sdtContent>
      </w:sdt>
      <w:r w:rsidRPr="0084424F">
        <w:rPr>
          <w:rFonts w:cs="Arial"/>
          <w:szCs w:val="20"/>
        </w:rPr>
        <w:t xml:space="preserve"> and to the extent not mitigated by subsequent developments or additional facts, remain outstanding and should be reviewed and addressed by </w:t>
      </w:r>
      <w:sdt>
        <w:sdtPr>
          <w:rPr>
            <w:rFonts w:cs="Arial"/>
            <w:szCs w:val="20"/>
          </w:rPr>
          <w:alias w:val="Client acronym"/>
          <w:tag w:val="Client-acronym"/>
          <w:id w:val="-1393027064"/>
          <w:placeholder>
            <w:docPart w:val="2435EF8E7CC447889839D4D03776C03A"/>
          </w:placeholder>
        </w:sdtPr>
        <w:sdtEndPr/>
        <w:sdtContent>
          <w:r w:rsidRPr="0084424F">
            <w:rPr>
              <w:rFonts w:cs="Arial"/>
              <w:szCs w:val="20"/>
            </w:rPr>
            <w:t>XYZ</w:t>
          </w:r>
        </w:sdtContent>
      </w:sdt>
      <w:r>
        <w:rPr>
          <w:rFonts w:cs="Arial"/>
          <w:szCs w:val="20"/>
        </w:rPr>
        <w:t xml:space="preserve">. </w:t>
      </w:r>
    </w:p>
    <w:p w14:paraId="472E6F73" w14:textId="77777777" w:rsidR="0058665F" w:rsidRPr="005A3A8F" w:rsidRDefault="0058665F" w:rsidP="0058665F">
      <w:pPr>
        <w:rPr>
          <w:rFonts w:cs="Arial"/>
          <w:szCs w:val="20"/>
        </w:rPr>
      </w:pPr>
    </w:p>
    <w:p w14:paraId="5B767A99" w14:textId="77777777" w:rsidR="0058665F" w:rsidRPr="005A3A8F" w:rsidRDefault="0058665F" w:rsidP="0058665F">
      <w:pPr>
        <w:rPr>
          <w:rFonts w:cs="Arial"/>
          <w:szCs w:val="20"/>
        </w:rPr>
      </w:pPr>
      <w:r w:rsidRPr="00177721">
        <w:rPr>
          <w:rFonts w:cs="Arial"/>
          <w:szCs w:val="20"/>
        </w:rPr>
        <w:t>ACA does not offer legal services, nor does ACA provide substitute services for those provided by legal counsel.</w:t>
      </w:r>
      <w:r>
        <w:rPr>
          <w:rFonts w:cs="Arial"/>
          <w:szCs w:val="20"/>
        </w:rPr>
        <w:t xml:space="preserve"> </w:t>
      </w:r>
      <w:r w:rsidRPr="00177721">
        <w:rPr>
          <w:rFonts w:cs="Arial"/>
          <w:szCs w:val="20"/>
        </w:rPr>
        <w:t xml:space="preserve">Accordingly, ACA’s review does not provide a legal determination of </w:t>
      </w:r>
      <w:sdt>
        <w:sdtPr>
          <w:rPr>
            <w:rFonts w:cs="Arial"/>
            <w:szCs w:val="20"/>
          </w:rPr>
          <w:alias w:val="Client acronym possessive"/>
          <w:tag w:val="Client-acronym-possessive"/>
          <w:id w:val="-964657749"/>
          <w:placeholder>
            <w:docPart w:val="2435EF8E7CC447889839D4D03776C03A"/>
          </w:placeholder>
        </w:sdtPr>
        <w:sdtEndPr/>
        <w:sdtContent>
          <w:r w:rsidRPr="00177721">
            <w:rPr>
              <w:rFonts w:cs="Arial"/>
              <w:szCs w:val="20"/>
            </w:rPr>
            <w:t>XYZ’s</w:t>
          </w:r>
        </w:sdtContent>
      </w:sdt>
      <w:r w:rsidRPr="00177721">
        <w:rPr>
          <w:rFonts w:cs="Arial"/>
          <w:szCs w:val="20"/>
        </w:rPr>
        <w:t xml:space="preserve"> compliance with any of the laws or regulations specified herein. It is the responsibility of </w:t>
      </w:r>
      <w:sdt>
        <w:sdtPr>
          <w:rPr>
            <w:rFonts w:cs="Arial"/>
            <w:szCs w:val="20"/>
          </w:rPr>
          <w:alias w:val="Client acronym"/>
          <w:tag w:val="Client-acronym"/>
          <w:id w:val="-2039883076"/>
          <w:placeholder>
            <w:docPart w:val="2435EF8E7CC447889839D4D03776C03A"/>
          </w:placeholder>
        </w:sdtPr>
        <w:sdtEndPr/>
        <w:sdtContent>
          <w:r w:rsidRPr="00177721">
            <w:rPr>
              <w:rFonts w:cs="Arial"/>
              <w:szCs w:val="20"/>
            </w:rPr>
            <w:t>XYZ</w:t>
          </w:r>
        </w:sdtContent>
      </w:sdt>
      <w:r w:rsidRPr="00177721">
        <w:rPr>
          <w:rFonts w:cs="Arial"/>
          <w:szCs w:val="20"/>
        </w:rPr>
        <w:t xml:space="preserve"> to ensure compliance with those requirements. While ACA has identified issues and provided recommendations regarding </w:t>
      </w:r>
      <w:sdt>
        <w:sdtPr>
          <w:rPr>
            <w:rFonts w:cs="Arial"/>
            <w:szCs w:val="20"/>
          </w:rPr>
          <w:alias w:val="Client acronym possessive"/>
          <w:tag w:val="Client-acronym-possessive"/>
          <w:id w:val="-2138251454"/>
          <w:placeholder>
            <w:docPart w:val="2435EF8E7CC447889839D4D03776C03A"/>
          </w:placeholder>
        </w:sdtPr>
        <w:sdtEndPr/>
        <w:sdtContent>
          <w:r w:rsidRPr="00177721">
            <w:rPr>
              <w:rFonts w:cs="Arial"/>
              <w:szCs w:val="20"/>
            </w:rPr>
            <w:t>XYZ’s</w:t>
          </w:r>
        </w:sdtContent>
      </w:sdt>
      <w:r w:rsidRPr="00177721">
        <w:rPr>
          <w:rFonts w:cs="Arial"/>
          <w:szCs w:val="20"/>
        </w:rPr>
        <w:t xml:space="preserve"> compliance program, the operational implementation of an adequate and effective compliance program remains the sole obligation of </w:t>
      </w:r>
      <w:sdt>
        <w:sdtPr>
          <w:rPr>
            <w:rFonts w:cs="Arial"/>
            <w:szCs w:val="20"/>
          </w:rPr>
          <w:alias w:val="Client acronym"/>
          <w:tag w:val="Client-acronym"/>
          <w:id w:val="-995799445"/>
          <w:placeholder>
            <w:docPart w:val="2435EF8E7CC447889839D4D03776C03A"/>
          </w:placeholder>
        </w:sdtPr>
        <w:sdtEndPr/>
        <w:sdtContent>
          <w:r w:rsidRPr="00177721">
            <w:rPr>
              <w:rFonts w:cs="Arial"/>
              <w:szCs w:val="20"/>
            </w:rPr>
            <w:t>XYZ</w:t>
          </w:r>
        </w:sdtContent>
      </w:sdt>
      <w:r w:rsidRPr="00177721">
        <w:rPr>
          <w:rFonts w:cs="Arial"/>
          <w:szCs w:val="20"/>
        </w:rPr>
        <w:t>.</w:t>
      </w:r>
      <w:r>
        <w:rPr>
          <w:rFonts w:cs="Arial"/>
          <w:szCs w:val="20"/>
        </w:rPr>
        <w:t xml:space="preserve"> In addition</w:t>
      </w:r>
      <w:r w:rsidRPr="00177721">
        <w:rPr>
          <w:rFonts w:cs="Arial"/>
          <w:szCs w:val="20"/>
        </w:rPr>
        <w:t xml:space="preserve">, ACA does not provide any legal advice regarding </w:t>
      </w:r>
      <w:sdt>
        <w:sdtPr>
          <w:rPr>
            <w:rFonts w:cs="Arial"/>
            <w:szCs w:val="20"/>
          </w:rPr>
          <w:alias w:val="Client acronym possessive"/>
          <w:tag w:val="Client-acronym-possessive"/>
          <w:id w:val="72862171"/>
          <w:placeholder>
            <w:docPart w:val="2435EF8E7CC447889839D4D03776C03A"/>
          </w:placeholder>
        </w:sdtPr>
        <w:sdtEndPr/>
        <w:sdtContent>
          <w:r w:rsidRPr="00177721">
            <w:rPr>
              <w:rFonts w:cs="Arial"/>
              <w:szCs w:val="20"/>
            </w:rPr>
            <w:t>XYZ’s</w:t>
          </w:r>
        </w:sdtContent>
      </w:sdt>
      <w:r w:rsidRPr="00177721">
        <w:rPr>
          <w:rFonts w:cs="Arial"/>
          <w:szCs w:val="20"/>
        </w:rPr>
        <w:t xml:space="preserve"> agreements. To the extent that we have provided comments related to </w:t>
      </w:r>
      <w:sdt>
        <w:sdtPr>
          <w:rPr>
            <w:rFonts w:cs="Arial"/>
            <w:szCs w:val="20"/>
          </w:rPr>
          <w:alias w:val="Client acronym possessive"/>
          <w:tag w:val="Client-acronym-possessive"/>
          <w:id w:val="892776149"/>
          <w:placeholder>
            <w:docPart w:val="2435EF8E7CC447889839D4D03776C03A"/>
          </w:placeholder>
        </w:sdtPr>
        <w:sdtEndPr/>
        <w:sdtContent>
          <w:r w:rsidRPr="00177721">
            <w:rPr>
              <w:rFonts w:cs="Arial"/>
              <w:szCs w:val="20"/>
            </w:rPr>
            <w:t>XYZ’s</w:t>
          </w:r>
        </w:sdtContent>
      </w:sdt>
      <w:r w:rsidRPr="00177721">
        <w:rPr>
          <w:rFonts w:cs="Arial"/>
          <w:szCs w:val="20"/>
        </w:rPr>
        <w:t xml:space="preserve"> agreements, these comments are based upon regulatory requirements or relate to operational issues such as adherence to stated billing terms or compliance with stated inves</w:t>
      </w:r>
      <w:r>
        <w:rPr>
          <w:rFonts w:cs="Arial"/>
          <w:szCs w:val="20"/>
        </w:rPr>
        <w:t>tment mandates or restrictions.</w:t>
      </w:r>
    </w:p>
    <w:p w14:paraId="6B4A2808" w14:textId="77777777" w:rsidR="0058665F" w:rsidRDefault="0058665F" w:rsidP="0058665F">
      <w:pPr>
        <w:rPr>
          <w:rFonts w:cs="Arial"/>
          <w:szCs w:val="20"/>
        </w:rPr>
      </w:pPr>
    </w:p>
    <w:p w14:paraId="16EE9CB1" w14:textId="77777777" w:rsidR="0058665F" w:rsidRDefault="0058665F" w:rsidP="0058665F">
      <w:r w:rsidRPr="00A265BF">
        <w:rPr>
          <w:rFonts w:cs="Arial"/>
          <w:szCs w:val="20"/>
        </w:rPr>
        <w:t xml:space="preserve">ACA’s review was designed to help provide reasonable, but not absolute, assurance to </w:t>
      </w:r>
      <w:sdt>
        <w:sdtPr>
          <w:rPr>
            <w:rFonts w:cs="Arial"/>
            <w:szCs w:val="20"/>
          </w:rPr>
          <w:alias w:val="Client acronym"/>
          <w:tag w:val="Client-acronym"/>
          <w:id w:val="-331304776"/>
          <w:placeholder>
            <w:docPart w:val="2435EF8E7CC447889839D4D03776C03A"/>
          </w:placeholder>
        </w:sdtPr>
        <w:sdtEndPr/>
        <w:sdtContent>
          <w:r w:rsidRPr="00A265BF">
            <w:rPr>
              <w:rFonts w:cs="Arial"/>
              <w:szCs w:val="20"/>
            </w:rPr>
            <w:t>XYZ</w:t>
          </w:r>
        </w:sdtContent>
      </w:sdt>
      <w:r w:rsidRPr="00A265BF">
        <w:rPr>
          <w:rFonts w:cs="Arial"/>
          <w:szCs w:val="20"/>
        </w:rPr>
        <w:t xml:space="preserve"> that </w:t>
      </w:r>
      <w:sdt>
        <w:sdtPr>
          <w:rPr>
            <w:rFonts w:cs="Arial"/>
            <w:szCs w:val="20"/>
          </w:rPr>
          <w:alias w:val="Client acronym"/>
          <w:tag w:val="Client-acronym"/>
          <w:id w:val="1349684038"/>
          <w:placeholder>
            <w:docPart w:val="2435EF8E7CC447889839D4D03776C03A"/>
          </w:placeholder>
        </w:sdtPr>
        <w:sdtEndPr/>
        <w:sdtContent>
          <w:r w:rsidRPr="00A265BF">
            <w:rPr>
              <w:rFonts w:cs="Arial"/>
              <w:szCs w:val="20"/>
            </w:rPr>
            <w:t>XYZ</w:t>
          </w:r>
        </w:sdtContent>
      </w:sdt>
      <w:r w:rsidRPr="00A265BF">
        <w:rPr>
          <w:rFonts w:cs="Arial"/>
          <w:szCs w:val="20"/>
        </w:rPr>
        <w:t xml:space="preserve"> has, or will have, an adequate and effective compliance program with respect to the areas that were covered by the review. Because the review was designed to help provide reasonable, but not absolute, assurance and because ACA did not perform a detailed inspection of </w:t>
      </w:r>
      <w:proofErr w:type="gramStart"/>
      <w:r w:rsidRPr="00A265BF">
        <w:rPr>
          <w:rFonts w:cs="Arial"/>
          <w:szCs w:val="20"/>
        </w:rPr>
        <w:t>all of</w:t>
      </w:r>
      <w:proofErr w:type="gramEnd"/>
      <w:r w:rsidRPr="00A265BF">
        <w:rPr>
          <w:rFonts w:cs="Arial"/>
          <w:szCs w:val="20"/>
        </w:rPr>
        <w:t xml:space="preserve"> </w:t>
      </w:r>
      <w:sdt>
        <w:sdtPr>
          <w:rPr>
            <w:rFonts w:cs="Arial"/>
            <w:szCs w:val="20"/>
          </w:rPr>
          <w:alias w:val="Client acronym possessive"/>
          <w:tag w:val="Client-acronym-possessive"/>
          <w:id w:val="-886572370"/>
          <w:placeholder>
            <w:docPart w:val="2435EF8E7CC447889839D4D03776C03A"/>
          </w:placeholder>
        </w:sdtPr>
        <w:sdtEndPr/>
        <w:sdtContent>
          <w:r w:rsidRPr="00A265BF">
            <w:rPr>
              <w:rFonts w:cs="Arial"/>
              <w:szCs w:val="20"/>
            </w:rPr>
            <w:t>XYZ’s</w:t>
          </w:r>
        </w:sdtContent>
      </w:sdt>
      <w:r w:rsidRPr="00A265BF">
        <w:rPr>
          <w:rFonts w:cs="Arial"/>
          <w:szCs w:val="20"/>
        </w:rPr>
        <w:t xml:space="preserve"> books and records, communications, and transactions, there is a risk that material issues or deficiencies, fraudulent activity, misappropriation of assets, or violations of law, which may exist, were not detected during the course of our review.</w:t>
      </w:r>
      <w:r>
        <w:t xml:space="preserve"> </w:t>
      </w:r>
    </w:p>
    <w:p w14:paraId="5AFDE76C" w14:textId="77777777" w:rsidR="0058665F" w:rsidRPr="005A3A8F" w:rsidRDefault="0058665F" w:rsidP="0058665F">
      <w:pPr>
        <w:rPr>
          <w:rFonts w:cs="Arial"/>
          <w:szCs w:val="20"/>
        </w:rPr>
      </w:pPr>
    </w:p>
    <w:p w14:paraId="59A4121E" w14:textId="77777777" w:rsidR="0058665F" w:rsidRPr="005A3A8F" w:rsidRDefault="0058665F" w:rsidP="0058665F">
      <w:pPr>
        <w:rPr>
          <w:rFonts w:cs="Arial"/>
          <w:szCs w:val="20"/>
        </w:rPr>
      </w:pPr>
      <w:r w:rsidRPr="005A3A8F">
        <w:rPr>
          <w:rFonts w:cs="Arial"/>
          <w:szCs w:val="20"/>
        </w:rPr>
        <w:t xml:space="preserve">This report is intended solely for the information and use of </w:t>
      </w:r>
      <w:sdt>
        <w:sdtPr>
          <w:rPr>
            <w:rFonts w:cs="Arial"/>
            <w:szCs w:val="20"/>
          </w:rPr>
          <w:alias w:val="Client acronym"/>
          <w:tag w:val="Client-acronym"/>
          <w:id w:val="-1026478396"/>
          <w:placeholder>
            <w:docPart w:val="2435EF8E7CC447889839D4D03776C03A"/>
          </w:placeholder>
        </w:sdtPr>
        <w:sdtEndPr/>
        <w:sdtContent>
          <w:r w:rsidRPr="005A3A8F">
            <w:rPr>
              <w:rFonts w:cs="Arial"/>
              <w:szCs w:val="20"/>
            </w:rPr>
            <w:t>XYZ</w:t>
          </w:r>
        </w:sdtContent>
      </w:sdt>
      <w:r w:rsidRPr="005A3A8F">
        <w:rPr>
          <w:rFonts w:cs="Arial"/>
          <w:szCs w:val="20"/>
        </w:rPr>
        <w:t xml:space="preserve"> </w:t>
      </w:r>
      <w:sdt>
        <w:sdtPr>
          <w:rPr>
            <w:rFonts w:cs="Arial"/>
            <w:szCs w:val="20"/>
          </w:rPr>
          <w:alias w:val="Name of Law Firm"/>
          <w:tag w:val="Name-of-Law-Firm"/>
          <w:id w:val="1523282320"/>
          <w:placeholder>
            <w:docPart w:val="6B382C8559E04E7B9413CD7C47C9905B"/>
          </w:placeholder>
        </w:sdtPr>
        <w:sdtEndPr/>
        <w:sdtContent>
          <w:r w:rsidRPr="00073202">
            <w:rPr>
              <w:rFonts w:cs="Arial"/>
              <w:szCs w:val="20"/>
            </w:rPr>
            <w:t>or NAME OF LAW FIRM</w:t>
          </w:r>
        </w:sdtContent>
      </w:sdt>
      <w:r w:rsidRPr="005A3A8F">
        <w:rPr>
          <w:rFonts w:cs="Arial"/>
          <w:szCs w:val="20"/>
        </w:rPr>
        <w:t>.</w:t>
      </w:r>
    </w:p>
    <w:p w14:paraId="0657FAB8" w14:textId="77777777" w:rsidR="0058665F" w:rsidRPr="005A3A8F" w:rsidRDefault="0058665F" w:rsidP="0058665F"/>
    <w:p w14:paraId="390396E5" w14:textId="026FB6D3" w:rsidR="004F10DC" w:rsidRPr="00130D89" w:rsidRDefault="004F10DC">
      <w:pPr>
        <w:rPr>
          <w:rFonts w:cs="Arial"/>
          <w:szCs w:val="20"/>
        </w:rPr>
      </w:pPr>
      <w:bookmarkStart w:id="2" w:name="g.2.i"/>
      <w:bookmarkStart w:id="3" w:name="g.2.ii"/>
      <w:bookmarkStart w:id="4" w:name="g.2.ii.A"/>
      <w:bookmarkStart w:id="5" w:name="g.2.ii.B"/>
      <w:bookmarkStart w:id="6" w:name="g.2.ii.C"/>
      <w:bookmarkStart w:id="7" w:name="g.2.iii"/>
      <w:bookmarkStart w:id="8" w:name="g.3"/>
      <w:bookmarkStart w:id="9" w:name="g.3.i"/>
      <w:bookmarkStart w:id="10" w:name="g.3.ii"/>
      <w:bookmarkStart w:id="11" w:name="g.3.iii"/>
      <w:bookmarkEnd w:id="1"/>
      <w:bookmarkEnd w:id="2"/>
      <w:bookmarkEnd w:id="3"/>
      <w:bookmarkEnd w:id="4"/>
      <w:bookmarkEnd w:id="5"/>
      <w:bookmarkEnd w:id="6"/>
      <w:bookmarkEnd w:id="7"/>
      <w:bookmarkEnd w:id="8"/>
      <w:bookmarkEnd w:id="9"/>
      <w:bookmarkEnd w:id="10"/>
      <w:bookmarkEnd w:id="11"/>
    </w:p>
    <w:sectPr w:rsidR="004F10DC" w:rsidRPr="00130D89" w:rsidSect="009A1CF4">
      <w:headerReference w:type="even" r:id="rId19"/>
      <w:headerReference w:type="default" r:id="rId20"/>
      <w:footerReference w:type="default" r:id="rId21"/>
      <w:headerReference w:type="first" r:id="rId22"/>
      <w:pgSz w:w="15840" w:h="12240" w:orient="landscape"/>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4CB1" w14:textId="77777777" w:rsidR="00730394" w:rsidRDefault="00730394">
      <w:r>
        <w:separator/>
      </w:r>
    </w:p>
  </w:endnote>
  <w:endnote w:type="continuationSeparator" w:id="0">
    <w:p w14:paraId="279E7C3B" w14:textId="77777777" w:rsidR="00730394" w:rsidRDefault="00730394">
      <w:r>
        <w:continuationSeparator/>
      </w:r>
    </w:p>
  </w:endnote>
  <w:endnote w:type="continuationNotice" w:id="1">
    <w:p w14:paraId="4657905C" w14:textId="77777777" w:rsidR="00730394" w:rsidRDefault="00730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ZapfHumnst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25F68" w14:textId="77777777" w:rsidR="00BF66A8" w:rsidRDefault="00BF66A8" w:rsidP="00DD5C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2DCE4" w14:textId="77777777" w:rsidR="00BF66A8" w:rsidRDefault="00BF66A8" w:rsidP="00BC65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7A6B" w14:textId="77777777" w:rsidR="00BF66A8" w:rsidRPr="00FC26DF" w:rsidRDefault="00BF66A8" w:rsidP="009D434D">
    <w:pPr>
      <w:pStyle w:val="Footer"/>
      <w:ind w:right="360"/>
      <w:rPr>
        <w:rFonts w:cs="Arial"/>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D30C3" w14:textId="77777777" w:rsidR="00A46976" w:rsidRDefault="00A469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9432" w14:textId="77777777" w:rsidR="00BF66A8" w:rsidRPr="00FC26DF" w:rsidRDefault="00BF66A8" w:rsidP="00E20ECC">
    <w:pPr>
      <w:pStyle w:val="Footer"/>
      <w:framePr w:wrap="around" w:vAnchor="text" w:hAnchor="margin" w:xAlign="center" w:y="1"/>
      <w:spacing w:before="240"/>
      <w:rPr>
        <w:rStyle w:val="PageNumber"/>
        <w:rFonts w:cs="Arial"/>
        <w:sz w:val="22"/>
        <w:szCs w:val="22"/>
      </w:rPr>
    </w:pPr>
    <w:r w:rsidRPr="00FC26DF">
      <w:rPr>
        <w:rStyle w:val="PageNumber"/>
        <w:rFonts w:cs="Arial"/>
        <w:sz w:val="22"/>
        <w:szCs w:val="22"/>
      </w:rPr>
      <w:t xml:space="preserve">Page </w:t>
    </w:r>
    <w:r w:rsidRPr="00FC26DF">
      <w:rPr>
        <w:rStyle w:val="PageNumber"/>
        <w:rFonts w:cs="Arial"/>
        <w:sz w:val="22"/>
        <w:szCs w:val="22"/>
      </w:rPr>
      <w:fldChar w:fldCharType="begin"/>
    </w:r>
    <w:r w:rsidRPr="00FC26DF">
      <w:rPr>
        <w:rStyle w:val="PageNumber"/>
        <w:rFonts w:cs="Arial"/>
        <w:sz w:val="22"/>
        <w:szCs w:val="22"/>
      </w:rPr>
      <w:instrText xml:space="preserve">PAGE  </w:instrText>
    </w:r>
    <w:r w:rsidRPr="00FC26DF">
      <w:rPr>
        <w:rStyle w:val="PageNumber"/>
        <w:rFonts w:cs="Arial"/>
        <w:sz w:val="22"/>
        <w:szCs w:val="22"/>
      </w:rPr>
      <w:fldChar w:fldCharType="separate"/>
    </w:r>
    <w:r>
      <w:rPr>
        <w:rStyle w:val="PageNumber"/>
        <w:rFonts w:cs="Arial"/>
        <w:noProof/>
        <w:sz w:val="22"/>
        <w:szCs w:val="22"/>
      </w:rPr>
      <w:t>6</w:t>
    </w:r>
    <w:r w:rsidRPr="00FC26DF">
      <w:rPr>
        <w:rStyle w:val="PageNumber"/>
        <w:rFonts w:cs="Arial"/>
        <w:sz w:val="22"/>
        <w:szCs w:val="22"/>
      </w:rPr>
      <w:fldChar w:fldCharType="end"/>
    </w:r>
  </w:p>
  <w:p w14:paraId="06EC0920" w14:textId="2AD2CB79" w:rsidR="00BF66A8" w:rsidRPr="00FC26DF" w:rsidRDefault="00BF66A8" w:rsidP="00E20ECC">
    <w:pPr>
      <w:pStyle w:val="Footer"/>
      <w:spacing w:before="240"/>
      <w:ind w:right="360"/>
      <w:rPr>
        <w:rFonts w:cs="Arial"/>
        <w:sz w:val="22"/>
        <w:szCs w:val="22"/>
      </w:rPr>
    </w:pPr>
    <w:r w:rsidRPr="00FC26DF">
      <w:rPr>
        <w:rFonts w:cs="Arial"/>
        <w:b/>
        <w:sz w:val="22"/>
        <w:szCs w:val="22"/>
      </w:rPr>
      <w:t>ACA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5ADE5" w14:textId="77777777" w:rsidR="00730394" w:rsidRDefault="00730394">
      <w:r>
        <w:separator/>
      </w:r>
    </w:p>
  </w:footnote>
  <w:footnote w:type="continuationSeparator" w:id="0">
    <w:p w14:paraId="68A1E7B6" w14:textId="77777777" w:rsidR="00730394" w:rsidRDefault="00730394">
      <w:r>
        <w:continuationSeparator/>
      </w:r>
    </w:p>
  </w:footnote>
  <w:footnote w:type="continuationNotice" w:id="1">
    <w:p w14:paraId="78B42062" w14:textId="77777777" w:rsidR="00730394" w:rsidRDefault="00730394"/>
  </w:footnote>
  <w:footnote w:id="2">
    <w:p w14:paraId="783A14F2" w14:textId="77777777" w:rsidR="0058665F" w:rsidRPr="00827CD2" w:rsidRDefault="0058665F" w:rsidP="0058665F">
      <w:pPr>
        <w:pStyle w:val="FootnoteText"/>
        <w:rPr>
          <w:sz w:val="18"/>
          <w:szCs w:val="18"/>
        </w:rPr>
      </w:pPr>
      <w:r w:rsidRPr="003E73A4">
        <w:rPr>
          <w:rStyle w:val="FootnoteReference"/>
          <w:sz w:val="18"/>
          <w:szCs w:val="18"/>
        </w:rPr>
        <w:footnoteRef/>
      </w:r>
      <w:r>
        <w:rPr>
          <w:sz w:val="18"/>
          <w:szCs w:val="18"/>
        </w:rPr>
        <w:t xml:space="preserve"> See “2020 Examination </w:t>
      </w:r>
      <w:r w:rsidRPr="00827CD2">
        <w:rPr>
          <w:sz w:val="18"/>
          <w:szCs w:val="18"/>
        </w:rPr>
        <w:t xml:space="preserve">Priorities” </w:t>
      </w:r>
      <w:hyperlink r:id="rId1" w:history="1">
        <w:r w:rsidRPr="00827CD2">
          <w:rPr>
            <w:rStyle w:val="Hyperlink"/>
            <w:sz w:val="18"/>
            <w:szCs w:val="18"/>
          </w:rPr>
          <w:t>https://www.sec.gov/about/offices/ocie/national-examination-program-priorities-2020.pdf</w:t>
        </w:r>
      </w:hyperlink>
      <w:r w:rsidRPr="00447ADC">
        <w:rPr>
          <w:sz w:val="18"/>
          <w:szCs w:val="18"/>
        </w:rPr>
        <w:t>.</w:t>
      </w:r>
    </w:p>
  </w:footnote>
  <w:footnote w:id="3">
    <w:p w14:paraId="67427947" w14:textId="77777777" w:rsidR="0058665F" w:rsidRPr="0059654A" w:rsidRDefault="0058665F" w:rsidP="0058665F">
      <w:pPr>
        <w:pStyle w:val="FootnoteText"/>
        <w:rPr>
          <w:sz w:val="18"/>
          <w:szCs w:val="18"/>
        </w:rPr>
      </w:pPr>
      <w:r w:rsidRPr="0059654A">
        <w:rPr>
          <w:rStyle w:val="FootnoteReference"/>
          <w:sz w:val="18"/>
          <w:szCs w:val="18"/>
        </w:rPr>
        <w:footnoteRef/>
      </w:r>
      <w:r w:rsidRPr="0059654A">
        <w:rPr>
          <w:sz w:val="18"/>
          <w:szCs w:val="18"/>
        </w:rPr>
        <w:t xml:space="preserve"> See </w:t>
      </w:r>
      <w:hyperlink r:id="rId2" w:history="1">
        <w:r w:rsidRPr="004C4A1D">
          <w:rPr>
            <w:rStyle w:val="Hyperlink"/>
            <w:sz w:val="18"/>
            <w:szCs w:val="18"/>
          </w:rPr>
          <w:t>https://www.sec.gov/files/Risk%20Alert%20-%20Large%20Trader%2013h.pdf</w:t>
        </w:r>
      </w:hyperlink>
      <w:r>
        <w:rPr>
          <w:sz w:val="18"/>
          <w:szCs w:val="18"/>
        </w:rPr>
        <w:t xml:space="preserve"> </w:t>
      </w:r>
    </w:p>
  </w:footnote>
  <w:footnote w:id="4">
    <w:p w14:paraId="7C339240" w14:textId="77777777" w:rsidR="0058665F" w:rsidRPr="006B5030" w:rsidRDefault="0058665F" w:rsidP="0058665F">
      <w:pPr>
        <w:pStyle w:val="FootnoteText"/>
        <w:rPr>
          <w:sz w:val="18"/>
          <w:szCs w:val="18"/>
        </w:rPr>
      </w:pPr>
      <w:r>
        <w:rPr>
          <w:rStyle w:val="FootnoteReference"/>
        </w:rPr>
        <w:footnoteRef/>
      </w:r>
      <w:r>
        <w:t xml:space="preserve"> </w:t>
      </w:r>
      <w:r>
        <w:rPr>
          <w:sz w:val="18"/>
          <w:szCs w:val="18"/>
        </w:rPr>
        <w:t xml:space="preserve">See </w:t>
      </w:r>
      <w:hyperlink r:id="rId3" w:history="1">
        <w:r w:rsidRPr="00A31522">
          <w:rPr>
            <w:rStyle w:val="Hyperlink"/>
            <w:sz w:val="18"/>
            <w:szCs w:val="18"/>
          </w:rPr>
          <w:t>https://www.sec.gov/files/Risk%20Alert%20IA%20Compliance%20Programs_0.pdf</w:t>
        </w:r>
      </w:hyperlink>
      <w:r>
        <w:rPr>
          <w:sz w:val="18"/>
          <w:szCs w:val="18"/>
        </w:rPr>
        <w:t xml:space="preserve"> </w:t>
      </w:r>
    </w:p>
  </w:footnote>
  <w:footnote w:id="5">
    <w:p w14:paraId="617E8BF2" w14:textId="77777777" w:rsidR="0058665F" w:rsidRPr="009807DF" w:rsidRDefault="0058665F" w:rsidP="0058665F">
      <w:pPr>
        <w:pStyle w:val="FootnoteText"/>
        <w:rPr>
          <w:sz w:val="18"/>
          <w:szCs w:val="18"/>
        </w:rPr>
      </w:pPr>
      <w:r>
        <w:rPr>
          <w:rStyle w:val="FootnoteReference"/>
        </w:rPr>
        <w:footnoteRef/>
      </w:r>
      <w:r>
        <w:t xml:space="preserve"> </w:t>
      </w:r>
      <w:r>
        <w:rPr>
          <w:sz w:val="18"/>
          <w:szCs w:val="18"/>
        </w:rPr>
        <w:t xml:space="preserve">See </w:t>
      </w:r>
      <w:hyperlink r:id="rId4" w:history="1">
        <w:r w:rsidRPr="00A31522">
          <w:rPr>
            <w:rStyle w:val="Hyperlink"/>
            <w:sz w:val="18"/>
            <w:szCs w:val="18"/>
          </w:rPr>
          <w:t>https://www.sec.gov/files/Risk%20Alert%20-%20Multi-Branch%20Risk%20Alert.pdf</w:t>
        </w:r>
      </w:hyperlink>
      <w:r>
        <w:rPr>
          <w:sz w:val="18"/>
          <w:szCs w:val="18"/>
        </w:rPr>
        <w:t xml:space="preserve"> </w:t>
      </w:r>
    </w:p>
  </w:footnote>
  <w:footnote w:id="6">
    <w:p w14:paraId="4ECBB5EE" w14:textId="77777777" w:rsidR="0058665F" w:rsidRPr="008F6F16" w:rsidRDefault="0058665F" w:rsidP="0058665F">
      <w:pPr>
        <w:pStyle w:val="FootnoteText"/>
        <w:rPr>
          <w:sz w:val="18"/>
          <w:szCs w:val="18"/>
        </w:rPr>
      </w:pPr>
      <w:r>
        <w:rPr>
          <w:rStyle w:val="FootnoteReference"/>
        </w:rPr>
        <w:footnoteRef/>
      </w:r>
      <w:r>
        <w:t xml:space="preserve"> </w:t>
      </w:r>
      <w:r w:rsidRPr="008D336D">
        <w:rPr>
          <w:sz w:val="18"/>
          <w:szCs w:val="18"/>
        </w:rPr>
        <w:t xml:space="preserve">See </w:t>
      </w:r>
      <w:hyperlink r:id="rId5" w:history="1">
        <w:r w:rsidRPr="004C4A1D">
          <w:rPr>
            <w:rStyle w:val="Hyperlink"/>
            <w:sz w:val="18"/>
            <w:szCs w:val="18"/>
          </w:rPr>
          <w:t>https://www.sec.gov/files/Risk%20Alert%20-%20Credential%20Compromise.pdf</w:t>
        </w:r>
      </w:hyperlink>
      <w:r>
        <w:rPr>
          <w:sz w:val="18"/>
          <w:szCs w:val="18"/>
        </w:rPr>
        <w:t xml:space="preserve"> </w:t>
      </w:r>
    </w:p>
  </w:footnote>
  <w:footnote w:id="7">
    <w:p w14:paraId="780F3E54" w14:textId="77777777" w:rsidR="0058665F" w:rsidRDefault="0058665F" w:rsidP="0058665F">
      <w:pPr>
        <w:pStyle w:val="FootnoteText"/>
      </w:pPr>
      <w:r w:rsidRPr="008F6F16">
        <w:rPr>
          <w:rStyle w:val="FootnoteReference"/>
          <w:sz w:val="18"/>
          <w:szCs w:val="18"/>
        </w:rPr>
        <w:footnoteRef/>
      </w:r>
      <w:r w:rsidRPr="008F6F16">
        <w:rPr>
          <w:sz w:val="18"/>
          <w:szCs w:val="18"/>
        </w:rPr>
        <w:t xml:space="preserve"> See “Supplement to Commission Guidance Regarding Proxy Voting Responsibilities of Investment Advisers” </w:t>
      </w:r>
      <w:hyperlink r:id="rId6" w:history="1">
        <w:r w:rsidRPr="00073FA2">
          <w:rPr>
            <w:rStyle w:val="Hyperlink"/>
            <w:sz w:val="18"/>
            <w:szCs w:val="18"/>
          </w:rPr>
          <w:t>https://www.sec.gov/rules/policy/2020/ia-5547.pdf</w:t>
        </w:r>
      </w:hyperlink>
      <w:r>
        <w:rPr>
          <w:sz w:val="18"/>
          <w:szCs w:val="18"/>
        </w:rPr>
        <w:t xml:space="preserve"> </w:t>
      </w:r>
    </w:p>
  </w:footnote>
  <w:footnote w:id="8">
    <w:p w14:paraId="7BD718AB" w14:textId="77777777" w:rsidR="0058665F" w:rsidRDefault="0058665F" w:rsidP="0058665F">
      <w:pPr>
        <w:pStyle w:val="FootnoteText"/>
      </w:pPr>
      <w:r>
        <w:rPr>
          <w:rStyle w:val="FootnoteReference"/>
        </w:rPr>
        <w:footnoteRef/>
      </w:r>
      <w:r>
        <w:t xml:space="preserve"> </w:t>
      </w:r>
      <w:r w:rsidRPr="009F6D39">
        <w:rPr>
          <w:sz w:val="18"/>
          <w:szCs w:val="18"/>
        </w:rPr>
        <w:t xml:space="preserve">See </w:t>
      </w:r>
      <w:hyperlink r:id="rId7" w:history="1">
        <w:r w:rsidRPr="004C4A1D">
          <w:rPr>
            <w:rStyle w:val="Hyperlink"/>
            <w:sz w:val="18"/>
            <w:szCs w:val="18"/>
          </w:rPr>
          <w:t>https://www.sec.gov/files/Risk%20Alert%20-%20Ransomware.pdf</w:t>
        </w:r>
      </w:hyperlink>
      <w:r>
        <w:rPr>
          <w:sz w:val="18"/>
          <w:szCs w:val="18"/>
        </w:rPr>
        <w:t xml:space="preserve"> </w:t>
      </w:r>
    </w:p>
  </w:footnote>
  <w:footnote w:id="9">
    <w:p w14:paraId="05DA5794" w14:textId="77777777" w:rsidR="0058665F" w:rsidRDefault="0058665F" w:rsidP="0058665F">
      <w:pPr>
        <w:pStyle w:val="FootnoteText"/>
      </w:pPr>
      <w:r>
        <w:rPr>
          <w:rStyle w:val="FootnoteReference"/>
        </w:rPr>
        <w:footnoteRef/>
      </w:r>
      <w:r>
        <w:t xml:space="preserve"> </w:t>
      </w:r>
      <w:r w:rsidRPr="00826C32">
        <w:rPr>
          <w:sz w:val="18"/>
          <w:szCs w:val="18"/>
        </w:rPr>
        <w:t xml:space="preserve">See CISA Alert – Dridex Malware </w:t>
      </w:r>
      <w:hyperlink r:id="rId8" w:history="1">
        <w:r w:rsidRPr="00826C32">
          <w:rPr>
            <w:rStyle w:val="Hyperlink"/>
            <w:sz w:val="18"/>
            <w:szCs w:val="18"/>
          </w:rPr>
          <w:t>https://us-cert.cisa.gov/ncas/alerts/aa19-339a</w:t>
        </w:r>
      </w:hyperlink>
    </w:p>
  </w:footnote>
  <w:footnote w:id="10">
    <w:p w14:paraId="245E7B32" w14:textId="77777777" w:rsidR="0058665F" w:rsidRPr="00004D24" w:rsidRDefault="0058665F" w:rsidP="0058665F">
      <w:pPr>
        <w:pStyle w:val="FootnoteText"/>
        <w:rPr>
          <w:sz w:val="18"/>
          <w:szCs w:val="18"/>
        </w:rPr>
      </w:pPr>
      <w:r>
        <w:rPr>
          <w:rStyle w:val="FootnoteReference"/>
        </w:rPr>
        <w:footnoteRef/>
      </w:r>
      <w:r>
        <w:t xml:space="preserve"> </w:t>
      </w:r>
      <w:r w:rsidRPr="00004D24">
        <w:rPr>
          <w:sz w:val="18"/>
          <w:szCs w:val="18"/>
        </w:rPr>
        <w:t xml:space="preserve">See “Form CRS Relationship Summary; Amendments to Form ADV” </w:t>
      </w:r>
      <w:hyperlink r:id="rId9" w:history="1">
        <w:r w:rsidRPr="00004D24">
          <w:rPr>
            <w:rStyle w:val="Hyperlink"/>
            <w:sz w:val="18"/>
            <w:szCs w:val="18"/>
          </w:rPr>
          <w:t>https://www.sec.gov/rules/final/2019/34-86032.pdf</w:t>
        </w:r>
      </w:hyperlink>
      <w:r w:rsidRPr="00447ADC">
        <w:rPr>
          <w:sz w:val="18"/>
          <w:szCs w:val="18"/>
        </w:rPr>
        <w:t>.</w:t>
      </w:r>
    </w:p>
  </w:footnote>
  <w:footnote w:id="11">
    <w:p w14:paraId="57A8EA01" w14:textId="77777777" w:rsidR="0058665F" w:rsidRPr="00447ADC" w:rsidRDefault="0058665F" w:rsidP="0058665F">
      <w:pPr>
        <w:pStyle w:val="FootnoteText"/>
        <w:rPr>
          <w:sz w:val="18"/>
          <w:szCs w:val="18"/>
        </w:rPr>
      </w:pPr>
      <w:r>
        <w:rPr>
          <w:rStyle w:val="FootnoteReference"/>
        </w:rPr>
        <w:footnoteRef/>
      </w:r>
      <w:r>
        <w:t xml:space="preserve"> </w:t>
      </w:r>
      <w:r w:rsidRPr="00447ADC">
        <w:rPr>
          <w:sz w:val="18"/>
          <w:szCs w:val="18"/>
        </w:rPr>
        <w:t xml:space="preserve">See </w:t>
      </w:r>
      <w:hyperlink r:id="rId10" w:history="1">
        <w:r w:rsidRPr="00447ADC">
          <w:rPr>
            <w:rStyle w:val="Hyperlink"/>
            <w:sz w:val="18"/>
            <w:szCs w:val="18"/>
          </w:rPr>
          <w:t>https://www.sec.gov/files/Risk%20Alert%20-%20Form%20CRS%20Exams.pdf</w:t>
        </w:r>
      </w:hyperlink>
      <w:r w:rsidRPr="00447ADC">
        <w:rPr>
          <w:sz w:val="18"/>
          <w:szCs w:val="18"/>
        </w:rPr>
        <w:t>.</w:t>
      </w:r>
    </w:p>
  </w:footnote>
  <w:footnote w:id="12">
    <w:p w14:paraId="06261517" w14:textId="77777777" w:rsidR="0058665F" w:rsidRDefault="0058665F" w:rsidP="0058665F">
      <w:pPr>
        <w:pStyle w:val="FootnoteText"/>
      </w:pPr>
      <w:r>
        <w:rPr>
          <w:rStyle w:val="FootnoteReference"/>
        </w:rPr>
        <w:footnoteRef/>
      </w:r>
      <w:r w:rsidRPr="0061460C">
        <w:rPr>
          <w:sz w:val="18"/>
          <w:szCs w:val="18"/>
        </w:rPr>
        <w:t xml:space="preserve"> See </w:t>
      </w:r>
      <w:hyperlink r:id="rId11" w:history="1">
        <w:r w:rsidRPr="0061460C">
          <w:rPr>
            <w:rStyle w:val="Hyperlink"/>
            <w:sz w:val="18"/>
            <w:szCs w:val="18"/>
          </w:rPr>
          <w:t>https://www.sec.gov/files/Private%20Fund%20Risk%20Alert_0.pdf</w:t>
        </w:r>
      </w:hyperlink>
    </w:p>
  </w:footnote>
  <w:footnote w:id="13">
    <w:p w14:paraId="7E03B5F8" w14:textId="77777777" w:rsidR="0058665F" w:rsidRDefault="0058665F" w:rsidP="0058665F">
      <w:pPr>
        <w:pStyle w:val="FootnoteText"/>
      </w:pPr>
      <w:r>
        <w:rPr>
          <w:rStyle w:val="FootnoteReference"/>
        </w:rPr>
        <w:footnoteRef/>
      </w:r>
      <w:r>
        <w:t xml:space="preserve"> </w:t>
      </w:r>
      <w:r w:rsidRPr="00092B22">
        <w:rPr>
          <w:sz w:val="18"/>
          <w:szCs w:val="18"/>
        </w:rPr>
        <w:t xml:space="preserve">See </w:t>
      </w:r>
      <w:hyperlink r:id="rId12" w:history="1">
        <w:r w:rsidRPr="00092B22">
          <w:rPr>
            <w:rStyle w:val="Hyperlink"/>
            <w:sz w:val="18"/>
            <w:szCs w:val="18"/>
          </w:rPr>
          <w:t>https://www.sec.gov/files/Risk%20Alert%20-%20OCIE%20LIBOR%20Initiative.pdf</w:t>
        </w:r>
      </w:hyperlink>
    </w:p>
  </w:footnote>
  <w:footnote w:id="14">
    <w:p w14:paraId="6F68E826" w14:textId="77777777" w:rsidR="0058665F" w:rsidRPr="004809BD" w:rsidRDefault="0058665F" w:rsidP="0058665F">
      <w:pPr>
        <w:pStyle w:val="FootnoteText"/>
        <w:rPr>
          <w:sz w:val="18"/>
          <w:szCs w:val="18"/>
        </w:rPr>
      </w:pPr>
      <w:r>
        <w:rPr>
          <w:rStyle w:val="FootnoteReference"/>
        </w:rPr>
        <w:footnoteRef/>
      </w:r>
      <w:r>
        <w:t xml:space="preserve"> </w:t>
      </w:r>
      <w:r w:rsidRPr="004809BD">
        <w:rPr>
          <w:sz w:val="18"/>
          <w:szCs w:val="18"/>
        </w:rPr>
        <w:t xml:space="preserve">See “SEC Coronavirus (COVID-19) Response” </w:t>
      </w:r>
      <w:hyperlink r:id="rId13" w:history="1">
        <w:r w:rsidRPr="004809BD">
          <w:rPr>
            <w:rStyle w:val="Hyperlink"/>
            <w:sz w:val="18"/>
            <w:szCs w:val="18"/>
          </w:rPr>
          <w:t>https://www.sec.gov/sec-coronavirus-covid-19-response</w:t>
        </w:r>
      </w:hyperlink>
      <w:r w:rsidRPr="00447ADC">
        <w:rPr>
          <w:sz w:val="18"/>
          <w:szCs w:val="18"/>
        </w:rPr>
        <w:t>.</w:t>
      </w:r>
    </w:p>
  </w:footnote>
  <w:footnote w:id="15">
    <w:p w14:paraId="269ED9CA" w14:textId="77777777" w:rsidR="0058665F" w:rsidRPr="0042702A" w:rsidRDefault="0058665F" w:rsidP="0058665F">
      <w:pPr>
        <w:rPr>
          <w:sz w:val="18"/>
          <w:szCs w:val="18"/>
        </w:rPr>
      </w:pPr>
      <w:r>
        <w:rPr>
          <w:rStyle w:val="FootnoteReference"/>
        </w:rPr>
        <w:footnoteRef/>
      </w:r>
      <w:r>
        <w:t xml:space="preserve"> </w:t>
      </w:r>
      <w:r w:rsidRPr="004809BD">
        <w:rPr>
          <w:sz w:val="18"/>
          <w:szCs w:val="18"/>
        </w:rPr>
        <w:t>See</w:t>
      </w:r>
      <w:r>
        <w:rPr>
          <w:sz w:val="18"/>
          <w:szCs w:val="18"/>
        </w:rPr>
        <w:t xml:space="preserve"> </w:t>
      </w:r>
      <w:hyperlink r:id="rId14" w:history="1">
        <w:r w:rsidRPr="004C4A1D">
          <w:rPr>
            <w:rStyle w:val="Hyperlink"/>
            <w:sz w:val="18"/>
            <w:szCs w:val="18"/>
          </w:rPr>
          <w:t>https://www.sec.gov/files/Risk%20Alert%20-%20COVID-19%20Compliance.pdf</w:t>
        </w:r>
      </w:hyperlink>
      <w:r>
        <w:rPr>
          <w:rStyle w:val="Hyperlink"/>
          <w:color w:val="FF0000"/>
          <w:sz w:val="18"/>
          <w:szCs w:val="18"/>
        </w:rPr>
        <w:t xml:space="preserve"> </w:t>
      </w:r>
    </w:p>
  </w:footnote>
  <w:footnote w:id="16">
    <w:p w14:paraId="3715E816" w14:textId="77777777" w:rsidR="0058665F" w:rsidRPr="009E7C1E" w:rsidRDefault="0058665F" w:rsidP="0058665F">
      <w:pPr>
        <w:pStyle w:val="FootnoteText"/>
        <w:rPr>
          <w:sz w:val="18"/>
          <w:szCs w:val="18"/>
        </w:rPr>
      </w:pPr>
      <w:r>
        <w:rPr>
          <w:rStyle w:val="FootnoteReference"/>
        </w:rPr>
        <w:footnoteRef/>
      </w:r>
      <w:r>
        <w:t xml:space="preserve"> </w:t>
      </w:r>
      <w:r w:rsidRPr="009E7C1E">
        <w:rPr>
          <w:sz w:val="18"/>
          <w:szCs w:val="18"/>
        </w:rPr>
        <w:t>See</w:t>
      </w:r>
      <w:r>
        <w:rPr>
          <w:sz w:val="18"/>
          <w:szCs w:val="18"/>
        </w:rPr>
        <w:t xml:space="preserve"> “Report on OCIE Cybersecurity and Resiliency Observations”</w:t>
      </w:r>
      <w:r w:rsidRPr="009E7C1E">
        <w:rPr>
          <w:sz w:val="18"/>
          <w:szCs w:val="18"/>
        </w:rPr>
        <w:t xml:space="preserve"> </w:t>
      </w:r>
      <w:hyperlink r:id="rId15" w:history="1">
        <w:r w:rsidRPr="009E7C1E">
          <w:rPr>
            <w:rStyle w:val="Hyperlink"/>
            <w:sz w:val="18"/>
            <w:szCs w:val="18"/>
          </w:rPr>
          <w:t>https://www.sec.gov/files/OCIE%20Cybersecurity%20and%20Resiliency%20Observations.pdf</w:t>
        </w:r>
      </w:hyperlink>
      <w:r w:rsidRPr="00447ADC">
        <w:rPr>
          <w:sz w:val="18"/>
          <w:szCs w:val="18"/>
        </w:rPr>
        <w:t>.</w:t>
      </w:r>
    </w:p>
  </w:footnote>
  <w:footnote w:id="17">
    <w:p w14:paraId="5E755554" w14:textId="77777777" w:rsidR="0058665F" w:rsidRDefault="0058665F" w:rsidP="0058665F">
      <w:pPr>
        <w:pStyle w:val="FootnoteText"/>
      </w:pPr>
      <w:r>
        <w:rPr>
          <w:rStyle w:val="FootnoteReference"/>
        </w:rPr>
        <w:footnoteRef/>
      </w:r>
      <w:r>
        <w:t xml:space="preserve"> </w:t>
      </w:r>
      <w:r w:rsidRPr="007E1F48">
        <w:rPr>
          <w:sz w:val="18"/>
          <w:szCs w:val="18"/>
        </w:rPr>
        <w:t xml:space="preserve">See </w:t>
      </w:r>
      <w:hyperlink r:id="rId16" w:history="1">
        <w:r w:rsidRPr="007E1F48">
          <w:rPr>
            <w:rStyle w:val="Hyperlink"/>
            <w:sz w:val="18"/>
            <w:szCs w:val="18"/>
          </w:rPr>
          <w:t>https://www.sec.gov/files/OCIE%20Risk%20Alert%20-%20Principal%20and%20Agency%20Cross%20Trading.pdf</w:t>
        </w:r>
      </w:hyperlink>
      <w:r w:rsidRPr="00447ADC">
        <w:rPr>
          <w:sz w:val="18"/>
          <w:szCs w:val="18"/>
        </w:rPr>
        <w:t>.</w:t>
      </w:r>
    </w:p>
  </w:footnote>
  <w:footnote w:id="18">
    <w:p w14:paraId="56576057" w14:textId="77777777" w:rsidR="0058665F" w:rsidRDefault="0058665F" w:rsidP="0058665F">
      <w:pPr>
        <w:pStyle w:val="FootnoteText"/>
      </w:pPr>
      <w:r>
        <w:rPr>
          <w:rStyle w:val="FootnoteReference"/>
        </w:rPr>
        <w:footnoteRef/>
      </w:r>
      <w:r>
        <w:t xml:space="preserve"> </w:t>
      </w:r>
      <w:r w:rsidRPr="00AB2565">
        <w:rPr>
          <w:sz w:val="18"/>
          <w:szCs w:val="18"/>
        </w:rPr>
        <w:t>See</w:t>
      </w:r>
      <w:r>
        <w:rPr>
          <w:sz w:val="18"/>
          <w:szCs w:val="18"/>
        </w:rPr>
        <w:t xml:space="preserve"> “Commission Guidance Regarding Proxy Voting Responsibilities of Investment Advisers”</w:t>
      </w:r>
      <w:r w:rsidRPr="00AB2565">
        <w:rPr>
          <w:sz w:val="18"/>
          <w:szCs w:val="18"/>
        </w:rPr>
        <w:t xml:space="preserve"> </w:t>
      </w:r>
      <w:hyperlink r:id="rId17" w:history="1">
        <w:r w:rsidRPr="00AB2565">
          <w:rPr>
            <w:rStyle w:val="Hyperlink"/>
            <w:sz w:val="18"/>
            <w:szCs w:val="18"/>
          </w:rPr>
          <w:t>https://www.sec.gov/rules/interp/2019/ia-5325.pdf</w:t>
        </w:r>
      </w:hyperlink>
      <w:r w:rsidRPr="00447ADC">
        <w:rPr>
          <w:sz w:val="18"/>
          <w:szCs w:val="18"/>
        </w:rPr>
        <w:t>.</w:t>
      </w:r>
    </w:p>
  </w:footnote>
  <w:footnote w:id="19">
    <w:p w14:paraId="7117C7DD" w14:textId="77777777" w:rsidR="0058665F" w:rsidRPr="003A46A7" w:rsidRDefault="0058665F" w:rsidP="0058665F">
      <w:pPr>
        <w:pStyle w:val="FootnoteText"/>
        <w:rPr>
          <w:sz w:val="18"/>
          <w:szCs w:val="18"/>
        </w:rPr>
      </w:pPr>
      <w:r>
        <w:rPr>
          <w:rStyle w:val="FootnoteReference"/>
        </w:rPr>
        <w:footnoteRef/>
      </w:r>
      <w:r>
        <w:t xml:space="preserve"> </w:t>
      </w:r>
      <w:r w:rsidRPr="003A46A7">
        <w:rPr>
          <w:sz w:val="18"/>
          <w:szCs w:val="18"/>
        </w:rPr>
        <w:t xml:space="preserve">See </w:t>
      </w:r>
      <w:hyperlink r:id="rId18" w:history="1">
        <w:r w:rsidRPr="003A46A7">
          <w:rPr>
            <w:rStyle w:val="Hyperlink"/>
            <w:sz w:val="18"/>
            <w:szCs w:val="18"/>
          </w:rPr>
          <w:t>https://www.sec.gov/files/OCIE%20Risk%20Alert%20-%20Supervision%20Initiative.pdf</w:t>
        </w:r>
      </w:hyperlink>
      <w:r w:rsidRPr="00447ADC">
        <w:rPr>
          <w:sz w:val="18"/>
          <w:szCs w:val="18"/>
        </w:rPr>
        <w:t>.</w:t>
      </w:r>
    </w:p>
  </w:footnote>
  <w:footnote w:id="20">
    <w:p w14:paraId="385B5675" w14:textId="77777777" w:rsidR="0058665F" w:rsidRPr="00FA60F9" w:rsidRDefault="0058665F" w:rsidP="0058665F">
      <w:pPr>
        <w:jc w:val="left"/>
        <w:rPr>
          <w:rFonts w:cs="Arial"/>
          <w:sz w:val="18"/>
          <w:szCs w:val="18"/>
        </w:rPr>
      </w:pPr>
      <w:r w:rsidRPr="00FC26DF">
        <w:rPr>
          <w:rStyle w:val="FootnoteReference"/>
          <w:rFonts w:cs="Arial"/>
          <w:sz w:val="18"/>
          <w:szCs w:val="18"/>
        </w:rPr>
        <w:footnoteRef/>
      </w:r>
      <w:r w:rsidRPr="00FC26DF">
        <w:rPr>
          <w:rFonts w:cs="Arial"/>
          <w:sz w:val="18"/>
          <w:szCs w:val="18"/>
        </w:rPr>
        <w:t xml:space="preserve"> </w:t>
      </w:r>
      <w:r>
        <w:rPr>
          <w:sz w:val="18"/>
          <w:szCs w:val="18"/>
        </w:rPr>
        <w:t>The “Federal Securities Laws” include the Securities Act of 1933, as amended (the “Securities Act”); the Securities Exchange Act of 1934, as amended (the “Exchange Act”); the Sarbanes-Oxley Act of 2002, as amended; the Investment Company Act of 1940, as amended (the “IC Act”); the Advisers Act, as amended; Title V of the Gramm-Leach-Bliley Act, as amended; the Dodd-Frank Wall Street Reform and Consumer Protection Act of 2010 (the “Dodd-Frank Act”); any rules adopted by the SEC under any of these statutes; and the Bank Secrecy Act (the “BSA”) as it applies to investment companies and investment advisers, and any rules adopted thereunder by the SEC or the Department of the Treasury.</w:t>
      </w:r>
    </w:p>
  </w:footnote>
  <w:footnote w:id="21">
    <w:p w14:paraId="23109302" w14:textId="77777777" w:rsidR="0058665F" w:rsidRPr="00D76599" w:rsidRDefault="0058665F" w:rsidP="0058665F">
      <w:pPr>
        <w:pStyle w:val="FootnoteText"/>
        <w:rPr>
          <w:sz w:val="18"/>
        </w:rPr>
      </w:pPr>
      <w:r w:rsidRPr="00D76599">
        <w:rPr>
          <w:rStyle w:val="FootnoteReference"/>
          <w:sz w:val="18"/>
        </w:rPr>
        <w:footnoteRef/>
      </w:r>
      <w:r w:rsidRPr="00D76599">
        <w:rPr>
          <w:sz w:val="18"/>
        </w:rPr>
        <w:t xml:space="preserve"> The Fixing America’s Surface Transportation Act (“FAST Act”), signed into law in December 2015, amended the Gramm-Leach-Bliley Act and provides an exception to the annual delivery requirement for any financial institution that (i) does not share nonpublic personal information with nonaffiliated third parties </w:t>
      </w:r>
      <w:r w:rsidRPr="002A5C21">
        <w:rPr>
          <w:sz w:val="18"/>
        </w:rPr>
        <w:t>other than as</w:t>
      </w:r>
      <w:r w:rsidRPr="00D76599">
        <w:rPr>
          <w:sz w:val="18"/>
        </w:rPr>
        <w:t xml:space="preserve"> allowed by subsection (b)(2) or (e) of 15 U.S.C § 6802</w:t>
      </w:r>
      <w:r w:rsidRPr="002A5C21">
        <w:rPr>
          <w:sz w:val="18"/>
          <w:szCs w:val="18"/>
        </w:rPr>
        <w:t>,</w:t>
      </w:r>
      <w:r w:rsidRPr="00D76599">
        <w:rPr>
          <w:sz w:val="18"/>
        </w:rPr>
        <w:t xml:space="preserve"> and (ii) has not changed its policies and practices from the policies and practices that were disclosed in the most recent privacy notice distributed.</w:t>
      </w:r>
    </w:p>
  </w:footnote>
  <w:footnote w:id="22">
    <w:p w14:paraId="4DE478A9" w14:textId="77777777" w:rsidR="0058665F" w:rsidRPr="00FC26DF" w:rsidRDefault="0058665F" w:rsidP="0058665F">
      <w:pPr>
        <w:rPr>
          <w:rFonts w:cs="Arial"/>
          <w:sz w:val="18"/>
          <w:szCs w:val="18"/>
        </w:rPr>
      </w:pPr>
      <w:r w:rsidRPr="00FC26DF">
        <w:rPr>
          <w:rStyle w:val="FootnoteReference"/>
          <w:rFonts w:cs="Arial"/>
          <w:sz w:val="18"/>
          <w:szCs w:val="18"/>
        </w:rPr>
        <w:footnoteRef/>
      </w:r>
      <w:r w:rsidRPr="00FC26DF">
        <w:rPr>
          <w:rStyle w:val="FootnoteReference"/>
          <w:rFonts w:cs="Arial"/>
          <w:sz w:val="18"/>
          <w:szCs w:val="18"/>
          <w:vertAlign w:val="baseline"/>
        </w:rPr>
        <w:t xml:space="preserve"> </w:t>
      </w:r>
      <w:r w:rsidRPr="00FC26DF">
        <w:rPr>
          <w:rFonts w:cs="Arial"/>
          <w:sz w:val="18"/>
          <w:szCs w:val="18"/>
        </w:rPr>
        <w:t xml:space="preserve">In a letter issued to </w:t>
      </w:r>
      <w:r w:rsidRPr="00C1205B">
        <w:rPr>
          <w:rFonts w:cs="Arial"/>
          <w:i/>
          <w:sz w:val="18"/>
          <w:szCs w:val="18"/>
        </w:rPr>
        <w:t>Munder Capital Management</w:t>
      </w:r>
      <w:r w:rsidRPr="00FC26DF">
        <w:rPr>
          <w:rFonts w:cs="Arial"/>
          <w:sz w:val="18"/>
          <w:szCs w:val="18"/>
        </w:rPr>
        <w:t xml:space="preserve"> (May 17, 1996), the</w:t>
      </w:r>
      <w:r>
        <w:rPr>
          <w:rFonts w:cs="Arial"/>
          <w:sz w:val="18"/>
          <w:szCs w:val="18"/>
        </w:rPr>
        <w:t xml:space="preserve"> SEC</w:t>
      </w:r>
      <w:r w:rsidRPr="00FC26DF">
        <w:rPr>
          <w:rFonts w:cs="Arial"/>
          <w:sz w:val="18"/>
          <w:szCs w:val="18"/>
        </w:rPr>
        <w:t xml:space="preserve"> staff stated that this broad definition encompasses materials designed to maintain existing clients or solicit new clients.</w:t>
      </w:r>
    </w:p>
  </w:footnote>
  <w:footnote w:id="23">
    <w:p w14:paraId="50F5C96E" w14:textId="77777777" w:rsidR="0058665F" w:rsidRPr="00FC26DF" w:rsidRDefault="0058665F" w:rsidP="0058665F">
      <w:pPr>
        <w:pStyle w:val="FootnoteText"/>
        <w:ind w:left="720" w:hanging="720"/>
        <w:rPr>
          <w:rFonts w:cs="Arial"/>
          <w:sz w:val="18"/>
          <w:szCs w:val="18"/>
        </w:rPr>
      </w:pPr>
      <w:r w:rsidRPr="00FC26DF">
        <w:rPr>
          <w:rStyle w:val="FootnoteReference"/>
          <w:rFonts w:cs="Arial"/>
          <w:sz w:val="18"/>
          <w:szCs w:val="18"/>
        </w:rPr>
        <w:footnoteRef/>
      </w:r>
      <w:r w:rsidRPr="00FC26DF">
        <w:rPr>
          <w:rFonts w:cs="Arial"/>
          <w:sz w:val="18"/>
          <w:szCs w:val="18"/>
        </w:rPr>
        <w:t xml:space="preserve"> A “solicitor” is defined as any person who, directly or indirectly, solicits any client for, or refers any client to, an investment adviser.</w:t>
      </w:r>
    </w:p>
  </w:footnote>
  <w:footnote w:id="24">
    <w:p w14:paraId="003D593B" w14:textId="77777777" w:rsidR="0058665F" w:rsidRPr="00FC26DF" w:rsidRDefault="0058665F" w:rsidP="0058665F">
      <w:pPr>
        <w:pStyle w:val="FootnoteText"/>
        <w:rPr>
          <w:rFonts w:cs="Arial"/>
          <w:sz w:val="18"/>
          <w:szCs w:val="18"/>
        </w:rPr>
      </w:pPr>
      <w:r w:rsidRPr="00FC26DF">
        <w:rPr>
          <w:rStyle w:val="FootnoteReference"/>
          <w:rFonts w:cs="Arial"/>
          <w:sz w:val="18"/>
          <w:szCs w:val="18"/>
        </w:rPr>
        <w:footnoteRef/>
      </w:r>
      <w:r w:rsidRPr="00FC26DF">
        <w:rPr>
          <w:rFonts w:cs="Arial"/>
          <w:sz w:val="18"/>
          <w:szCs w:val="18"/>
        </w:rPr>
        <w:t xml:space="preserve"> Please see the </w:t>
      </w:r>
      <w:r>
        <w:rPr>
          <w:rFonts w:cs="Arial"/>
          <w:sz w:val="18"/>
          <w:szCs w:val="18"/>
        </w:rPr>
        <w:t xml:space="preserve">SEC staff </w:t>
      </w:r>
      <w:r w:rsidRPr="00FC26DF">
        <w:rPr>
          <w:rFonts w:cs="Arial"/>
          <w:sz w:val="18"/>
          <w:szCs w:val="18"/>
        </w:rPr>
        <w:t xml:space="preserve">letter issued to </w:t>
      </w:r>
      <w:r w:rsidRPr="0044162A">
        <w:rPr>
          <w:rFonts w:cs="Arial"/>
          <w:i/>
          <w:sz w:val="18"/>
          <w:szCs w:val="18"/>
        </w:rPr>
        <w:t>Mayer Brown LLP</w:t>
      </w:r>
      <w:r w:rsidRPr="00FC26DF">
        <w:rPr>
          <w:rFonts w:cs="Arial"/>
          <w:sz w:val="18"/>
          <w:szCs w:val="18"/>
        </w:rPr>
        <w:t xml:space="preserve"> (July 15, 2008) for additional guidance about the applicability of the Cash Solicitation Rule to fees paid for the solicitation of investors in a private fund. </w:t>
      </w:r>
    </w:p>
  </w:footnote>
  <w:footnote w:id="25">
    <w:p w14:paraId="4C94DEDC" w14:textId="77777777" w:rsidR="0058665F" w:rsidRPr="00FC26DF" w:rsidRDefault="0058665F" w:rsidP="0058665F">
      <w:pPr>
        <w:pStyle w:val="FootnoteText"/>
        <w:tabs>
          <w:tab w:val="left" w:pos="720"/>
        </w:tabs>
        <w:rPr>
          <w:rFonts w:cs="Arial"/>
          <w:sz w:val="18"/>
          <w:szCs w:val="18"/>
        </w:rPr>
      </w:pPr>
      <w:r w:rsidRPr="00FC26DF">
        <w:rPr>
          <w:rStyle w:val="FootnoteReference"/>
          <w:rFonts w:cs="Arial"/>
          <w:sz w:val="18"/>
          <w:szCs w:val="18"/>
        </w:rPr>
        <w:footnoteRef/>
      </w:r>
      <w:r w:rsidRPr="00FC26DF">
        <w:rPr>
          <w:rFonts w:cs="Arial"/>
          <w:sz w:val="18"/>
          <w:szCs w:val="18"/>
        </w:rPr>
        <w:t xml:space="preserve"> See </w:t>
      </w:r>
      <w:r w:rsidRPr="0040424F">
        <w:rPr>
          <w:rFonts w:cs="Arial"/>
          <w:i/>
          <w:sz w:val="18"/>
          <w:szCs w:val="18"/>
        </w:rPr>
        <w:t>In the Matter of Springer Investment Management, Inc</w:t>
      </w:r>
      <w:r w:rsidRPr="0040424F">
        <w:rPr>
          <w:rFonts w:cs="Arial"/>
          <w:sz w:val="18"/>
          <w:szCs w:val="18"/>
        </w:rPr>
        <w:t>.</w:t>
      </w:r>
      <w:r w:rsidRPr="00FC26DF">
        <w:rPr>
          <w:rFonts w:cs="Arial"/>
          <w:sz w:val="18"/>
          <w:szCs w:val="18"/>
        </w:rPr>
        <w:t xml:space="preserve">, </w:t>
      </w:r>
      <w:r w:rsidRPr="008475B2">
        <w:rPr>
          <w:rFonts w:cs="Arial"/>
          <w:i/>
          <w:sz w:val="18"/>
          <w:szCs w:val="18"/>
        </w:rPr>
        <w:t>Release IA-2434</w:t>
      </w:r>
      <w:r w:rsidRPr="00FC26DF">
        <w:rPr>
          <w:rFonts w:cs="Arial"/>
          <w:sz w:val="18"/>
          <w:szCs w:val="18"/>
        </w:rPr>
        <w:t xml:space="preserve"> (September 21 2005)</w:t>
      </w:r>
      <w:r>
        <w:rPr>
          <w:rFonts w:cs="Arial"/>
          <w:sz w:val="18"/>
          <w:szCs w:val="18"/>
        </w:rPr>
        <w:t>;</w:t>
      </w:r>
      <w:r w:rsidRPr="00FC26DF">
        <w:rPr>
          <w:rFonts w:cs="Arial"/>
          <w:sz w:val="18"/>
          <w:szCs w:val="18"/>
        </w:rPr>
        <w:t xml:space="preserve"> </w:t>
      </w:r>
      <w:r w:rsidRPr="0040424F">
        <w:rPr>
          <w:rFonts w:cs="Arial"/>
          <w:i/>
          <w:iCs/>
          <w:sz w:val="18"/>
          <w:szCs w:val="18"/>
        </w:rPr>
        <w:t>Van Kampen American Capital Asset Management, Inc.</w:t>
      </w:r>
      <w:r w:rsidRPr="00FC26DF">
        <w:rPr>
          <w:rFonts w:cs="Arial"/>
          <w:sz w:val="18"/>
          <w:szCs w:val="18"/>
        </w:rPr>
        <w:t xml:space="preserve">, </w:t>
      </w:r>
      <w:r w:rsidRPr="008475B2">
        <w:rPr>
          <w:rFonts w:cs="Arial"/>
          <w:i/>
          <w:sz w:val="18"/>
          <w:szCs w:val="18"/>
        </w:rPr>
        <w:t>Release IA-1525</w:t>
      </w:r>
      <w:r w:rsidRPr="00FC26DF">
        <w:rPr>
          <w:rFonts w:cs="Arial"/>
          <w:sz w:val="18"/>
          <w:szCs w:val="18"/>
        </w:rPr>
        <w:t xml:space="preserve"> (September 29, 1995)</w:t>
      </w:r>
      <w:r>
        <w:rPr>
          <w:rFonts w:cs="Arial"/>
          <w:sz w:val="18"/>
          <w:szCs w:val="18"/>
        </w:rPr>
        <w:t>;</w:t>
      </w:r>
      <w:r w:rsidRPr="00FC26DF">
        <w:rPr>
          <w:rFonts w:cs="Arial"/>
          <w:sz w:val="18"/>
          <w:szCs w:val="18"/>
        </w:rPr>
        <w:t xml:space="preserve"> </w:t>
      </w:r>
      <w:r w:rsidRPr="0040424F">
        <w:rPr>
          <w:rFonts w:cs="Arial"/>
          <w:i/>
          <w:iCs/>
          <w:sz w:val="18"/>
          <w:szCs w:val="18"/>
        </w:rPr>
        <w:t>In the Matter of Mitchell Hutchins Asset Management, Inc</w:t>
      </w:r>
      <w:r w:rsidRPr="0040424F">
        <w:rPr>
          <w:rFonts w:cs="Arial"/>
          <w:sz w:val="18"/>
          <w:szCs w:val="18"/>
        </w:rPr>
        <w:t>.</w:t>
      </w:r>
      <w:r w:rsidRPr="00FC26DF">
        <w:rPr>
          <w:rFonts w:cs="Arial"/>
          <w:sz w:val="18"/>
          <w:szCs w:val="18"/>
        </w:rPr>
        <w:t xml:space="preserve">, </w:t>
      </w:r>
      <w:r w:rsidRPr="008475B2">
        <w:rPr>
          <w:rFonts w:cs="Arial"/>
          <w:i/>
          <w:sz w:val="18"/>
          <w:szCs w:val="18"/>
        </w:rPr>
        <w:t>Release IA-1654</w:t>
      </w:r>
      <w:r w:rsidRPr="00FC26DF">
        <w:rPr>
          <w:rFonts w:cs="Arial"/>
          <w:sz w:val="18"/>
          <w:szCs w:val="18"/>
        </w:rPr>
        <w:t xml:space="preserve"> (September 2, 1997)</w:t>
      </w:r>
      <w:r>
        <w:rPr>
          <w:rFonts w:cs="Arial"/>
          <w:sz w:val="18"/>
          <w:szCs w:val="18"/>
        </w:rPr>
        <w:t>;</w:t>
      </w:r>
      <w:r w:rsidRPr="00FC26DF">
        <w:rPr>
          <w:rFonts w:cs="Arial"/>
          <w:sz w:val="18"/>
          <w:szCs w:val="18"/>
        </w:rPr>
        <w:t xml:space="preserve"> and </w:t>
      </w:r>
      <w:r w:rsidRPr="0040424F">
        <w:rPr>
          <w:rFonts w:cs="Arial"/>
          <w:i/>
          <w:iCs/>
          <w:sz w:val="18"/>
          <w:szCs w:val="18"/>
        </w:rPr>
        <w:t>In the Matter of Western Asset Management Co. and Legg Mason Fund Adviser, Inc.</w:t>
      </w:r>
      <w:r w:rsidRPr="00FC26DF">
        <w:rPr>
          <w:rFonts w:cs="Arial"/>
          <w:sz w:val="18"/>
          <w:szCs w:val="18"/>
        </w:rPr>
        <w:t xml:space="preserve">, </w:t>
      </w:r>
      <w:r w:rsidRPr="008475B2">
        <w:rPr>
          <w:rFonts w:cs="Arial"/>
          <w:i/>
          <w:sz w:val="18"/>
          <w:szCs w:val="18"/>
        </w:rPr>
        <w:t>Release IA-1980</w:t>
      </w:r>
      <w:r w:rsidRPr="00FC26DF">
        <w:rPr>
          <w:rFonts w:cs="Arial"/>
          <w:sz w:val="18"/>
          <w:szCs w:val="18"/>
        </w:rPr>
        <w:t xml:space="preserve"> (September 28, 2001).</w:t>
      </w:r>
    </w:p>
  </w:footnote>
  <w:footnote w:id="26">
    <w:p w14:paraId="06368122" w14:textId="77777777" w:rsidR="0058665F" w:rsidRPr="006E7888" w:rsidRDefault="0058665F" w:rsidP="0058665F">
      <w:pPr>
        <w:pStyle w:val="FootnoteText"/>
        <w:rPr>
          <w:sz w:val="18"/>
          <w:szCs w:val="18"/>
        </w:rPr>
      </w:pPr>
      <w:r w:rsidRPr="006E7888">
        <w:rPr>
          <w:rStyle w:val="FootnoteReference"/>
          <w:sz w:val="18"/>
          <w:szCs w:val="18"/>
        </w:rPr>
        <w:footnoteRef/>
      </w:r>
      <w:r w:rsidRPr="006E7888">
        <w:rPr>
          <w:sz w:val="18"/>
          <w:szCs w:val="18"/>
        </w:rPr>
        <w:t xml:space="preserve"> An adviser would not be deemed to have a covered account solely because it can withdraw money from an individual’s account to deduct its own advisory fees.</w:t>
      </w:r>
    </w:p>
  </w:footnote>
  <w:footnote w:id="27">
    <w:p w14:paraId="7404A3BB" w14:textId="77777777" w:rsidR="0058665F" w:rsidRDefault="0058665F" w:rsidP="0058665F">
      <w:pPr>
        <w:pStyle w:val="FootnoteText"/>
      </w:pPr>
      <w:r>
        <w:rPr>
          <w:rStyle w:val="FootnoteReference"/>
        </w:rPr>
        <w:footnoteRef/>
      </w:r>
      <w:r>
        <w:t xml:space="preserve"> </w:t>
      </w:r>
      <w:r w:rsidRPr="00D37531">
        <w:rPr>
          <w:sz w:val="18"/>
          <w:szCs w:val="18"/>
        </w:rPr>
        <w:t>See Footnote 15 of the SEC’s Adopting Release for Rule 206(4)-7.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97E" w14:textId="77777777" w:rsidR="00BF66A8" w:rsidRDefault="00730394">
    <w:pPr>
      <w:pStyle w:val="Header"/>
    </w:pPr>
    <w:r>
      <w:rPr>
        <w:noProof/>
      </w:rPr>
      <w:pict w14:anchorId="2F86C1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82" o:spid="_x0000_s2056" type="#_x0000_t136" style="position:absolute;left:0;text-align:left;margin-left:0;margin-top:0;width:525.7pt;height:210.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E48EE" w14:textId="071EE9E4" w:rsidR="00BF66A8" w:rsidRPr="00AC3B7F" w:rsidRDefault="00730394" w:rsidP="009D434D">
    <w:pPr>
      <w:pStyle w:val="Header"/>
      <w:tabs>
        <w:tab w:val="clear" w:pos="4320"/>
        <w:tab w:val="clear" w:pos="8640"/>
      </w:tabs>
      <w:rPr>
        <w:rFonts w:cs="Arial"/>
        <w:sz w:val="22"/>
        <w:szCs w:val="22"/>
      </w:rPr>
    </w:pPr>
    <w:r>
      <w:rPr>
        <w:rFonts w:ascii="Times New Roman" w:hAnsi="Times New Roman"/>
        <w:noProof/>
        <w:sz w:val="24"/>
      </w:rPr>
      <w:pict w14:anchorId="5FBA6D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83" o:spid="_x0000_s2057" type="#_x0000_t136" style="position:absolute;left:0;text-align:left;margin-left:0;margin-top:0;width:525.7pt;height:210.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425E" w14:textId="77777777" w:rsidR="00BF66A8" w:rsidRDefault="00730394">
    <w:pPr>
      <w:pStyle w:val="Header"/>
    </w:pPr>
    <w:r>
      <w:rPr>
        <w:noProof/>
      </w:rPr>
      <w:pict w14:anchorId="0E048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81" o:spid="_x0000_s2055" type="#_x0000_t136" style="position:absolute;left:0;text-align:left;margin-left:0;margin-top:0;width:525.7pt;height:210.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8D2F" w14:textId="77777777" w:rsidR="00BF66A8" w:rsidRDefault="00730394">
    <w:pPr>
      <w:pStyle w:val="Header"/>
    </w:pPr>
    <w:r>
      <w:rPr>
        <w:noProof/>
      </w:rPr>
      <w:pict w14:anchorId="601004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85" o:spid="_x0000_s2059" type="#_x0000_t136" style="position:absolute;left:0;text-align:left;margin-left:0;margin-top:0;width:525.7pt;height:210.25pt;rotation:315;z-index:-2516582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73F6" w14:textId="38C698F5" w:rsidR="00BF66A8" w:rsidRPr="005716FD" w:rsidRDefault="00A46976" w:rsidP="002D6026">
    <w:pPr>
      <w:pStyle w:val="Header"/>
      <w:jc w:val="right"/>
      <w:rPr>
        <w:rFonts w:cs="Arial"/>
        <w:szCs w:val="20"/>
      </w:rPr>
    </w:pPr>
    <w:r>
      <w:rPr>
        <w:rFonts w:cs="Arial"/>
        <w:szCs w:val="20"/>
      </w:rPr>
      <w:t>Attorney-Client Privileged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0A36" w14:textId="77777777" w:rsidR="00BF66A8" w:rsidRDefault="00730394">
    <w:pPr>
      <w:pStyle w:val="Header"/>
    </w:pPr>
    <w:r>
      <w:rPr>
        <w:noProof/>
      </w:rPr>
      <w:pict w14:anchorId="131C1C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84" o:spid="_x0000_s2058" type="#_x0000_t136" style="position:absolute;left:0;text-align:left;margin-left:0;margin-top:0;width:525.7pt;height:210.25pt;rotation:315;z-index:-251658237;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7FD"/>
    <w:multiLevelType w:val="hybridMultilevel"/>
    <w:tmpl w:val="997CC4A0"/>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F05BC"/>
    <w:multiLevelType w:val="hybridMultilevel"/>
    <w:tmpl w:val="BA54A4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B7E5B"/>
    <w:multiLevelType w:val="hybridMultilevel"/>
    <w:tmpl w:val="BBD0BA1E"/>
    <w:lvl w:ilvl="0" w:tplc="C4360316">
      <w:start w:val="1"/>
      <w:numFmt w:val="upperRoman"/>
      <w:lvlText w:val="%1."/>
      <w:lvlJc w:val="left"/>
      <w:pPr>
        <w:ind w:left="1080" w:hanging="72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970C5"/>
    <w:multiLevelType w:val="hybridMultilevel"/>
    <w:tmpl w:val="EC8C4E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DE6C83"/>
    <w:multiLevelType w:val="hybridMultilevel"/>
    <w:tmpl w:val="262EFCB8"/>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C9E4C76E">
      <w:start w:val="1"/>
      <w:numFmt w:val="lowerRoman"/>
      <w:pStyle w:val="Number3"/>
      <w:lvlText w:val="%3."/>
      <w:lvlJc w:val="righ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0400B7"/>
    <w:multiLevelType w:val="hybridMultilevel"/>
    <w:tmpl w:val="10CE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459AC"/>
    <w:multiLevelType w:val="hybridMultilevel"/>
    <w:tmpl w:val="B18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B1FF9"/>
    <w:multiLevelType w:val="hybridMultilevel"/>
    <w:tmpl w:val="6B344C04"/>
    <w:lvl w:ilvl="0" w:tplc="9DD8E22C">
      <w:start w:val="1"/>
      <w:numFmt w:val="lowerLetter"/>
      <w:pStyle w:val="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E76E7B"/>
    <w:multiLevelType w:val="hybridMultilevel"/>
    <w:tmpl w:val="6080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23190"/>
    <w:multiLevelType w:val="hybridMultilevel"/>
    <w:tmpl w:val="38C8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F783C"/>
    <w:multiLevelType w:val="hybridMultilevel"/>
    <w:tmpl w:val="AB80FEA8"/>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A8372E"/>
    <w:multiLevelType w:val="hybridMultilevel"/>
    <w:tmpl w:val="425E9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6412AE"/>
    <w:multiLevelType w:val="hybridMultilevel"/>
    <w:tmpl w:val="9B44F85A"/>
    <w:lvl w:ilvl="0" w:tplc="16B8E3D8">
      <w:start w:val="1"/>
      <w:numFmt w:val="decimal"/>
      <w:pStyle w:val="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86031F"/>
    <w:multiLevelType w:val="hybridMultilevel"/>
    <w:tmpl w:val="F42498C4"/>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4D46CA"/>
    <w:multiLevelType w:val="hybridMultilevel"/>
    <w:tmpl w:val="451CC0C0"/>
    <w:lvl w:ilvl="0" w:tplc="3740F4E6">
      <w:start w:val="1"/>
      <w:numFmt w:val="bullet"/>
      <w:pStyle w:val="Bulle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3C0EDE"/>
    <w:multiLevelType w:val="hybridMultilevel"/>
    <w:tmpl w:val="233CFCC8"/>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B1669A"/>
    <w:multiLevelType w:val="hybridMultilevel"/>
    <w:tmpl w:val="C51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A5BF6"/>
    <w:multiLevelType w:val="hybridMultilevel"/>
    <w:tmpl w:val="4916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4795F"/>
    <w:multiLevelType w:val="hybridMultilevel"/>
    <w:tmpl w:val="013CD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DE687A"/>
    <w:multiLevelType w:val="hybridMultilevel"/>
    <w:tmpl w:val="B8CE2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1506E5"/>
    <w:multiLevelType w:val="hybridMultilevel"/>
    <w:tmpl w:val="4CA6063A"/>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3F6197"/>
    <w:multiLevelType w:val="hybridMultilevel"/>
    <w:tmpl w:val="500E9950"/>
    <w:lvl w:ilvl="0" w:tplc="C2304E9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A4B6D"/>
    <w:multiLevelType w:val="hybridMultilevel"/>
    <w:tmpl w:val="98E89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9268F3"/>
    <w:multiLevelType w:val="hybridMultilevel"/>
    <w:tmpl w:val="1AFA2CD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88962DF"/>
    <w:multiLevelType w:val="hybridMultilevel"/>
    <w:tmpl w:val="826ABF6C"/>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631091"/>
    <w:multiLevelType w:val="hybridMultilevel"/>
    <w:tmpl w:val="7428A6C2"/>
    <w:lvl w:ilvl="0" w:tplc="D9E0078E">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B1D646B"/>
    <w:multiLevelType w:val="hybridMultilevel"/>
    <w:tmpl w:val="46DCD62E"/>
    <w:lvl w:ilvl="0" w:tplc="4ACCDF8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7A2A2F"/>
    <w:multiLevelType w:val="hybridMultilevel"/>
    <w:tmpl w:val="28F81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CB57210"/>
    <w:multiLevelType w:val="hybridMultilevel"/>
    <w:tmpl w:val="3E78F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8E1C1F"/>
    <w:multiLevelType w:val="hybridMultilevel"/>
    <w:tmpl w:val="87B6F510"/>
    <w:lvl w:ilvl="0" w:tplc="08AE36A4">
      <w:start w:val="1"/>
      <w:numFmt w:val="bullet"/>
      <w:pStyle w:val="Bullet1"/>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60079"/>
    <w:multiLevelType w:val="hybridMultilevel"/>
    <w:tmpl w:val="AF804014"/>
    <w:lvl w:ilvl="0" w:tplc="ACE2D46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C95163"/>
    <w:multiLevelType w:val="hybridMultilevel"/>
    <w:tmpl w:val="1CC2A482"/>
    <w:lvl w:ilvl="0" w:tplc="C2304E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206EB7"/>
    <w:multiLevelType w:val="hybridMultilevel"/>
    <w:tmpl w:val="7938E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F84395"/>
    <w:multiLevelType w:val="hybridMultilevel"/>
    <w:tmpl w:val="E5C6A34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6A2C6C0E"/>
    <w:multiLevelType w:val="hybridMultilevel"/>
    <w:tmpl w:val="4A146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62728B"/>
    <w:multiLevelType w:val="hybridMultilevel"/>
    <w:tmpl w:val="451A6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01268"/>
    <w:multiLevelType w:val="hybridMultilevel"/>
    <w:tmpl w:val="6AEC7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3771CA"/>
    <w:multiLevelType w:val="hybridMultilevel"/>
    <w:tmpl w:val="9078D54A"/>
    <w:lvl w:ilvl="0" w:tplc="F28218C0">
      <w:start w:val="1"/>
      <w:numFmt w:val="bullet"/>
      <w:lvlText w:val=""/>
      <w:lvlJc w:val="left"/>
      <w:pPr>
        <w:tabs>
          <w:tab w:val="num" w:pos="360"/>
        </w:tabs>
        <w:ind w:left="360" w:hanging="360"/>
      </w:pPr>
      <w:rPr>
        <w:rFonts w:ascii="Symbol" w:hAnsi="Symbol" w:hint="default"/>
        <w:color w:val="auto"/>
        <w:sz w:val="22"/>
      </w:rPr>
    </w:lvl>
    <w:lvl w:ilvl="1" w:tplc="F28218C0">
      <w:start w:val="1"/>
      <w:numFmt w:val="bullet"/>
      <w:lvlText w:val=""/>
      <w:lvlJc w:val="left"/>
      <w:pPr>
        <w:tabs>
          <w:tab w:val="num" w:pos="360"/>
        </w:tabs>
        <w:ind w:left="360" w:hanging="360"/>
      </w:pPr>
      <w:rPr>
        <w:rFonts w:ascii="Symbol" w:hAnsi="Symbol" w:hint="default"/>
        <w:color w:val="auto"/>
        <w:sz w:val="22"/>
      </w:rPr>
    </w:lvl>
    <w:lvl w:ilvl="2" w:tplc="39FABB90">
      <w:start w:val="2"/>
      <w:numFmt w:val="upperLetter"/>
      <w:lvlText w:val="%3."/>
      <w:lvlJc w:val="left"/>
      <w:pPr>
        <w:tabs>
          <w:tab w:val="num" w:pos="2340"/>
        </w:tabs>
        <w:ind w:left="2340" w:hanging="720"/>
      </w:pPr>
      <w:rPr>
        <w:rFonts w:hint="default"/>
      </w:rPr>
    </w:lvl>
    <w:lvl w:ilvl="3" w:tplc="09A20636">
      <w:start w:val="1"/>
      <w:numFmt w:val="bullet"/>
      <w:pStyle w:val="Bullet2"/>
      <w:lvlText w:val=""/>
      <w:lvlJc w:val="left"/>
      <w:pPr>
        <w:tabs>
          <w:tab w:val="num" w:pos="2520"/>
        </w:tabs>
        <w:ind w:left="2520" w:hanging="360"/>
      </w:pPr>
      <w:rPr>
        <w:rFonts w:ascii="Symbol" w:hAnsi="Symbol" w:hint="default"/>
        <w:color w:val="auto"/>
        <w:sz w:val="22"/>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66E384C"/>
    <w:multiLevelType w:val="hybridMultilevel"/>
    <w:tmpl w:val="17F097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15:restartNumberingAfterBreak="0">
    <w:nsid w:val="77553A0C"/>
    <w:multiLevelType w:val="hybridMultilevel"/>
    <w:tmpl w:val="5268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9A2537"/>
    <w:multiLevelType w:val="hybridMultilevel"/>
    <w:tmpl w:val="57329F1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60647A"/>
    <w:multiLevelType w:val="hybridMultilevel"/>
    <w:tmpl w:val="4FC223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25"/>
  </w:num>
  <w:num w:numId="4">
    <w:abstractNumId w:val="41"/>
  </w:num>
  <w:num w:numId="5">
    <w:abstractNumId w:val="37"/>
  </w:num>
  <w:num w:numId="6">
    <w:abstractNumId w:val="30"/>
  </w:num>
  <w:num w:numId="7">
    <w:abstractNumId w:val="0"/>
  </w:num>
  <w:num w:numId="8">
    <w:abstractNumId w:val="31"/>
  </w:num>
  <w:num w:numId="9">
    <w:abstractNumId w:val="21"/>
  </w:num>
  <w:num w:numId="10">
    <w:abstractNumId w:val="2"/>
  </w:num>
  <w:num w:numId="11">
    <w:abstractNumId w:val="36"/>
  </w:num>
  <w:num w:numId="12">
    <w:abstractNumId w:val="40"/>
  </w:num>
  <w:num w:numId="13">
    <w:abstractNumId w:val="20"/>
  </w:num>
  <w:num w:numId="14">
    <w:abstractNumId w:val="13"/>
  </w:num>
  <w:num w:numId="15">
    <w:abstractNumId w:val="26"/>
  </w:num>
  <w:num w:numId="16">
    <w:abstractNumId w:val="10"/>
  </w:num>
  <w:num w:numId="17">
    <w:abstractNumId w:val="15"/>
  </w:num>
  <w:num w:numId="18">
    <w:abstractNumId w:val="4"/>
  </w:num>
  <w:num w:numId="19">
    <w:abstractNumId w:val="24"/>
  </w:num>
  <w:num w:numId="20">
    <w:abstractNumId w:val="32"/>
  </w:num>
  <w:num w:numId="21">
    <w:abstractNumId w:val="11"/>
  </w:num>
  <w:num w:numId="22">
    <w:abstractNumId w:val="19"/>
  </w:num>
  <w:num w:numId="23">
    <w:abstractNumId w:val="22"/>
  </w:num>
  <w:num w:numId="24">
    <w:abstractNumId w:val="34"/>
  </w:num>
  <w:num w:numId="25">
    <w:abstractNumId w:val="38"/>
  </w:num>
  <w:num w:numId="26">
    <w:abstractNumId w:val="18"/>
  </w:num>
  <w:num w:numId="27">
    <w:abstractNumId w:val="6"/>
  </w:num>
  <w:num w:numId="28">
    <w:abstractNumId w:val="17"/>
  </w:num>
  <w:num w:numId="29">
    <w:abstractNumId w:val="27"/>
  </w:num>
  <w:num w:numId="30">
    <w:abstractNumId w:val="35"/>
  </w:num>
  <w:num w:numId="31">
    <w:abstractNumId w:val="12"/>
  </w:num>
  <w:num w:numId="32">
    <w:abstractNumId w:val="14"/>
  </w:num>
  <w:num w:numId="33">
    <w:abstractNumId w:val="7"/>
  </w:num>
  <w:num w:numId="34">
    <w:abstractNumId w:val="8"/>
  </w:num>
  <w:num w:numId="35">
    <w:abstractNumId w:val="29"/>
  </w:num>
  <w:num w:numId="36">
    <w:abstractNumId w:val="5"/>
  </w:num>
  <w:num w:numId="37">
    <w:abstractNumId w:val="9"/>
  </w:num>
  <w:num w:numId="38">
    <w:abstractNumId w:val="16"/>
  </w:num>
  <w:num w:numId="39">
    <w:abstractNumId w:val="39"/>
  </w:num>
  <w:num w:numId="40">
    <w:abstractNumId w:val="1"/>
  </w:num>
  <w:num w:numId="41">
    <w:abstractNumId w:val="23"/>
  </w:num>
  <w:num w:numId="42">
    <w:abstractNumId w:val="3"/>
  </w:num>
  <w:num w:numId="43">
    <w:abstractNumId w:val="37"/>
    <w:lvlOverride w:ilvl="0"/>
    <w:lvlOverride w:ilvl="1"/>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60">
      <o:colormru v:ext="edit" colors="#eaeaea,#99f,#9999c2,#cccce1,#435e85,#006,#3e567a,#1c567a"/>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462"/>
    <w:rsid w:val="00001319"/>
    <w:rsid w:val="00001F50"/>
    <w:rsid w:val="000023A1"/>
    <w:rsid w:val="000025F9"/>
    <w:rsid w:val="000039C6"/>
    <w:rsid w:val="0000488C"/>
    <w:rsid w:val="00004D24"/>
    <w:rsid w:val="0000525B"/>
    <w:rsid w:val="00005B3B"/>
    <w:rsid w:val="00005B95"/>
    <w:rsid w:val="00006566"/>
    <w:rsid w:val="00006AC3"/>
    <w:rsid w:val="00006C26"/>
    <w:rsid w:val="00007BEF"/>
    <w:rsid w:val="00010FC7"/>
    <w:rsid w:val="00011AE3"/>
    <w:rsid w:val="00011D74"/>
    <w:rsid w:val="00011E6C"/>
    <w:rsid w:val="000125CA"/>
    <w:rsid w:val="00012721"/>
    <w:rsid w:val="00012948"/>
    <w:rsid w:val="00012B24"/>
    <w:rsid w:val="00012F90"/>
    <w:rsid w:val="000130A1"/>
    <w:rsid w:val="000138DA"/>
    <w:rsid w:val="00014213"/>
    <w:rsid w:val="00014CD6"/>
    <w:rsid w:val="0001508D"/>
    <w:rsid w:val="000169AA"/>
    <w:rsid w:val="00016DF6"/>
    <w:rsid w:val="00016E19"/>
    <w:rsid w:val="00016EF3"/>
    <w:rsid w:val="000208A9"/>
    <w:rsid w:val="00020F2F"/>
    <w:rsid w:val="0002148F"/>
    <w:rsid w:val="000223A6"/>
    <w:rsid w:val="000233A4"/>
    <w:rsid w:val="00023904"/>
    <w:rsid w:val="000243F5"/>
    <w:rsid w:val="000248BF"/>
    <w:rsid w:val="00024951"/>
    <w:rsid w:val="00024DBD"/>
    <w:rsid w:val="00026165"/>
    <w:rsid w:val="00026E84"/>
    <w:rsid w:val="00027536"/>
    <w:rsid w:val="00027784"/>
    <w:rsid w:val="00027825"/>
    <w:rsid w:val="00030038"/>
    <w:rsid w:val="0003031E"/>
    <w:rsid w:val="0003050A"/>
    <w:rsid w:val="000309A6"/>
    <w:rsid w:val="00030E16"/>
    <w:rsid w:val="0003103A"/>
    <w:rsid w:val="0003118A"/>
    <w:rsid w:val="0003146A"/>
    <w:rsid w:val="000315BE"/>
    <w:rsid w:val="0003179D"/>
    <w:rsid w:val="00032321"/>
    <w:rsid w:val="00033934"/>
    <w:rsid w:val="000342DC"/>
    <w:rsid w:val="00034678"/>
    <w:rsid w:val="00034C21"/>
    <w:rsid w:val="00034C69"/>
    <w:rsid w:val="000351EC"/>
    <w:rsid w:val="00035A58"/>
    <w:rsid w:val="00035CCD"/>
    <w:rsid w:val="00035D1E"/>
    <w:rsid w:val="00035D5A"/>
    <w:rsid w:val="0003696E"/>
    <w:rsid w:val="00036BD3"/>
    <w:rsid w:val="00036E74"/>
    <w:rsid w:val="00037228"/>
    <w:rsid w:val="00037F8E"/>
    <w:rsid w:val="00037FC8"/>
    <w:rsid w:val="00040048"/>
    <w:rsid w:val="00040DF6"/>
    <w:rsid w:val="00041228"/>
    <w:rsid w:val="00041C42"/>
    <w:rsid w:val="00042ED0"/>
    <w:rsid w:val="00042F33"/>
    <w:rsid w:val="000430FB"/>
    <w:rsid w:val="00043317"/>
    <w:rsid w:val="000437B6"/>
    <w:rsid w:val="0004387C"/>
    <w:rsid w:val="0004402A"/>
    <w:rsid w:val="00044B3F"/>
    <w:rsid w:val="00045063"/>
    <w:rsid w:val="000450FA"/>
    <w:rsid w:val="00045154"/>
    <w:rsid w:val="00047282"/>
    <w:rsid w:val="000473E5"/>
    <w:rsid w:val="0004761A"/>
    <w:rsid w:val="00047647"/>
    <w:rsid w:val="00047C56"/>
    <w:rsid w:val="00047D32"/>
    <w:rsid w:val="0005018B"/>
    <w:rsid w:val="0005055F"/>
    <w:rsid w:val="0005092A"/>
    <w:rsid w:val="00050E8A"/>
    <w:rsid w:val="0005117C"/>
    <w:rsid w:val="0005128A"/>
    <w:rsid w:val="00051801"/>
    <w:rsid w:val="00051983"/>
    <w:rsid w:val="00051D13"/>
    <w:rsid w:val="000526D2"/>
    <w:rsid w:val="00052A8E"/>
    <w:rsid w:val="00052ED4"/>
    <w:rsid w:val="00052FC3"/>
    <w:rsid w:val="00053179"/>
    <w:rsid w:val="0005374D"/>
    <w:rsid w:val="00053863"/>
    <w:rsid w:val="00053ED0"/>
    <w:rsid w:val="000544AB"/>
    <w:rsid w:val="00054F86"/>
    <w:rsid w:val="00055044"/>
    <w:rsid w:val="0005533C"/>
    <w:rsid w:val="00055E49"/>
    <w:rsid w:val="00055F8A"/>
    <w:rsid w:val="0005601D"/>
    <w:rsid w:val="00056EBF"/>
    <w:rsid w:val="00057611"/>
    <w:rsid w:val="00057788"/>
    <w:rsid w:val="0006082A"/>
    <w:rsid w:val="000609A0"/>
    <w:rsid w:val="00060A57"/>
    <w:rsid w:val="00060F8A"/>
    <w:rsid w:val="00061B46"/>
    <w:rsid w:val="00062359"/>
    <w:rsid w:val="0006277D"/>
    <w:rsid w:val="00062D86"/>
    <w:rsid w:val="00062DFE"/>
    <w:rsid w:val="000638F4"/>
    <w:rsid w:val="0006390A"/>
    <w:rsid w:val="00064262"/>
    <w:rsid w:val="00064B35"/>
    <w:rsid w:val="00064BBA"/>
    <w:rsid w:val="00065887"/>
    <w:rsid w:val="000659D7"/>
    <w:rsid w:val="000668D1"/>
    <w:rsid w:val="000668E2"/>
    <w:rsid w:val="00067286"/>
    <w:rsid w:val="00067633"/>
    <w:rsid w:val="0007048C"/>
    <w:rsid w:val="00070A4F"/>
    <w:rsid w:val="00070DC6"/>
    <w:rsid w:val="0007122E"/>
    <w:rsid w:val="00071E6C"/>
    <w:rsid w:val="00072020"/>
    <w:rsid w:val="000721C1"/>
    <w:rsid w:val="00072B86"/>
    <w:rsid w:val="00073121"/>
    <w:rsid w:val="00073432"/>
    <w:rsid w:val="00073F6D"/>
    <w:rsid w:val="000740CD"/>
    <w:rsid w:val="00074D2C"/>
    <w:rsid w:val="0007573E"/>
    <w:rsid w:val="0007612E"/>
    <w:rsid w:val="000767F6"/>
    <w:rsid w:val="00076E91"/>
    <w:rsid w:val="00076F0B"/>
    <w:rsid w:val="00077783"/>
    <w:rsid w:val="00080BE5"/>
    <w:rsid w:val="00081906"/>
    <w:rsid w:val="00081D06"/>
    <w:rsid w:val="00081FDE"/>
    <w:rsid w:val="000827D9"/>
    <w:rsid w:val="00082B0B"/>
    <w:rsid w:val="00082E55"/>
    <w:rsid w:val="00083620"/>
    <w:rsid w:val="00083626"/>
    <w:rsid w:val="000836FF"/>
    <w:rsid w:val="00083753"/>
    <w:rsid w:val="00083765"/>
    <w:rsid w:val="000838DB"/>
    <w:rsid w:val="00083DCD"/>
    <w:rsid w:val="00084F83"/>
    <w:rsid w:val="00084F8A"/>
    <w:rsid w:val="00085F4B"/>
    <w:rsid w:val="0008611A"/>
    <w:rsid w:val="00086BB7"/>
    <w:rsid w:val="00086C3F"/>
    <w:rsid w:val="000871C6"/>
    <w:rsid w:val="00087233"/>
    <w:rsid w:val="0008747E"/>
    <w:rsid w:val="00087947"/>
    <w:rsid w:val="0009081B"/>
    <w:rsid w:val="00090903"/>
    <w:rsid w:val="00090C87"/>
    <w:rsid w:val="00090C8F"/>
    <w:rsid w:val="00091374"/>
    <w:rsid w:val="00091C7B"/>
    <w:rsid w:val="000920B2"/>
    <w:rsid w:val="0009285B"/>
    <w:rsid w:val="00092B04"/>
    <w:rsid w:val="00092B22"/>
    <w:rsid w:val="00092EE7"/>
    <w:rsid w:val="00093003"/>
    <w:rsid w:val="00093083"/>
    <w:rsid w:val="00093A5F"/>
    <w:rsid w:val="0009470F"/>
    <w:rsid w:val="000949BE"/>
    <w:rsid w:val="00095035"/>
    <w:rsid w:val="00095C19"/>
    <w:rsid w:val="00095E58"/>
    <w:rsid w:val="00095F6C"/>
    <w:rsid w:val="00096414"/>
    <w:rsid w:val="000968DA"/>
    <w:rsid w:val="0009693D"/>
    <w:rsid w:val="00096C6B"/>
    <w:rsid w:val="000977E8"/>
    <w:rsid w:val="000A0253"/>
    <w:rsid w:val="000A0EC9"/>
    <w:rsid w:val="000A11E3"/>
    <w:rsid w:val="000A11F0"/>
    <w:rsid w:val="000A126C"/>
    <w:rsid w:val="000A17BC"/>
    <w:rsid w:val="000A1BF5"/>
    <w:rsid w:val="000A2C5E"/>
    <w:rsid w:val="000A2CC3"/>
    <w:rsid w:val="000A3185"/>
    <w:rsid w:val="000A32F2"/>
    <w:rsid w:val="000A33A4"/>
    <w:rsid w:val="000A3638"/>
    <w:rsid w:val="000A38AF"/>
    <w:rsid w:val="000A3BE2"/>
    <w:rsid w:val="000A434F"/>
    <w:rsid w:val="000A46E9"/>
    <w:rsid w:val="000A4C4D"/>
    <w:rsid w:val="000A4D1C"/>
    <w:rsid w:val="000A4D6A"/>
    <w:rsid w:val="000A5560"/>
    <w:rsid w:val="000A56CC"/>
    <w:rsid w:val="000A61B6"/>
    <w:rsid w:val="000A65E2"/>
    <w:rsid w:val="000A7A22"/>
    <w:rsid w:val="000B0CF6"/>
    <w:rsid w:val="000B1C96"/>
    <w:rsid w:val="000B2160"/>
    <w:rsid w:val="000B26EA"/>
    <w:rsid w:val="000B2C72"/>
    <w:rsid w:val="000B3273"/>
    <w:rsid w:val="000B3945"/>
    <w:rsid w:val="000B3D46"/>
    <w:rsid w:val="000B40A4"/>
    <w:rsid w:val="000B454D"/>
    <w:rsid w:val="000B4C4F"/>
    <w:rsid w:val="000B500A"/>
    <w:rsid w:val="000B5238"/>
    <w:rsid w:val="000B5427"/>
    <w:rsid w:val="000B61D6"/>
    <w:rsid w:val="000B6544"/>
    <w:rsid w:val="000B7429"/>
    <w:rsid w:val="000B78CF"/>
    <w:rsid w:val="000B7E2D"/>
    <w:rsid w:val="000C0121"/>
    <w:rsid w:val="000C01B5"/>
    <w:rsid w:val="000C0A4D"/>
    <w:rsid w:val="000C0F5C"/>
    <w:rsid w:val="000C23E8"/>
    <w:rsid w:val="000C2AB8"/>
    <w:rsid w:val="000C2C08"/>
    <w:rsid w:val="000C31B7"/>
    <w:rsid w:val="000C38A8"/>
    <w:rsid w:val="000C4026"/>
    <w:rsid w:val="000C458A"/>
    <w:rsid w:val="000C47EE"/>
    <w:rsid w:val="000C4A62"/>
    <w:rsid w:val="000C573D"/>
    <w:rsid w:val="000C5C7C"/>
    <w:rsid w:val="000C6C23"/>
    <w:rsid w:val="000C6D66"/>
    <w:rsid w:val="000C6EFD"/>
    <w:rsid w:val="000C739C"/>
    <w:rsid w:val="000C765B"/>
    <w:rsid w:val="000C7B01"/>
    <w:rsid w:val="000C7CD5"/>
    <w:rsid w:val="000D0324"/>
    <w:rsid w:val="000D0C81"/>
    <w:rsid w:val="000D1962"/>
    <w:rsid w:val="000D202A"/>
    <w:rsid w:val="000D24A3"/>
    <w:rsid w:val="000D2555"/>
    <w:rsid w:val="000D2E22"/>
    <w:rsid w:val="000D3035"/>
    <w:rsid w:val="000D3418"/>
    <w:rsid w:val="000D37E3"/>
    <w:rsid w:val="000D3D26"/>
    <w:rsid w:val="000D3F0D"/>
    <w:rsid w:val="000D4952"/>
    <w:rsid w:val="000D4C14"/>
    <w:rsid w:val="000D592D"/>
    <w:rsid w:val="000D5C25"/>
    <w:rsid w:val="000D606C"/>
    <w:rsid w:val="000D68C7"/>
    <w:rsid w:val="000D6D03"/>
    <w:rsid w:val="000D78AE"/>
    <w:rsid w:val="000D7A9E"/>
    <w:rsid w:val="000D7ED8"/>
    <w:rsid w:val="000E0688"/>
    <w:rsid w:val="000E1215"/>
    <w:rsid w:val="000E1264"/>
    <w:rsid w:val="000E1BDB"/>
    <w:rsid w:val="000E2B78"/>
    <w:rsid w:val="000E2D4D"/>
    <w:rsid w:val="000E2EA2"/>
    <w:rsid w:val="000E36D2"/>
    <w:rsid w:val="000E378F"/>
    <w:rsid w:val="000E38FF"/>
    <w:rsid w:val="000E3C32"/>
    <w:rsid w:val="000E4208"/>
    <w:rsid w:val="000E42D7"/>
    <w:rsid w:val="000E455C"/>
    <w:rsid w:val="000E4634"/>
    <w:rsid w:val="000E49F4"/>
    <w:rsid w:val="000E565D"/>
    <w:rsid w:val="000E5988"/>
    <w:rsid w:val="000E5D54"/>
    <w:rsid w:val="000E5EFB"/>
    <w:rsid w:val="000E6C8B"/>
    <w:rsid w:val="000E7315"/>
    <w:rsid w:val="000E7BB0"/>
    <w:rsid w:val="000E7C1A"/>
    <w:rsid w:val="000F0490"/>
    <w:rsid w:val="000F0726"/>
    <w:rsid w:val="000F08BA"/>
    <w:rsid w:val="000F0CD4"/>
    <w:rsid w:val="000F341D"/>
    <w:rsid w:val="000F3927"/>
    <w:rsid w:val="000F3C18"/>
    <w:rsid w:val="000F4B43"/>
    <w:rsid w:val="000F4CFA"/>
    <w:rsid w:val="000F4E6E"/>
    <w:rsid w:val="000F5141"/>
    <w:rsid w:val="000F61AF"/>
    <w:rsid w:val="000F6DD0"/>
    <w:rsid w:val="000F72AB"/>
    <w:rsid w:val="000F7606"/>
    <w:rsid w:val="000F7B58"/>
    <w:rsid w:val="000F7EA8"/>
    <w:rsid w:val="000F7FDB"/>
    <w:rsid w:val="00100A16"/>
    <w:rsid w:val="00100A93"/>
    <w:rsid w:val="00100D00"/>
    <w:rsid w:val="001015CD"/>
    <w:rsid w:val="001023F4"/>
    <w:rsid w:val="0010332E"/>
    <w:rsid w:val="00103B89"/>
    <w:rsid w:val="00103FD5"/>
    <w:rsid w:val="00104159"/>
    <w:rsid w:val="0010431E"/>
    <w:rsid w:val="001047B7"/>
    <w:rsid w:val="001047C0"/>
    <w:rsid w:val="00104BB0"/>
    <w:rsid w:val="001050A3"/>
    <w:rsid w:val="00105162"/>
    <w:rsid w:val="0010617A"/>
    <w:rsid w:val="00106F98"/>
    <w:rsid w:val="0010729D"/>
    <w:rsid w:val="00107A26"/>
    <w:rsid w:val="00107B96"/>
    <w:rsid w:val="00107EBB"/>
    <w:rsid w:val="0011057C"/>
    <w:rsid w:val="001106E4"/>
    <w:rsid w:val="00111682"/>
    <w:rsid w:val="0011224A"/>
    <w:rsid w:val="00112413"/>
    <w:rsid w:val="001124A4"/>
    <w:rsid w:val="001127F7"/>
    <w:rsid w:val="001130B1"/>
    <w:rsid w:val="00113492"/>
    <w:rsid w:val="0011360F"/>
    <w:rsid w:val="00113CC1"/>
    <w:rsid w:val="001146D9"/>
    <w:rsid w:val="001149B6"/>
    <w:rsid w:val="00114E05"/>
    <w:rsid w:val="00115111"/>
    <w:rsid w:val="00115212"/>
    <w:rsid w:val="00115B50"/>
    <w:rsid w:val="001164CB"/>
    <w:rsid w:val="00116B92"/>
    <w:rsid w:val="00116C4E"/>
    <w:rsid w:val="00116D5C"/>
    <w:rsid w:val="00116E95"/>
    <w:rsid w:val="00117176"/>
    <w:rsid w:val="00117450"/>
    <w:rsid w:val="001176D8"/>
    <w:rsid w:val="00117B42"/>
    <w:rsid w:val="00120057"/>
    <w:rsid w:val="00120B43"/>
    <w:rsid w:val="00120E77"/>
    <w:rsid w:val="00120EF4"/>
    <w:rsid w:val="00121171"/>
    <w:rsid w:val="001213DA"/>
    <w:rsid w:val="0012152C"/>
    <w:rsid w:val="00121564"/>
    <w:rsid w:val="001218E0"/>
    <w:rsid w:val="00121945"/>
    <w:rsid w:val="00121BCF"/>
    <w:rsid w:val="00121BD1"/>
    <w:rsid w:val="00121EB1"/>
    <w:rsid w:val="00122438"/>
    <w:rsid w:val="00122BFF"/>
    <w:rsid w:val="00122F6A"/>
    <w:rsid w:val="00123599"/>
    <w:rsid w:val="0012376D"/>
    <w:rsid w:val="00123C23"/>
    <w:rsid w:val="00123E32"/>
    <w:rsid w:val="00124173"/>
    <w:rsid w:val="00124377"/>
    <w:rsid w:val="00124416"/>
    <w:rsid w:val="00124B2B"/>
    <w:rsid w:val="00124DCB"/>
    <w:rsid w:val="00124DF8"/>
    <w:rsid w:val="00124FC3"/>
    <w:rsid w:val="0012579C"/>
    <w:rsid w:val="00125D52"/>
    <w:rsid w:val="001261BE"/>
    <w:rsid w:val="001266B2"/>
    <w:rsid w:val="00126A13"/>
    <w:rsid w:val="00126CCC"/>
    <w:rsid w:val="00127A39"/>
    <w:rsid w:val="00127A89"/>
    <w:rsid w:val="00127E62"/>
    <w:rsid w:val="00127FAF"/>
    <w:rsid w:val="0013093F"/>
    <w:rsid w:val="001309C7"/>
    <w:rsid w:val="00130D89"/>
    <w:rsid w:val="0013154E"/>
    <w:rsid w:val="001333C2"/>
    <w:rsid w:val="00133840"/>
    <w:rsid w:val="00133BFF"/>
    <w:rsid w:val="00133DBD"/>
    <w:rsid w:val="00133ECC"/>
    <w:rsid w:val="0013438B"/>
    <w:rsid w:val="00135A64"/>
    <w:rsid w:val="001372B1"/>
    <w:rsid w:val="00140425"/>
    <w:rsid w:val="001407A0"/>
    <w:rsid w:val="00140EF7"/>
    <w:rsid w:val="00141736"/>
    <w:rsid w:val="00141A96"/>
    <w:rsid w:val="00141D8C"/>
    <w:rsid w:val="001420C4"/>
    <w:rsid w:val="001439BD"/>
    <w:rsid w:val="00143BD9"/>
    <w:rsid w:val="00143CD9"/>
    <w:rsid w:val="00143DA5"/>
    <w:rsid w:val="0014439E"/>
    <w:rsid w:val="001443CE"/>
    <w:rsid w:val="001445D7"/>
    <w:rsid w:val="00144833"/>
    <w:rsid w:val="00145551"/>
    <w:rsid w:val="001459B4"/>
    <w:rsid w:val="0014625D"/>
    <w:rsid w:val="0014632A"/>
    <w:rsid w:val="001465C1"/>
    <w:rsid w:val="00146D31"/>
    <w:rsid w:val="00147493"/>
    <w:rsid w:val="0014753F"/>
    <w:rsid w:val="00147559"/>
    <w:rsid w:val="00147A9D"/>
    <w:rsid w:val="00147B76"/>
    <w:rsid w:val="00147ED1"/>
    <w:rsid w:val="001504F4"/>
    <w:rsid w:val="0015051D"/>
    <w:rsid w:val="00150598"/>
    <w:rsid w:val="00150FDD"/>
    <w:rsid w:val="001515C3"/>
    <w:rsid w:val="00151BE3"/>
    <w:rsid w:val="00152383"/>
    <w:rsid w:val="001526CC"/>
    <w:rsid w:val="00152797"/>
    <w:rsid w:val="00152BF9"/>
    <w:rsid w:val="00152DA5"/>
    <w:rsid w:val="0015313C"/>
    <w:rsid w:val="001536CD"/>
    <w:rsid w:val="001536D4"/>
    <w:rsid w:val="001542F1"/>
    <w:rsid w:val="001545C5"/>
    <w:rsid w:val="00154EF1"/>
    <w:rsid w:val="00155168"/>
    <w:rsid w:val="001551AD"/>
    <w:rsid w:val="00156C0D"/>
    <w:rsid w:val="00157149"/>
    <w:rsid w:val="001579AC"/>
    <w:rsid w:val="00160420"/>
    <w:rsid w:val="00160B34"/>
    <w:rsid w:val="001617D6"/>
    <w:rsid w:val="00161C8C"/>
    <w:rsid w:val="001626BA"/>
    <w:rsid w:val="00162FAD"/>
    <w:rsid w:val="001632B3"/>
    <w:rsid w:val="001640CE"/>
    <w:rsid w:val="001643CC"/>
    <w:rsid w:val="00164424"/>
    <w:rsid w:val="00164BDD"/>
    <w:rsid w:val="0016587A"/>
    <w:rsid w:val="0016641F"/>
    <w:rsid w:val="00166B20"/>
    <w:rsid w:val="00166C0D"/>
    <w:rsid w:val="00167D59"/>
    <w:rsid w:val="00171B6D"/>
    <w:rsid w:val="00171D0D"/>
    <w:rsid w:val="001721B9"/>
    <w:rsid w:val="00172456"/>
    <w:rsid w:val="00172875"/>
    <w:rsid w:val="001734FB"/>
    <w:rsid w:val="0017351A"/>
    <w:rsid w:val="0017362F"/>
    <w:rsid w:val="0017440D"/>
    <w:rsid w:val="00174D0F"/>
    <w:rsid w:val="001750C2"/>
    <w:rsid w:val="0017514D"/>
    <w:rsid w:val="001757DC"/>
    <w:rsid w:val="00175AFF"/>
    <w:rsid w:val="00175E66"/>
    <w:rsid w:val="00176267"/>
    <w:rsid w:val="00176428"/>
    <w:rsid w:val="00176A8F"/>
    <w:rsid w:val="0017752E"/>
    <w:rsid w:val="00177721"/>
    <w:rsid w:val="00177840"/>
    <w:rsid w:val="0017784E"/>
    <w:rsid w:val="00177DE5"/>
    <w:rsid w:val="00181778"/>
    <w:rsid w:val="00181B4E"/>
    <w:rsid w:val="00181E72"/>
    <w:rsid w:val="001820F4"/>
    <w:rsid w:val="00182786"/>
    <w:rsid w:val="0018281D"/>
    <w:rsid w:val="001828BA"/>
    <w:rsid w:val="00182B29"/>
    <w:rsid w:val="0018325D"/>
    <w:rsid w:val="00183679"/>
    <w:rsid w:val="00183BBB"/>
    <w:rsid w:val="001841CF"/>
    <w:rsid w:val="001853E5"/>
    <w:rsid w:val="00185A68"/>
    <w:rsid w:val="00185DC7"/>
    <w:rsid w:val="001866F3"/>
    <w:rsid w:val="001867CE"/>
    <w:rsid w:val="00186B7E"/>
    <w:rsid w:val="00186E3D"/>
    <w:rsid w:val="0018713D"/>
    <w:rsid w:val="00187844"/>
    <w:rsid w:val="00187E6C"/>
    <w:rsid w:val="00190115"/>
    <w:rsid w:val="001905FB"/>
    <w:rsid w:val="00190E1C"/>
    <w:rsid w:val="0019152E"/>
    <w:rsid w:val="00191DE7"/>
    <w:rsid w:val="001921A2"/>
    <w:rsid w:val="00192ADA"/>
    <w:rsid w:val="00193DD0"/>
    <w:rsid w:val="00194331"/>
    <w:rsid w:val="001945FB"/>
    <w:rsid w:val="00194A24"/>
    <w:rsid w:val="00195273"/>
    <w:rsid w:val="001957DB"/>
    <w:rsid w:val="0019630F"/>
    <w:rsid w:val="00196AE8"/>
    <w:rsid w:val="00196D35"/>
    <w:rsid w:val="001979A9"/>
    <w:rsid w:val="00197A1A"/>
    <w:rsid w:val="00197EAC"/>
    <w:rsid w:val="001A050F"/>
    <w:rsid w:val="001A0D78"/>
    <w:rsid w:val="001A0DCC"/>
    <w:rsid w:val="001A10D2"/>
    <w:rsid w:val="001A11E5"/>
    <w:rsid w:val="001A176A"/>
    <w:rsid w:val="001A1976"/>
    <w:rsid w:val="001A1F15"/>
    <w:rsid w:val="001A2C00"/>
    <w:rsid w:val="001A2FD9"/>
    <w:rsid w:val="001A304B"/>
    <w:rsid w:val="001A341E"/>
    <w:rsid w:val="001A3E35"/>
    <w:rsid w:val="001A3E4C"/>
    <w:rsid w:val="001A3F84"/>
    <w:rsid w:val="001A5210"/>
    <w:rsid w:val="001A6757"/>
    <w:rsid w:val="001A6E96"/>
    <w:rsid w:val="001A7260"/>
    <w:rsid w:val="001A766E"/>
    <w:rsid w:val="001A76E2"/>
    <w:rsid w:val="001B08B0"/>
    <w:rsid w:val="001B0C8D"/>
    <w:rsid w:val="001B0DF2"/>
    <w:rsid w:val="001B1019"/>
    <w:rsid w:val="001B1514"/>
    <w:rsid w:val="001B1EE1"/>
    <w:rsid w:val="001B2039"/>
    <w:rsid w:val="001B23B6"/>
    <w:rsid w:val="001B273D"/>
    <w:rsid w:val="001B2856"/>
    <w:rsid w:val="001B2CC9"/>
    <w:rsid w:val="001B2F66"/>
    <w:rsid w:val="001B3951"/>
    <w:rsid w:val="001B3987"/>
    <w:rsid w:val="001B39AF"/>
    <w:rsid w:val="001B39EE"/>
    <w:rsid w:val="001B3AE6"/>
    <w:rsid w:val="001B3B05"/>
    <w:rsid w:val="001B42B3"/>
    <w:rsid w:val="001B50E2"/>
    <w:rsid w:val="001B56E9"/>
    <w:rsid w:val="001B5FCE"/>
    <w:rsid w:val="001B62AC"/>
    <w:rsid w:val="001B64CD"/>
    <w:rsid w:val="001B7176"/>
    <w:rsid w:val="001B71DC"/>
    <w:rsid w:val="001B7EF9"/>
    <w:rsid w:val="001B7F7B"/>
    <w:rsid w:val="001C009D"/>
    <w:rsid w:val="001C0DBA"/>
    <w:rsid w:val="001C19FB"/>
    <w:rsid w:val="001C291A"/>
    <w:rsid w:val="001C35E4"/>
    <w:rsid w:val="001C3838"/>
    <w:rsid w:val="001C4645"/>
    <w:rsid w:val="001C46A2"/>
    <w:rsid w:val="001C4DD2"/>
    <w:rsid w:val="001C5098"/>
    <w:rsid w:val="001C5570"/>
    <w:rsid w:val="001C633A"/>
    <w:rsid w:val="001C6501"/>
    <w:rsid w:val="001C6563"/>
    <w:rsid w:val="001C6931"/>
    <w:rsid w:val="001C6CAA"/>
    <w:rsid w:val="001C6FEE"/>
    <w:rsid w:val="001C77C6"/>
    <w:rsid w:val="001D03FD"/>
    <w:rsid w:val="001D13CA"/>
    <w:rsid w:val="001D14A3"/>
    <w:rsid w:val="001D17F3"/>
    <w:rsid w:val="001D21D9"/>
    <w:rsid w:val="001D235F"/>
    <w:rsid w:val="001D2850"/>
    <w:rsid w:val="001D2AB6"/>
    <w:rsid w:val="001D2B0E"/>
    <w:rsid w:val="001D2D38"/>
    <w:rsid w:val="001D2ED8"/>
    <w:rsid w:val="001D3DDD"/>
    <w:rsid w:val="001D4086"/>
    <w:rsid w:val="001D4699"/>
    <w:rsid w:val="001D4B84"/>
    <w:rsid w:val="001D5028"/>
    <w:rsid w:val="001D5F08"/>
    <w:rsid w:val="001D63A5"/>
    <w:rsid w:val="001D65E2"/>
    <w:rsid w:val="001D6E7B"/>
    <w:rsid w:val="001D76CE"/>
    <w:rsid w:val="001D7A7D"/>
    <w:rsid w:val="001D7D19"/>
    <w:rsid w:val="001E0673"/>
    <w:rsid w:val="001E1389"/>
    <w:rsid w:val="001E18DA"/>
    <w:rsid w:val="001E1BEE"/>
    <w:rsid w:val="001E1F18"/>
    <w:rsid w:val="001E2561"/>
    <w:rsid w:val="001E33C9"/>
    <w:rsid w:val="001E4873"/>
    <w:rsid w:val="001E5216"/>
    <w:rsid w:val="001E5505"/>
    <w:rsid w:val="001E557A"/>
    <w:rsid w:val="001E6837"/>
    <w:rsid w:val="001E6D30"/>
    <w:rsid w:val="001E7C84"/>
    <w:rsid w:val="001F0054"/>
    <w:rsid w:val="001F028D"/>
    <w:rsid w:val="001F0C11"/>
    <w:rsid w:val="001F12AE"/>
    <w:rsid w:val="001F1974"/>
    <w:rsid w:val="001F1BA2"/>
    <w:rsid w:val="001F1F98"/>
    <w:rsid w:val="001F1FB2"/>
    <w:rsid w:val="001F2022"/>
    <w:rsid w:val="001F205E"/>
    <w:rsid w:val="001F2831"/>
    <w:rsid w:val="001F35A6"/>
    <w:rsid w:val="001F43CA"/>
    <w:rsid w:val="001F4BD2"/>
    <w:rsid w:val="001F5231"/>
    <w:rsid w:val="001F5262"/>
    <w:rsid w:val="001F55E0"/>
    <w:rsid w:val="001F5B1C"/>
    <w:rsid w:val="001F5DB5"/>
    <w:rsid w:val="001F6047"/>
    <w:rsid w:val="001F605A"/>
    <w:rsid w:val="001F637A"/>
    <w:rsid w:val="001F6563"/>
    <w:rsid w:val="001F78CE"/>
    <w:rsid w:val="001F7D59"/>
    <w:rsid w:val="00200261"/>
    <w:rsid w:val="00200A22"/>
    <w:rsid w:val="00200DA2"/>
    <w:rsid w:val="00201246"/>
    <w:rsid w:val="002015AF"/>
    <w:rsid w:val="00202B28"/>
    <w:rsid w:val="00202FD3"/>
    <w:rsid w:val="00203548"/>
    <w:rsid w:val="00203DBC"/>
    <w:rsid w:val="00204483"/>
    <w:rsid w:val="00204D76"/>
    <w:rsid w:val="0020508C"/>
    <w:rsid w:val="0020549D"/>
    <w:rsid w:val="002059A3"/>
    <w:rsid w:val="00205A0A"/>
    <w:rsid w:val="00205F12"/>
    <w:rsid w:val="00206936"/>
    <w:rsid w:val="002070EB"/>
    <w:rsid w:val="00207372"/>
    <w:rsid w:val="00207617"/>
    <w:rsid w:val="00207A3F"/>
    <w:rsid w:val="00207BEB"/>
    <w:rsid w:val="00211594"/>
    <w:rsid w:val="00211C53"/>
    <w:rsid w:val="00211EBB"/>
    <w:rsid w:val="002123CE"/>
    <w:rsid w:val="00212C69"/>
    <w:rsid w:val="00213B85"/>
    <w:rsid w:val="00213C9A"/>
    <w:rsid w:val="00213F0C"/>
    <w:rsid w:val="00214016"/>
    <w:rsid w:val="002142E3"/>
    <w:rsid w:val="0021436D"/>
    <w:rsid w:val="002147C0"/>
    <w:rsid w:val="00214F36"/>
    <w:rsid w:val="00215437"/>
    <w:rsid w:val="00215593"/>
    <w:rsid w:val="00215C54"/>
    <w:rsid w:val="00215E11"/>
    <w:rsid w:val="00216B37"/>
    <w:rsid w:val="00216D3B"/>
    <w:rsid w:val="002173E6"/>
    <w:rsid w:val="00217BC0"/>
    <w:rsid w:val="00217C1A"/>
    <w:rsid w:val="002201E0"/>
    <w:rsid w:val="002202CD"/>
    <w:rsid w:val="00220F13"/>
    <w:rsid w:val="002214DE"/>
    <w:rsid w:val="002215B3"/>
    <w:rsid w:val="00221B32"/>
    <w:rsid w:val="002227C2"/>
    <w:rsid w:val="002227DF"/>
    <w:rsid w:val="00222A9B"/>
    <w:rsid w:val="00222B97"/>
    <w:rsid w:val="00222FCE"/>
    <w:rsid w:val="00223847"/>
    <w:rsid w:val="00224153"/>
    <w:rsid w:val="00224187"/>
    <w:rsid w:val="002244AB"/>
    <w:rsid w:val="00224BD0"/>
    <w:rsid w:val="0022517D"/>
    <w:rsid w:val="002253BA"/>
    <w:rsid w:val="002257A5"/>
    <w:rsid w:val="00225D6B"/>
    <w:rsid w:val="00225D95"/>
    <w:rsid w:val="00225F4E"/>
    <w:rsid w:val="0022613B"/>
    <w:rsid w:val="0022689A"/>
    <w:rsid w:val="002269C8"/>
    <w:rsid w:val="002272ED"/>
    <w:rsid w:val="00227667"/>
    <w:rsid w:val="002278DA"/>
    <w:rsid w:val="00230031"/>
    <w:rsid w:val="00230A6C"/>
    <w:rsid w:val="00230AA9"/>
    <w:rsid w:val="00230AC8"/>
    <w:rsid w:val="00231D16"/>
    <w:rsid w:val="00232421"/>
    <w:rsid w:val="00232AAF"/>
    <w:rsid w:val="00232B8F"/>
    <w:rsid w:val="00232DCA"/>
    <w:rsid w:val="00233659"/>
    <w:rsid w:val="002336FD"/>
    <w:rsid w:val="00233CC8"/>
    <w:rsid w:val="00234687"/>
    <w:rsid w:val="00234DEA"/>
    <w:rsid w:val="00235842"/>
    <w:rsid w:val="00235D8E"/>
    <w:rsid w:val="0023766D"/>
    <w:rsid w:val="00237B5D"/>
    <w:rsid w:val="00237D5D"/>
    <w:rsid w:val="00240710"/>
    <w:rsid w:val="00240723"/>
    <w:rsid w:val="002412A6"/>
    <w:rsid w:val="00241A64"/>
    <w:rsid w:val="00241AF4"/>
    <w:rsid w:val="00241D1D"/>
    <w:rsid w:val="00241D46"/>
    <w:rsid w:val="00241DBA"/>
    <w:rsid w:val="00241DD8"/>
    <w:rsid w:val="00241DEF"/>
    <w:rsid w:val="002422CF"/>
    <w:rsid w:val="00242F9C"/>
    <w:rsid w:val="00243A61"/>
    <w:rsid w:val="00243B77"/>
    <w:rsid w:val="00244056"/>
    <w:rsid w:val="002441BE"/>
    <w:rsid w:val="002445BF"/>
    <w:rsid w:val="002448D3"/>
    <w:rsid w:val="00244960"/>
    <w:rsid w:val="00244C69"/>
    <w:rsid w:val="00245305"/>
    <w:rsid w:val="00245336"/>
    <w:rsid w:val="0024572B"/>
    <w:rsid w:val="00246281"/>
    <w:rsid w:val="00246A95"/>
    <w:rsid w:val="00246BAD"/>
    <w:rsid w:val="002471DE"/>
    <w:rsid w:val="0025003F"/>
    <w:rsid w:val="002503CD"/>
    <w:rsid w:val="00250B58"/>
    <w:rsid w:val="00250EB0"/>
    <w:rsid w:val="0025171E"/>
    <w:rsid w:val="00252277"/>
    <w:rsid w:val="002522A0"/>
    <w:rsid w:val="00252645"/>
    <w:rsid w:val="002527DF"/>
    <w:rsid w:val="00252C70"/>
    <w:rsid w:val="002538B7"/>
    <w:rsid w:val="00253E76"/>
    <w:rsid w:val="00254170"/>
    <w:rsid w:val="0025468E"/>
    <w:rsid w:val="00254728"/>
    <w:rsid w:val="002547B3"/>
    <w:rsid w:val="00255034"/>
    <w:rsid w:val="00255AF0"/>
    <w:rsid w:val="00255B18"/>
    <w:rsid w:val="00255C29"/>
    <w:rsid w:val="0025643D"/>
    <w:rsid w:val="002568C7"/>
    <w:rsid w:val="002569EE"/>
    <w:rsid w:val="00257252"/>
    <w:rsid w:val="002573B6"/>
    <w:rsid w:val="00257B8E"/>
    <w:rsid w:val="00257C5B"/>
    <w:rsid w:val="00260A4F"/>
    <w:rsid w:val="00260AC9"/>
    <w:rsid w:val="00260E34"/>
    <w:rsid w:val="00260F14"/>
    <w:rsid w:val="00260F46"/>
    <w:rsid w:val="00261143"/>
    <w:rsid w:val="00261A02"/>
    <w:rsid w:val="0026254A"/>
    <w:rsid w:val="00262A73"/>
    <w:rsid w:val="00262B3B"/>
    <w:rsid w:val="00262BDA"/>
    <w:rsid w:val="00262DB4"/>
    <w:rsid w:val="00262E84"/>
    <w:rsid w:val="0026334F"/>
    <w:rsid w:val="00263B36"/>
    <w:rsid w:val="00263CBD"/>
    <w:rsid w:val="00264001"/>
    <w:rsid w:val="00264982"/>
    <w:rsid w:val="00264AA9"/>
    <w:rsid w:val="00264DCC"/>
    <w:rsid w:val="002651D7"/>
    <w:rsid w:val="002659EE"/>
    <w:rsid w:val="00265BE8"/>
    <w:rsid w:val="00265C72"/>
    <w:rsid w:val="00266308"/>
    <w:rsid w:val="00266565"/>
    <w:rsid w:val="0026661D"/>
    <w:rsid w:val="00266BE2"/>
    <w:rsid w:val="00270E95"/>
    <w:rsid w:val="00271913"/>
    <w:rsid w:val="00271D0A"/>
    <w:rsid w:val="0027207E"/>
    <w:rsid w:val="00272496"/>
    <w:rsid w:val="0027281D"/>
    <w:rsid w:val="00272FC7"/>
    <w:rsid w:val="002734D8"/>
    <w:rsid w:val="0027415D"/>
    <w:rsid w:val="00274581"/>
    <w:rsid w:val="00274616"/>
    <w:rsid w:val="00274961"/>
    <w:rsid w:val="002759B6"/>
    <w:rsid w:val="00276EAF"/>
    <w:rsid w:val="002777C3"/>
    <w:rsid w:val="00277863"/>
    <w:rsid w:val="002778FD"/>
    <w:rsid w:val="00280ADE"/>
    <w:rsid w:val="002812A5"/>
    <w:rsid w:val="00281C21"/>
    <w:rsid w:val="00281EE7"/>
    <w:rsid w:val="0028205E"/>
    <w:rsid w:val="002826D3"/>
    <w:rsid w:val="00282771"/>
    <w:rsid w:val="00282862"/>
    <w:rsid w:val="002828F1"/>
    <w:rsid w:val="00282E9C"/>
    <w:rsid w:val="0028329F"/>
    <w:rsid w:val="002835D5"/>
    <w:rsid w:val="00283C1A"/>
    <w:rsid w:val="00283EEB"/>
    <w:rsid w:val="002844A0"/>
    <w:rsid w:val="00284575"/>
    <w:rsid w:val="00284C08"/>
    <w:rsid w:val="00284E64"/>
    <w:rsid w:val="00284EF7"/>
    <w:rsid w:val="002852D0"/>
    <w:rsid w:val="002859AE"/>
    <w:rsid w:val="00285C47"/>
    <w:rsid w:val="00285EF5"/>
    <w:rsid w:val="0028640D"/>
    <w:rsid w:val="002866FB"/>
    <w:rsid w:val="002868B5"/>
    <w:rsid w:val="00286DF2"/>
    <w:rsid w:val="0028782D"/>
    <w:rsid w:val="00290C85"/>
    <w:rsid w:val="002911FB"/>
    <w:rsid w:val="00291389"/>
    <w:rsid w:val="002913AE"/>
    <w:rsid w:val="002922A4"/>
    <w:rsid w:val="00292808"/>
    <w:rsid w:val="002938C5"/>
    <w:rsid w:val="00294CD8"/>
    <w:rsid w:val="00294CD9"/>
    <w:rsid w:val="00294F5C"/>
    <w:rsid w:val="00294F94"/>
    <w:rsid w:val="0029551D"/>
    <w:rsid w:val="0029628C"/>
    <w:rsid w:val="0029670A"/>
    <w:rsid w:val="00296AC7"/>
    <w:rsid w:val="002A0467"/>
    <w:rsid w:val="002A0AD0"/>
    <w:rsid w:val="002A1603"/>
    <w:rsid w:val="002A17EE"/>
    <w:rsid w:val="002A1945"/>
    <w:rsid w:val="002A257C"/>
    <w:rsid w:val="002A26FF"/>
    <w:rsid w:val="002A2B3E"/>
    <w:rsid w:val="002A2CEE"/>
    <w:rsid w:val="002A30D3"/>
    <w:rsid w:val="002A3697"/>
    <w:rsid w:val="002A370A"/>
    <w:rsid w:val="002A3F29"/>
    <w:rsid w:val="002A4053"/>
    <w:rsid w:val="002A47C8"/>
    <w:rsid w:val="002A4988"/>
    <w:rsid w:val="002A4AB3"/>
    <w:rsid w:val="002A501B"/>
    <w:rsid w:val="002A55E5"/>
    <w:rsid w:val="002A5C21"/>
    <w:rsid w:val="002A7142"/>
    <w:rsid w:val="002A718E"/>
    <w:rsid w:val="002A7DEB"/>
    <w:rsid w:val="002A7FC0"/>
    <w:rsid w:val="002B0442"/>
    <w:rsid w:val="002B0D4E"/>
    <w:rsid w:val="002B0DE9"/>
    <w:rsid w:val="002B11BA"/>
    <w:rsid w:val="002B15B4"/>
    <w:rsid w:val="002B1F1F"/>
    <w:rsid w:val="002B25DE"/>
    <w:rsid w:val="002B28F7"/>
    <w:rsid w:val="002B3475"/>
    <w:rsid w:val="002B36B8"/>
    <w:rsid w:val="002B3B31"/>
    <w:rsid w:val="002B42D4"/>
    <w:rsid w:val="002B4440"/>
    <w:rsid w:val="002B52D0"/>
    <w:rsid w:val="002B5787"/>
    <w:rsid w:val="002B620B"/>
    <w:rsid w:val="002B6CAA"/>
    <w:rsid w:val="002B74AB"/>
    <w:rsid w:val="002B7CC7"/>
    <w:rsid w:val="002C02AB"/>
    <w:rsid w:val="002C03DE"/>
    <w:rsid w:val="002C0994"/>
    <w:rsid w:val="002C0A36"/>
    <w:rsid w:val="002C0D2F"/>
    <w:rsid w:val="002C1036"/>
    <w:rsid w:val="002C1F3D"/>
    <w:rsid w:val="002C20F5"/>
    <w:rsid w:val="002C2134"/>
    <w:rsid w:val="002C2581"/>
    <w:rsid w:val="002C292E"/>
    <w:rsid w:val="002C2967"/>
    <w:rsid w:val="002C374F"/>
    <w:rsid w:val="002C3ABC"/>
    <w:rsid w:val="002C43F7"/>
    <w:rsid w:val="002C4503"/>
    <w:rsid w:val="002C492A"/>
    <w:rsid w:val="002C5743"/>
    <w:rsid w:val="002C57E5"/>
    <w:rsid w:val="002C584A"/>
    <w:rsid w:val="002C584F"/>
    <w:rsid w:val="002C5CDC"/>
    <w:rsid w:val="002C5D19"/>
    <w:rsid w:val="002C5DDC"/>
    <w:rsid w:val="002C622C"/>
    <w:rsid w:val="002C6467"/>
    <w:rsid w:val="002C6B3D"/>
    <w:rsid w:val="002C6BB2"/>
    <w:rsid w:val="002C7B33"/>
    <w:rsid w:val="002D0192"/>
    <w:rsid w:val="002D07D6"/>
    <w:rsid w:val="002D0B48"/>
    <w:rsid w:val="002D1520"/>
    <w:rsid w:val="002D1F5B"/>
    <w:rsid w:val="002D2505"/>
    <w:rsid w:val="002D2D7C"/>
    <w:rsid w:val="002D3A89"/>
    <w:rsid w:val="002D3BBC"/>
    <w:rsid w:val="002D3EFC"/>
    <w:rsid w:val="002D4D9D"/>
    <w:rsid w:val="002D53A2"/>
    <w:rsid w:val="002D5A31"/>
    <w:rsid w:val="002D5CD3"/>
    <w:rsid w:val="002D6026"/>
    <w:rsid w:val="002D6519"/>
    <w:rsid w:val="002D6874"/>
    <w:rsid w:val="002D68A1"/>
    <w:rsid w:val="002D6BEE"/>
    <w:rsid w:val="002D6D65"/>
    <w:rsid w:val="002D7912"/>
    <w:rsid w:val="002D7CAF"/>
    <w:rsid w:val="002E0508"/>
    <w:rsid w:val="002E05F1"/>
    <w:rsid w:val="002E0720"/>
    <w:rsid w:val="002E123B"/>
    <w:rsid w:val="002E169C"/>
    <w:rsid w:val="002E1C95"/>
    <w:rsid w:val="002E1CD9"/>
    <w:rsid w:val="002E224A"/>
    <w:rsid w:val="002E29E7"/>
    <w:rsid w:val="002E2A81"/>
    <w:rsid w:val="002E2F28"/>
    <w:rsid w:val="002E3270"/>
    <w:rsid w:val="002E36B3"/>
    <w:rsid w:val="002E3745"/>
    <w:rsid w:val="002E4260"/>
    <w:rsid w:val="002E4789"/>
    <w:rsid w:val="002E4A74"/>
    <w:rsid w:val="002E4EE4"/>
    <w:rsid w:val="002E50D6"/>
    <w:rsid w:val="002E5F21"/>
    <w:rsid w:val="002E68EB"/>
    <w:rsid w:val="002E70CE"/>
    <w:rsid w:val="002E7500"/>
    <w:rsid w:val="002E77F1"/>
    <w:rsid w:val="002E7C1A"/>
    <w:rsid w:val="002F0343"/>
    <w:rsid w:val="002F0A30"/>
    <w:rsid w:val="002F0AF0"/>
    <w:rsid w:val="002F1FD0"/>
    <w:rsid w:val="002F27A6"/>
    <w:rsid w:val="002F2CCB"/>
    <w:rsid w:val="002F2D61"/>
    <w:rsid w:val="002F3FBD"/>
    <w:rsid w:val="002F415F"/>
    <w:rsid w:val="002F4178"/>
    <w:rsid w:val="002F4BA0"/>
    <w:rsid w:val="002F518E"/>
    <w:rsid w:val="002F523E"/>
    <w:rsid w:val="002F55BF"/>
    <w:rsid w:val="002F57D1"/>
    <w:rsid w:val="002F5922"/>
    <w:rsid w:val="002F5AB5"/>
    <w:rsid w:val="002F5EC3"/>
    <w:rsid w:val="002F62A8"/>
    <w:rsid w:val="002F64F6"/>
    <w:rsid w:val="002F67DF"/>
    <w:rsid w:val="002F68F7"/>
    <w:rsid w:val="002F69E3"/>
    <w:rsid w:val="002F717B"/>
    <w:rsid w:val="002F796A"/>
    <w:rsid w:val="002F7E11"/>
    <w:rsid w:val="0030125B"/>
    <w:rsid w:val="00301457"/>
    <w:rsid w:val="00301596"/>
    <w:rsid w:val="00302858"/>
    <w:rsid w:val="003028B7"/>
    <w:rsid w:val="00303623"/>
    <w:rsid w:val="00304742"/>
    <w:rsid w:val="00304A1D"/>
    <w:rsid w:val="00304A76"/>
    <w:rsid w:val="00304D34"/>
    <w:rsid w:val="003052C3"/>
    <w:rsid w:val="00305D6A"/>
    <w:rsid w:val="00306524"/>
    <w:rsid w:val="003065E3"/>
    <w:rsid w:val="00306909"/>
    <w:rsid w:val="00306FEB"/>
    <w:rsid w:val="00307756"/>
    <w:rsid w:val="00307D99"/>
    <w:rsid w:val="0031008A"/>
    <w:rsid w:val="003101A0"/>
    <w:rsid w:val="003104CD"/>
    <w:rsid w:val="00310EE3"/>
    <w:rsid w:val="00311856"/>
    <w:rsid w:val="0031226C"/>
    <w:rsid w:val="0031339D"/>
    <w:rsid w:val="003139A4"/>
    <w:rsid w:val="00313A05"/>
    <w:rsid w:val="00313B08"/>
    <w:rsid w:val="003140A0"/>
    <w:rsid w:val="003144AF"/>
    <w:rsid w:val="003144B1"/>
    <w:rsid w:val="00314CED"/>
    <w:rsid w:val="00315332"/>
    <w:rsid w:val="0031563F"/>
    <w:rsid w:val="00315A69"/>
    <w:rsid w:val="0031609F"/>
    <w:rsid w:val="00316507"/>
    <w:rsid w:val="00316E77"/>
    <w:rsid w:val="003172F8"/>
    <w:rsid w:val="00317699"/>
    <w:rsid w:val="003177B7"/>
    <w:rsid w:val="00317928"/>
    <w:rsid w:val="003179A4"/>
    <w:rsid w:val="00317F5B"/>
    <w:rsid w:val="003206FF"/>
    <w:rsid w:val="003215E8"/>
    <w:rsid w:val="00321A56"/>
    <w:rsid w:val="003223C9"/>
    <w:rsid w:val="00322CC7"/>
    <w:rsid w:val="00322CCD"/>
    <w:rsid w:val="00322E0E"/>
    <w:rsid w:val="0032303A"/>
    <w:rsid w:val="00323197"/>
    <w:rsid w:val="0032344E"/>
    <w:rsid w:val="00323814"/>
    <w:rsid w:val="0032426A"/>
    <w:rsid w:val="00324EA4"/>
    <w:rsid w:val="00325301"/>
    <w:rsid w:val="00325353"/>
    <w:rsid w:val="003258B6"/>
    <w:rsid w:val="00325B6A"/>
    <w:rsid w:val="00325D36"/>
    <w:rsid w:val="003266DF"/>
    <w:rsid w:val="0032691E"/>
    <w:rsid w:val="00326F24"/>
    <w:rsid w:val="003272DF"/>
    <w:rsid w:val="00327936"/>
    <w:rsid w:val="00327DA2"/>
    <w:rsid w:val="00330297"/>
    <w:rsid w:val="0033033F"/>
    <w:rsid w:val="00330D89"/>
    <w:rsid w:val="00331179"/>
    <w:rsid w:val="00331758"/>
    <w:rsid w:val="00331791"/>
    <w:rsid w:val="003321BF"/>
    <w:rsid w:val="00332284"/>
    <w:rsid w:val="003325E0"/>
    <w:rsid w:val="0033263D"/>
    <w:rsid w:val="00332AA2"/>
    <w:rsid w:val="00332C02"/>
    <w:rsid w:val="0033305B"/>
    <w:rsid w:val="003333B7"/>
    <w:rsid w:val="00333DD5"/>
    <w:rsid w:val="0033428A"/>
    <w:rsid w:val="0033430D"/>
    <w:rsid w:val="00334C9D"/>
    <w:rsid w:val="00335C05"/>
    <w:rsid w:val="00335EB4"/>
    <w:rsid w:val="00335F48"/>
    <w:rsid w:val="00336D6A"/>
    <w:rsid w:val="00337451"/>
    <w:rsid w:val="00337637"/>
    <w:rsid w:val="00337F7A"/>
    <w:rsid w:val="00341B4A"/>
    <w:rsid w:val="00341B66"/>
    <w:rsid w:val="00342A49"/>
    <w:rsid w:val="00343F50"/>
    <w:rsid w:val="00343F8C"/>
    <w:rsid w:val="00344116"/>
    <w:rsid w:val="00345028"/>
    <w:rsid w:val="00345CA1"/>
    <w:rsid w:val="00346322"/>
    <w:rsid w:val="003464D8"/>
    <w:rsid w:val="003466FE"/>
    <w:rsid w:val="00346BC8"/>
    <w:rsid w:val="00346E12"/>
    <w:rsid w:val="003501AB"/>
    <w:rsid w:val="003506D0"/>
    <w:rsid w:val="00350A2B"/>
    <w:rsid w:val="00350DA0"/>
    <w:rsid w:val="0035153C"/>
    <w:rsid w:val="003516AD"/>
    <w:rsid w:val="00351AB6"/>
    <w:rsid w:val="00351C6E"/>
    <w:rsid w:val="00352587"/>
    <w:rsid w:val="0035267B"/>
    <w:rsid w:val="00352691"/>
    <w:rsid w:val="003528C8"/>
    <w:rsid w:val="00352A17"/>
    <w:rsid w:val="00352BF0"/>
    <w:rsid w:val="00353329"/>
    <w:rsid w:val="0035339B"/>
    <w:rsid w:val="00353B94"/>
    <w:rsid w:val="00353EBD"/>
    <w:rsid w:val="0035414E"/>
    <w:rsid w:val="00354482"/>
    <w:rsid w:val="003544FA"/>
    <w:rsid w:val="00354915"/>
    <w:rsid w:val="003554B0"/>
    <w:rsid w:val="00355D56"/>
    <w:rsid w:val="003560AB"/>
    <w:rsid w:val="0035724F"/>
    <w:rsid w:val="0035740D"/>
    <w:rsid w:val="00357573"/>
    <w:rsid w:val="0035791D"/>
    <w:rsid w:val="00357E3E"/>
    <w:rsid w:val="00360EFF"/>
    <w:rsid w:val="00361026"/>
    <w:rsid w:val="00361D4B"/>
    <w:rsid w:val="00362441"/>
    <w:rsid w:val="00362F43"/>
    <w:rsid w:val="003634B2"/>
    <w:rsid w:val="0036372B"/>
    <w:rsid w:val="00364D28"/>
    <w:rsid w:val="00366618"/>
    <w:rsid w:val="00366846"/>
    <w:rsid w:val="00366A38"/>
    <w:rsid w:val="00366E98"/>
    <w:rsid w:val="003679B3"/>
    <w:rsid w:val="003700D8"/>
    <w:rsid w:val="0037097A"/>
    <w:rsid w:val="00370A3A"/>
    <w:rsid w:val="00370AAF"/>
    <w:rsid w:val="00370FA2"/>
    <w:rsid w:val="003711A4"/>
    <w:rsid w:val="00371D66"/>
    <w:rsid w:val="00371DCB"/>
    <w:rsid w:val="0037348C"/>
    <w:rsid w:val="00373624"/>
    <w:rsid w:val="00373C14"/>
    <w:rsid w:val="003745D8"/>
    <w:rsid w:val="00374CD8"/>
    <w:rsid w:val="00375613"/>
    <w:rsid w:val="00376035"/>
    <w:rsid w:val="00376A0C"/>
    <w:rsid w:val="00376ADD"/>
    <w:rsid w:val="003774A7"/>
    <w:rsid w:val="00377C0F"/>
    <w:rsid w:val="00380558"/>
    <w:rsid w:val="0038086D"/>
    <w:rsid w:val="00380CF9"/>
    <w:rsid w:val="0038150E"/>
    <w:rsid w:val="003817C8"/>
    <w:rsid w:val="003818C0"/>
    <w:rsid w:val="00382BF4"/>
    <w:rsid w:val="00383550"/>
    <w:rsid w:val="00383552"/>
    <w:rsid w:val="00383C2B"/>
    <w:rsid w:val="00383D5C"/>
    <w:rsid w:val="00384079"/>
    <w:rsid w:val="003840C7"/>
    <w:rsid w:val="00384108"/>
    <w:rsid w:val="00384491"/>
    <w:rsid w:val="003844FE"/>
    <w:rsid w:val="00384583"/>
    <w:rsid w:val="003846D6"/>
    <w:rsid w:val="0038514E"/>
    <w:rsid w:val="00385983"/>
    <w:rsid w:val="00385FE1"/>
    <w:rsid w:val="00386523"/>
    <w:rsid w:val="00386E7E"/>
    <w:rsid w:val="00387616"/>
    <w:rsid w:val="003878BB"/>
    <w:rsid w:val="00387BCA"/>
    <w:rsid w:val="003905A1"/>
    <w:rsid w:val="0039135D"/>
    <w:rsid w:val="003919E5"/>
    <w:rsid w:val="00392561"/>
    <w:rsid w:val="003926F1"/>
    <w:rsid w:val="00392C39"/>
    <w:rsid w:val="00392F6A"/>
    <w:rsid w:val="003936DA"/>
    <w:rsid w:val="003937A2"/>
    <w:rsid w:val="00393FCC"/>
    <w:rsid w:val="0039488B"/>
    <w:rsid w:val="003948AE"/>
    <w:rsid w:val="00394FD0"/>
    <w:rsid w:val="00395306"/>
    <w:rsid w:val="003956F3"/>
    <w:rsid w:val="00395D92"/>
    <w:rsid w:val="0039617F"/>
    <w:rsid w:val="003964E2"/>
    <w:rsid w:val="00396919"/>
    <w:rsid w:val="00396EA3"/>
    <w:rsid w:val="00397616"/>
    <w:rsid w:val="003976A6"/>
    <w:rsid w:val="00397E7B"/>
    <w:rsid w:val="003A0181"/>
    <w:rsid w:val="003A03DC"/>
    <w:rsid w:val="003A0663"/>
    <w:rsid w:val="003A0CD2"/>
    <w:rsid w:val="003A14FA"/>
    <w:rsid w:val="003A19E2"/>
    <w:rsid w:val="003A1E5D"/>
    <w:rsid w:val="003A1E62"/>
    <w:rsid w:val="003A26F9"/>
    <w:rsid w:val="003A293C"/>
    <w:rsid w:val="003A2964"/>
    <w:rsid w:val="003A2EAC"/>
    <w:rsid w:val="003A3850"/>
    <w:rsid w:val="003A3902"/>
    <w:rsid w:val="003A46A7"/>
    <w:rsid w:val="003A48A8"/>
    <w:rsid w:val="003A4A35"/>
    <w:rsid w:val="003A504B"/>
    <w:rsid w:val="003A64B0"/>
    <w:rsid w:val="003A660C"/>
    <w:rsid w:val="003A7917"/>
    <w:rsid w:val="003A791E"/>
    <w:rsid w:val="003B0238"/>
    <w:rsid w:val="003B1630"/>
    <w:rsid w:val="003B23A0"/>
    <w:rsid w:val="003B2865"/>
    <w:rsid w:val="003B2E19"/>
    <w:rsid w:val="003B300C"/>
    <w:rsid w:val="003B3958"/>
    <w:rsid w:val="003B3B46"/>
    <w:rsid w:val="003B3E65"/>
    <w:rsid w:val="003B412B"/>
    <w:rsid w:val="003B434E"/>
    <w:rsid w:val="003B43A3"/>
    <w:rsid w:val="003B4831"/>
    <w:rsid w:val="003B4FC9"/>
    <w:rsid w:val="003B5110"/>
    <w:rsid w:val="003B51ED"/>
    <w:rsid w:val="003B54B8"/>
    <w:rsid w:val="003B5932"/>
    <w:rsid w:val="003B5CF2"/>
    <w:rsid w:val="003B5E9D"/>
    <w:rsid w:val="003B5F30"/>
    <w:rsid w:val="003B6A47"/>
    <w:rsid w:val="003B6B71"/>
    <w:rsid w:val="003B6BBF"/>
    <w:rsid w:val="003B736F"/>
    <w:rsid w:val="003B7D54"/>
    <w:rsid w:val="003C019A"/>
    <w:rsid w:val="003C0D68"/>
    <w:rsid w:val="003C152E"/>
    <w:rsid w:val="003C1B69"/>
    <w:rsid w:val="003C1C4B"/>
    <w:rsid w:val="003C2F31"/>
    <w:rsid w:val="003C32E4"/>
    <w:rsid w:val="003C34CC"/>
    <w:rsid w:val="003C3622"/>
    <w:rsid w:val="003C42B0"/>
    <w:rsid w:val="003C4360"/>
    <w:rsid w:val="003C4BA3"/>
    <w:rsid w:val="003C50AF"/>
    <w:rsid w:val="003C5197"/>
    <w:rsid w:val="003C53DA"/>
    <w:rsid w:val="003C5429"/>
    <w:rsid w:val="003C54F9"/>
    <w:rsid w:val="003C5BCE"/>
    <w:rsid w:val="003C610A"/>
    <w:rsid w:val="003C6644"/>
    <w:rsid w:val="003C6A47"/>
    <w:rsid w:val="003C6B3E"/>
    <w:rsid w:val="003D076D"/>
    <w:rsid w:val="003D142C"/>
    <w:rsid w:val="003D15FF"/>
    <w:rsid w:val="003D164F"/>
    <w:rsid w:val="003D1DE4"/>
    <w:rsid w:val="003D21AA"/>
    <w:rsid w:val="003D2E27"/>
    <w:rsid w:val="003D4645"/>
    <w:rsid w:val="003D471F"/>
    <w:rsid w:val="003D4796"/>
    <w:rsid w:val="003D4C61"/>
    <w:rsid w:val="003D5BBB"/>
    <w:rsid w:val="003D5F10"/>
    <w:rsid w:val="003D613F"/>
    <w:rsid w:val="003D65C7"/>
    <w:rsid w:val="003D690C"/>
    <w:rsid w:val="003D6D9B"/>
    <w:rsid w:val="003D7358"/>
    <w:rsid w:val="003D7D92"/>
    <w:rsid w:val="003D7FC8"/>
    <w:rsid w:val="003E05ED"/>
    <w:rsid w:val="003E137D"/>
    <w:rsid w:val="003E199C"/>
    <w:rsid w:val="003E1CE0"/>
    <w:rsid w:val="003E1FA1"/>
    <w:rsid w:val="003E20E8"/>
    <w:rsid w:val="003E23A1"/>
    <w:rsid w:val="003E24A9"/>
    <w:rsid w:val="003E2DE0"/>
    <w:rsid w:val="003E3819"/>
    <w:rsid w:val="003E3A17"/>
    <w:rsid w:val="003E3A91"/>
    <w:rsid w:val="003E3B31"/>
    <w:rsid w:val="003E4883"/>
    <w:rsid w:val="003E5212"/>
    <w:rsid w:val="003E528F"/>
    <w:rsid w:val="003E52DA"/>
    <w:rsid w:val="003E5C3A"/>
    <w:rsid w:val="003E5D89"/>
    <w:rsid w:val="003E5EBD"/>
    <w:rsid w:val="003E6182"/>
    <w:rsid w:val="003E61B7"/>
    <w:rsid w:val="003E64D8"/>
    <w:rsid w:val="003E6556"/>
    <w:rsid w:val="003E738A"/>
    <w:rsid w:val="003E73A4"/>
    <w:rsid w:val="003E746B"/>
    <w:rsid w:val="003E7B17"/>
    <w:rsid w:val="003E7C03"/>
    <w:rsid w:val="003F0562"/>
    <w:rsid w:val="003F0669"/>
    <w:rsid w:val="003F081C"/>
    <w:rsid w:val="003F08D9"/>
    <w:rsid w:val="003F1171"/>
    <w:rsid w:val="003F17AD"/>
    <w:rsid w:val="003F1BCD"/>
    <w:rsid w:val="003F1CC0"/>
    <w:rsid w:val="003F269A"/>
    <w:rsid w:val="003F3996"/>
    <w:rsid w:val="003F49AD"/>
    <w:rsid w:val="003F4A3D"/>
    <w:rsid w:val="003F4B7D"/>
    <w:rsid w:val="003F5290"/>
    <w:rsid w:val="003F5F2F"/>
    <w:rsid w:val="003F63E8"/>
    <w:rsid w:val="003F7892"/>
    <w:rsid w:val="003F7F54"/>
    <w:rsid w:val="0040013F"/>
    <w:rsid w:val="00400187"/>
    <w:rsid w:val="004002D2"/>
    <w:rsid w:val="004004B9"/>
    <w:rsid w:val="004004E6"/>
    <w:rsid w:val="004006FA"/>
    <w:rsid w:val="00400A07"/>
    <w:rsid w:val="00400B36"/>
    <w:rsid w:val="00400E07"/>
    <w:rsid w:val="004018C0"/>
    <w:rsid w:val="00401AB4"/>
    <w:rsid w:val="00401E9C"/>
    <w:rsid w:val="00402214"/>
    <w:rsid w:val="00402ADA"/>
    <w:rsid w:val="00402B57"/>
    <w:rsid w:val="00402EC9"/>
    <w:rsid w:val="00402F98"/>
    <w:rsid w:val="00403312"/>
    <w:rsid w:val="00403B5F"/>
    <w:rsid w:val="0040424F"/>
    <w:rsid w:val="0040474E"/>
    <w:rsid w:val="0040491F"/>
    <w:rsid w:val="00404B88"/>
    <w:rsid w:val="00404F29"/>
    <w:rsid w:val="00405669"/>
    <w:rsid w:val="0040635F"/>
    <w:rsid w:val="00406385"/>
    <w:rsid w:val="004064FF"/>
    <w:rsid w:val="00406D4E"/>
    <w:rsid w:val="00406E45"/>
    <w:rsid w:val="004076B7"/>
    <w:rsid w:val="00410F96"/>
    <w:rsid w:val="00411675"/>
    <w:rsid w:val="00411706"/>
    <w:rsid w:val="0041171E"/>
    <w:rsid w:val="00411763"/>
    <w:rsid w:val="00411BFF"/>
    <w:rsid w:val="00412326"/>
    <w:rsid w:val="00412FDF"/>
    <w:rsid w:val="00413092"/>
    <w:rsid w:val="004139B0"/>
    <w:rsid w:val="00413F88"/>
    <w:rsid w:val="00414CBC"/>
    <w:rsid w:val="00414F8C"/>
    <w:rsid w:val="00415967"/>
    <w:rsid w:val="00415CE6"/>
    <w:rsid w:val="00416A7B"/>
    <w:rsid w:val="00416BE1"/>
    <w:rsid w:val="00416C12"/>
    <w:rsid w:val="00417329"/>
    <w:rsid w:val="00417D97"/>
    <w:rsid w:val="00420B34"/>
    <w:rsid w:val="00421E82"/>
    <w:rsid w:val="00422010"/>
    <w:rsid w:val="004223D5"/>
    <w:rsid w:val="004225C0"/>
    <w:rsid w:val="0042308F"/>
    <w:rsid w:val="0042316B"/>
    <w:rsid w:val="004231BE"/>
    <w:rsid w:val="00423BC4"/>
    <w:rsid w:val="00423E41"/>
    <w:rsid w:val="00423EB8"/>
    <w:rsid w:val="00424276"/>
    <w:rsid w:val="004254BA"/>
    <w:rsid w:val="004255A0"/>
    <w:rsid w:val="00426EE8"/>
    <w:rsid w:val="00426FBF"/>
    <w:rsid w:val="0042702A"/>
    <w:rsid w:val="00427259"/>
    <w:rsid w:val="004304C0"/>
    <w:rsid w:val="004304F4"/>
    <w:rsid w:val="00430DB8"/>
    <w:rsid w:val="00430DDA"/>
    <w:rsid w:val="004315D6"/>
    <w:rsid w:val="00432183"/>
    <w:rsid w:val="00432575"/>
    <w:rsid w:val="00432FDD"/>
    <w:rsid w:val="004330C6"/>
    <w:rsid w:val="00433439"/>
    <w:rsid w:val="00433C26"/>
    <w:rsid w:val="00433CD0"/>
    <w:rsid w:val="00434331"/>
    <w:rsid w:val="00434711"/>
    <w:rsid w:val="0043501F"/>
    <w:rsid w:val="0043543F"/>
    <w:rsid w:val="004357E6"/>
    <w:rsid w:val="0043741E"/>
    <w:rsid w:val="0043752F"/>
    <w:rsid w:val="00437723"/>
    <w:rsid w:val="00440546"/>
    <w:rsid w:val="00440D2B"/>
    <w:rsid w:val="0044162A"/>
    <w:rsid w:val="00441ACC"/>
    <w:rsid w:val="00441EE7"/>
    <w:rsid w:val="004427DE"/>
    <w:rsid w:val="00443011"/>
    <w:rsid w:val="00443B1B"/>
    <w:rsid w:val="00444AD5"/>
    <w:rsid w:val="00444BBE"/>
    <w:rsid w:val="00444CB2"/>
    <w:rsid w:val="00445D9B"/>
    <w:rsid w:val="004460A3"/>
    <w:rsid w:val="00446414"/>
    <w:rsid w:val="0044655E"/>
    <w:rsid w:val="00446952"/>
    <w:rsid w:val="00446B11"/>
    <w:rsid w:val="00446E24"/>
    <w:rsid w:val="00446EF0"/>
    <w:rsid w:val="004470B7"/>
    <w:rsid w:val="00447259"/>
    <w:rsid w:val="00447A14"/>
    <w:rsid w:val="00447ADC"/>
    <w:rsid w:val="00447D92"/>
    <w:rsid w:val="004501A4"/>
    <w:rsid w:val="004501D5"/>
    <w:rsid w:val="00450856"/>
    <w:rsid w:val="004508B3"/>
    <w:rsid w:val="00451501"/>
    <w:rsid w:val="00451F73"/>
    <w:rsid w:val="00452500"/>
    <w:rsid w:val="0045395D"/>
    <w:rsid w:val="004540C0"/>
    <w:rsid w:val="0045421A"/>
    <w:rsid w:val="004558D6"/>
    <w:rsid w:val="00455EF4"/>
    <w:rsid w:val="00457F04"/>
    <w:rsid w:val="00460438"/>
    <w:rsid w:val="0046172A"/>
    <w:rsid w:val="00461B31"/>
    <w:rsid w:val="00461C91"/>
    <w:rsid w:val="004633DA"/>
    <w:rsid w:val="00463B51"/>
    <w:rsid w:val="00463E96"/>
    <w:rsid w:val="00463ED0"/>
    <w:rsid w:val="0046423F"/>
    <w:rsid w:val="004644D6"/>
    <w:rsid w:val="0046499A"/>
    <w:rsid w:val="0046508F"/>
    <w:rsid w:val="004653A6"/>
    <w:rsid w:val="00465BDC"/>
    <w:rsid w:val="0046657C"/>
    <w:rsid w:val="00466E3A"/>
    <w:rsid w:val="00466E92"/>
    <w:rsid w:val="00467144"/>
    <w:rsid w:val="00467202"/>
    <w:rsid w:val="004672A3"/>
    <w:rsid w:val="00467755"/>
    <w:rsid w:val="0047033E"/>
    <w:rsid w:val="00470E70"/>
    <w:rsid w:val="0047174D"/>
    <w:rsid w:val="00471A70"/>
    <w:rsid w:val="00471AAD"/>
    <w:rsid w:val="0047204C"/>
    <w:rsid w:val="004721BA"/>
    <w:rsid w:val="00472C18"/>
    <w:rsid w:val="004747BC"/>
    <w:rsid w:val="00474885"/>
    <w:rsid w:val="004756F3"/>
    <w:rsid w:val="004769D9"/>
    <w:rsid w:val="00477077"/>
    <w:rsid w:val="00477985"/>
    <w:rsid w:val="00477F48"/>
    <w:rsid w:val="004807D7"/>
    <w:rsid w:val="004809BD"/>
    <w:rsid w:val="00480B15"/>
    <w:rsid w:val="00480B8B"/>
    <w:rsid w:val="00480BCD"/>
    <w:rsid w:val="004810C5"/>
    <w:rsid w:val="00481138"/>
    <w:rsid w:val="004813B4"/>
    <w:rsid w:val="00482532"/>
    <w:rsid w:val="00482A45"/>
    <w:rsid w:val="0048330F"/>
    <w:rsid w:val="004834C6"/>
    <w:rsid w:val="0048401A"/>
    <w:rsid w:val="00484022"/>
    <w:rsid w:val="00484BEE"/>
    <w:rsid w:val="00485818"/>
    <w:rsid w:val="00485CA6"/>
    <w:rsid w:val="0048642A"/>
    <w:rsid w:val="0048678F"/>
    <w:rsid w:val="0048698B"/>
    <w:rsid w:val="00486D94"/>
    <w:rsid w:val="00487B03"/>
    <w:rsid w:val="00487D54"/>
    <w:rsid w:val="00487D75"/>
    <w:rsid w:val="00490132"/>
    <w:rsid w:val="0049034D"/>
    <w:rsid w:val="00490552"/>
    <w:rsid w:val="00490729"/>
    <w:rsid w:val="0049123A"/>
    <w:rsid w:val="004916B3"/>
    <w:rsid w:val="0049235D"/>
    <w:rsid w:val="00492DEF"/>
    <w:rsid w:val="004932FB"/>
    <w:rsid w:val="0049599D"/>
    <w:rsid w:val="00495A07"/>
    <w:rsid w:val="00495A1E"/>
    <w:rsid w:val="00495D43"/>
    <w:rsid w:val="00495E73"/>
    <w:rsid w:val="00496868"/>
    <w:rsid w:val="004968E7"/>
    <w:rsid w:val="00496C8A"/>
    <w:rsid w:val="0049736B"/>
    <w:rsid w:val="004974B6"/>
    <w:rsid w:val="00497BAE"/>
    <w:rsid w:val="00497F5B"/>
    <w:rsid w:val="004A0010"/>
    <w:rsid w:val="004A07D8"/>
    <w:rsid w:val="004A0B42"/>
    <w:rsid w:val="004A0D09"/>
    <w:rsid w:val="004A0EB6"/>
    <w:rsid w:val="004A1475"/>
    <w:rsid w:val="004A1ABC"/>
    <w:rsid w:val="004A2195"/>
    <w:rsid w:val="004A2423"/>
    <w:rsid w:val="004A2FA5"/>
    <w:rsid w:val="004A3235"/>
    <w:rsid w:val="004A357C"/>
    <w:rsid w:val="004A41D0"/>
    <w:rsid w:val="004A4537"/>
    <w:rsid w:val="004A478E"/>
    <w:rsid w:val="004A4973"/>
    <w:rsid w:val="004A49FE"/>
    <w:rsid w:val="004A4C58"/>
    <w:rsid w:val="004A50BA"/>
    <w:rsid w:val="004A531E"/>
    <w:rsid w:val="004A59F5"/>
    <w:rsid w:val="004A5A7F"/>
    <w:rsid w:val="004A5BF6"/>
    <w:rsid w:val="004A5E8C"/>
    <w:rsid w:val="004A6288"/>
    <w:rsid w:val="004A68BB"/>
    <w:rsid w:val="004A7D94"/>
    <w:rsid w:val="004B0467"/>
    <w:rsid w:val="004B07C6"/>
    <w:rsid w:val="004B08AA"/>
    <w:rsid w:val="004B0D0E"/>
    <w:rsid w:val="004B1163"/>
    <w:rsid w:val="004B125B"/>
    <w:rsid w:val="004B199F"/>
    <w:rsid w:val="004B288E"/>
    <w:rsid w:val="004B3127"/>
    <w:rsid w:val="004B3487"/>
    <w:rsid w:val="004B36F5"/>
    <w:rsid w:val="004B398F"/>
    <w:rsid w:val="004B42E5"/>
    <w:rsid w:val="004B5927"/>
    <w:rsid w:val="004B5B1C"/>
    <w:rsid w:val="004B6CCE"/>
    <w:rsid w:val="004B7560"/>
    <w:rsid w:val="004B7CCF"/>
    <w:rsid w:val="004C1255"/>
    <w:rsid w:val="004C1542"/>
    <w:rsid w:val="004C23F2"/>
    <w:rsid w:val="004C32A2"/>
    <w:rsid w:val="004C3C67"/>
    <w:rsid w:val="004C3FDF"/>
    <w:rsid w:val="004C4198"/>
    <w:rsid w:val="004C484C"/>
    <w:rsid w:val="004C58C7"/>
    <w:rsid w:val="004C65AF"/>
    <w:rsid w:val="004C774D"/>
    <w:rsid w:val="004C791F"/>
    <w:rsid w:val="004D0116"/>
    <w:rsid w:val="004D06D0"/>
    <w:rsid w:val="004D0B58"/>
    <w:rsid w:val="004D0E1B"/>
    <w:rsid w:val="004D14F9"/>
    <w:rsid w:val="004D1DA4"/>
    <w:rsid w:val="004D1FBB"/>
    <w:rsid w:val="004D1FFA"/>
    <w:rsid w:val="004D236C"/>
    <w:rsid w:val="004D2FDB"/>
    <w:rsid w:val="004D46EB"/>
    <w:rsid w:val="004D47F9"/>
    <w:rsid w:val="004D4997"/>
    <w:rsid w:val="004D4E9C"/>
    <w:rsid w:val="004D50E4"/>
    <w:rsid w:val="004D5AAA"/>
    <w:rsid w:val="004D5C48"/>
    <w:rsid w:val="004D626A"/>
    <w:rsid w:val="004D6340"/>
    <w:rsid w:val="004D672C"/>
    <w:rsid w:val="004D6AA9"/>
    <w:rsid w:val="004D6BD7"/>
    <w:rsid w:val="004D7307"/>
    <w:rsid w:val="004D7E28"/>
    <w:rsid w:val="004E0306"/>
    <w:rsid w:val="004E07B2"/>
    <w:rsid w:val="004E07BA"/>
    <w:rsid w:val="004E0B6C"/>
    <w:rsid w:val="004E11BF"/>
    <w:rsid w:val="004E1348"/>
    <w:rsid w:val="004E1688"/>
    <w:rsid w:val="004E20C1"/>
    <w:rsid w:val="004E22F6"/>
    <w:rsid w:val="004E2FF5"/>
    <w:rsid w:val="004E3EA7"/>
    <w:rsid w:val="004E429A"/>
    <w:rsid w:val="004E4559"/>
    <w:rsid w:val="004E4DBA"/>
    <w:rsid w:val="004E4DE0"/>
    <w:rsid w:val="004E559F"/>
    <w:rsid w:val="004E5CD7"/>
    <w:rsid w:val="004E5DE0"/>
    <w:rsid w:val="004E6740"/>
    <w:rsid w:val="004E740F"/>
    <w:rsid w:val="004F072A"/>
    <w:rsid w:val="004F0E9F"/>
    <w:rsid w:val="004F10DC"/>
    <w:rsid w:val="004F2BD8"/>
    <w:rsid w:val="004F2D10"/>
    <w:rsid w:val="004F2DA0"/>
    <w:rsid w:val="004F38DF"/>
    <w:rsid w:val="004F39EB"/>
    <w:rsid w:val="004F44DF"/>
    <w:rsid w:val="004F46C1"/>
    <w:rsid w:val="004F4730"/>
    <w:rsid w:val="004F488A"/>
    <w:rsid w:val="004F4CAB"/>
    <w:rsid w:val="004F5745"/>
    <w:rsid w:val="004F6002"/>
    <w:rsid w:val="004F6A82"/>
    <w:rsid w:val="004F6B60"/>
    <w:rsid w:val="004F6CDB"/>
    <w:rsid w:val="004F7275"/>
    <w:rsid w:val="004F7649"/>
    <w:rsid w:val="004F7924"/>
    <w:rsid w:val="004F7B00"/>
    <w:rsid w:val="00500018"/>
    <w:rsid w:val="0050013A"/>
    <w:rsid w:val="005004AD"/>
    <w:rsid w:val="0050063C"/>
    <w:rsid w:val="00500A13"/>
    <w:rsid w:val="00501400"/>
    <w:rsid w:val="0050141A"/>
    <w:rsid w:val="00501519"/>
    <w:rsid w:val="005015D4"/>
    <w:rsid w:val="00501AE3"/>
    <w:rsid w:val="005020FE"/>
    <w:rsid w:val="0050252D"/>
    <w:rsid w:val="00502DD8"/>
    <w:rsid w:val="00503B2C"/>
    <w:rsid w:val="00503C94"/>
    <w:rsid w:val="0050452A"/>
    <w:rsid w:val="005048FF"/>
    <w:rsid w:val="005052DB"/>
    <w:rsid w:val="00505305"/>
    <w:rsid w:val="00505459"/>
    <w:rsid w:val="005054EC"/>
    <w:rsid w:val="00505AD1"/>
    <w:rsid w:val="00505DFE"/>
    <w:rsid w:val="0050723B"/>
    <w:rsid w:val="005075F2"/>
    <w:rsid w:val="00510134"/>
    <w:rsid w:val="005110A6"/>
    <w:rsid w:val="005111F1"/>
    <w:rsid w:val="005124DA"/>
    <w:rsid w:val="00512F1E"/>
    <w:rsid w:val="00514001"/>
    <w:rsid w:val="005141A8"/>
    <w:rsid w:val="0051428A"/>
    <w:rsid w:val="00515341"/>
    <w:rsid w:val="005153EC"/>
    <w:rsid w:val="005153EE"/>
    <w:rsid w:val="005157F1"/>
    <w:rsid w:val="0051730F"/>
    <w:rsid w:val="00517ED5"/>
    <w:rsid w:val="00520349"/>
    <w:rsid w:val="005217C3"/>
    <w:rsid w:val="00521C95"/>
    <w:rsid w:val="00522329"/>
    <w:rsid w:val="00523122"/>
    <w:rsid w:val="005231D8"/>
    <w:rsid w:val="00523D80"/>
    <w:rsid w:val="0052447C"/>
    <w:rsid w:val="005251E5"/>
    <w:rsid w:val="0052526E"/>
    <w:rsid w:val="005252B5"/>
    <w:rsid w:val="00525DB4"/>
    <w:rsid w:val="00525EC2"/>
    <w:rsid w:val="00526B1A"/>
    <w:rsid w:val="00526BA7"/>
    <w:rsid w:val="00526C5F"/>
    <w:rsid w:val="0052741B"/>
    <w:rsid w:val="00527795"/>
    <w:rsid w:val="00527803"/>
    <w:rsid w:val="005304B3"/>
    <w:rsid w:val="00530983"/>
    <w:rsid w:val="00530C0D"/>
    <w:rsid w:val="005315FE"/>
    <w:rsid w:val="005318C3"/>
    <w:rsid w:val="005326E5"/>
    <w:rsid w:val="00532808"/>
    <w:rsid w:val="00532B20"/>
    <w:rsid w:val="00532F3B"/>
    <w:rsid w:val="0053375E"/>
    <w:rsid w:val="00533C39"/>
    <w:rsid w:val="00533FF4"/>
    <w:rsid w:val="005345A9"/>
    <w:rsid w:val="005349E1"/>
    <w:rsid w:val="00534A67"/>
    <w:rsid w:val="00534AAC"/>
    <w:rsid w:val="00534E30"/>
    <w:rsid w:val="00534F6E"/>
    <w:rsid w:val="00535598"/>
    <w:rsid w:val="00535BD8"/>
    <w:rsid w:val="00535EF6"/>
    <w:rsid w:val="00536427"/>
    <w:rsid w:val="005364E8"/>
    <w:rsid w:val="00536564"/>
    <w:rsid w:val="00536C2C"/>
    <w:rsid w:val="00536E70"/>
    <w:rsid w:val="005376C9"/>
    <w:rsid w:val="00540776"/>
    <w:rsid w:val="00540A8A"/>
    <w:rsid w:val="0054112B"/>
    <w:rsid w:val="005415ED"/>
    <w:rsid w:val="00541BEF"/>
    <w:rsid w:val="005425E8"/>
    <w:rsid w:val="005433FC"/>
    <w:rsid w:val="00543545"/>
    <w:rsid w:val="00543A6F"/>
    <w:rsid w:val="00543E7D"/>
    <w:rsid w:val="00543FD0"/>
    <w:rsid w:val="00544305"/>
    <w:rsid w:val="005445E9"/>
    <w:rsid w:val="00544DA6"/>
    <w:rsid w:val="00546998"/>
    <w:rsid w:val="00547794"/>
    <w:rsid w:val="00547AF6"/>
    <w:rsid w:val="00550050"/>
    <w:rsid w:val="00550714"/>
    <w:rsid w:val="00550767"/>
    <w:rsid w:val="00550E9B"/>
    <w:rsid w:val="005510EA"/>
    <w:rsid w:val="00551702"/>
    <w:rsid w:val="00551B04"/>
    <w:rsid w:val="00551F79"/>
    <w:rsid w:val="00552094"/>
    <w:rsid w:val="0055287C"/>
    <w:rsid w:val="00553150"/>
    <w:rsid w:val="00553B3F"/>
    <w:rsid w:val="00553EED"/>
    <w:rsid w:val="00554318"/>
    <w:rsid w:val="005546C0"/>
    <w:rsid w:val="00555796"/>
    <w:rsid w:val="00555BEC"/>
    <w:rsid w:val="0055603A"/>
    <w:rsid w:val="00556146"/>
    <w:rsid w:val="0055614F"/>
    <w:rsid w:val="005563EA"/>
    <w:rsid w:val="0055695F"/>
    <w:rsid w:val="00556B0D"/>
    <w:rsid w:val="00557468"/>
    <w:rsid w:val="00557953"/>
    <w:rsid w:val="00557A93"/>
    <w:rsid w:val="00557B84"/>
    <w:rsid w:val="0056019E"/>
    <w:rsid w:val="00560590"/>
    <w:rsid w:val="00560611"/>
    <w:rsid w:val="00560AB7"/>
    <w:rsid w:val="005610A7"/>
    <w:rsid w:val="00561789"/>
    <w:rsid w:val="00561A8D"/>
    <w:rsid w:val="00561DAD"/>
    <w:rsid w:val="00561EF7"/>
    <w:rsid w:val="00561F62"/>
    <w:rsid w:val="00563159"/>
    <w:rsid w:val="005631CA"/>
    <w:rsid w:val="005631F8"/>
    <w:rsid w:val="005634C3"/>
    <w:rsid w:val="00563DAB"/>
    <w:rsid w:val="0056438D"/>
    <w:rsid w:val="00566232"/>
    <w:rsid w:val="005662B9"/>
    <w:rsid w:val="00566335"/>
    <w:rsid w:val="005700E5"/>
    <w:rsid w:val="00570D93"/>
    <w:rsid w:val="005716FD"/>
    <w:rsid w:val="0057170C"/>
    <w:rsid w:val="0057171A"/>
    <w:rsid w:val="00571B6A"/>
    <w:rsid w:val="005724F4"/>
    <w:rsid w:val="00572CD7"/>
    <w:rsid w:val="00572D37"/>
    <w:rsid w:val="00572F30"/>
    <w:rsid w:val="0057333C"/>
    <w:rsid w:val="005733BB"/>
    <w:rsid w:val="005739BA"/>
    <w:rsid w:val="005739EF"/>
    <w:rsid w:val="00573C72"/>
    <w:rsid w:val="005744E1"/>
    <w:rsid w:val="0057525D"/>
    <w:rsid w:val="00575889"/>
    <w:rsid w:val="005765E0"/>
    <w:rsid w:val="005772EC"/>
    <w:rsid w:val="005779F3"/>
    <w:rsid w:val="005801E2"/>
    <w:rsid w:val="00580A16"/>
    <w:rsid w:val="00580C1A"/>
    <w:rsid w:val="00580CC9"/>
    <w:rsid w:val="00580EDE"/>
    <w:rsid w:val="005815C5"/>
    <w:rsid w:val="00581A35"/>
    <w:rsid w:val="005826D5"/>
    <w:rsid w:val="00582936"/>
    <w:rsid w:val="00582D74"/>
    <w:rsid w:val="00582E6E"/>
    <w:rsid w:val="0058341A"/>
    <w:rsid w:val="00583887"/>
    <w:rsid w:val="00583A88"/>
    <w:rsid w:val="00583CA9"/>
    <w:rsid w:val="005844A3"/>
    <w:rsid w:val="005844C3"/>
    <w:rsid w:val="005845D1"/>
    <w:rsid w:val="00584759"/>
    <w:rsid w:val="00586132"/>
    <w:rsid w:val="0058631C"/>
    <w:rsid w:val="0058665D"/>
    <w:rsid w:val="0058665F"/>
    <w:rsid w:val="00586B11"/>
    <w:rsid w:val="00586DDE"/>
    <w:rsid w:val="0058709C"/>
    <w:rsid w:val="00587661"/>
    <w:rsid w:val="00590143"/>
    <w:rsid w:val="00590E69"/>
    <w:rsid w:val="00590F9F"/>
    <w:rsid w:val="00591297"/>
    <w:rsid w:val="00591FFE"/>
    <w:rsid w:val="0059208A"/>
    <w:rsid w:val="00592D45"/>
    <w:rsid w:val="00592DCA"/>
    <w:rsid w:val="00593629"/>
    <w:rsid w:val="005938F9"/>
    <w:rsid w:val="00593A11"/>
    <w:rsid w:val="00593E44"/>
    <w:rsid w:val="0059474C"/>
    <w:rsid w:val="00595700"/>
    <w:rsid w:val="005961A6"/>
    <w:rsid w:val="005961FC"/>
    <w:rsid w:val="0059653B"/>
    <w:rsid w:val="0059654A"/>
    <w:rsid w:val="00596CDC"/>
    <w:rsid w:val="0059732B"/>
    <w:rsid w:val="0059764E"/>
    <w:rsid w:val="005977F0"/>
    <w:rsid w:val="00597C8B"/>
    <w:rsid w:val="005A1203"/>
    <w:rsid w:val="005A16DC"/>
    <w:rsid w:val="005A19B6"/>
    <w:rsid w:val="005A2EA6"/>
    <w:rsid w:val="005A39ED"/>
    <w:rsid w:val="005A3A8F"/>
    <w:rsid w:val="005A3BBC"/>
    <w:rsid w:val="005A3D7B"/>
    <w:rsid w:val="005A4CA1"/>
    <w:rsid w:val="005A4FB7"/>
    <w:rsid w:val="005A5085"/>
    <w:rsid w:val="005A5AD6"/>
    <w:rsid w:val="005A5AE2"/>
    <w:rsid w:val="005A631B"/>
    <w:rsid w:val="005A6A51"/>
    <w:rsid w:val="005A6D56"/>
    <w:rsid w:val="005A772A"/>
    <w:rsid w:val="005A7C21"/>
    <w:rsid w:val="005A7EDB"/>
    <w:rsid w:val="005B0142"/>
    <w:rsid w:val="005B1730"/>
    <w:rsid w:val="005B1876"/>
    <w:rsid w:val="005B1D61"/>
    <w:rsid w:val="005B25BE"/>
    <w:rsid w:val="005B2894"/>
    <w:rsid w:val="005B2903"/>
    <w:rsid w:val="005B2F03"/>
    <w:rsid w:val="005B30A0"/>
    <w:rsid w:val="005B36C3"/>
    <w:rsid w:val="005B3BDA"/>
    <w:rsid w:val="005B3E9D"/>
    <w:rsid w:val="005B46B0"/>
    <w:rsid w:val="005B4A56"/>
    <w:rsid w:val="005B4B3D"/>
    <w:rsid w:val="005B6450"/>
    <w:rsid w:val="005B684D"/>
    <w:rsid w:val="005B69EC"/>
    <w:rsid w:val="005B6F1C"/>
    <w:rsid w:val="005B7049"/>
    <w:rsid w:val="005B7BA0"/>
    <w:rsid w:val="005B7E51"/>
    <w:rsid w:val="005C0032"/>
    <w:rsid w:val="005C03E9"/>
    <w:rsid w:val="005C0CAC"/>
    <w:rsid w:val="005C105F"/>
    <w:rsid w:val="005C1418"/>
    <w:rsid w:val="005C1451"/>
    <w:rsid w:val="005C2E63"/>
    <w:rsid w:val="005C3BA7"/>
    <w:rsid w:val="005C4231"/>
    <w:rsid w:val="005C565F"/>
    <w:rsid w:val="005C590B"/>
    <w:rsid w:val="005C5C2C"/>
    <w:rsid w:val="005C5C67"/>
    <w:rsid w:val="005C6555"/>
    <w:rsid w:val="005C68F3"/>
    <w:rsid w:val="005C6A37"/>
    <w:rsid w:val="005C6D95"/>
    <w:rsid w:val="005C6E4D"/>
    <w:rsid w:val="005C7237"/>
    <w:rsid w:val="005C727E"/>
    <w:rsid w:val="005C7304"/>
    <w:rsid w:val="005C7496"/>
    <w:rsid w:val="005C774B"/>
    <w:rsid w:val="005C7902"/>
    <w:rsid w:val="005C7BD1"/>
    <w:rsid w:val="005C7CE8"/>
    <w:rsid w:val="005C7FF0"/>
    <w:rsid w:val="005D0078"/>
    <w:rsid w:val="005D03D8"/>
    <w:rsid w:val="005D0528"/>
    <w:rsid w:val="005D09F0"/>
    <w:rsid w:val="005D0A68"/>
    <w:rsid w:val="005D0DA1"/>
    <w:rsid w:val="005D169A"/>
    <w:rsid w:val="005D16E1"/>
    <w:rsid w:val="005D1AC3"/>
    <w:rsid w:val="005D2406"/>
    <w:rsid w:val="005D257B"/>
    <w:rsid w:val="005D2BFA"/>
    <w:rsid w:val="005D31D6"/>
    <w:rsid w:val="005D3C2F"/>
    <w:rsid w:val="005D4487"/>
    <w:rsid w:val="005D45F8"/>
    <w:rsid w:val="005D4F59"/>
    <w:rsid w:val="005D509C"/>
    <w:rsid w:val="005D5175"/>
    <w:rsid w:val="005D52C1"/>
    <w:rsid w:val="005D5385"/>
    <w:rsid w:val="005D56E1"/>
    <w:rsid w:val="005D59E2"/>
    <w:rsid w:val="005D6123"/>
    <w:rsid w:val="005D7001"/>
    <w:rsid w:val="005D74A1"/>
    <w:rsid w:val="005D77FD"/>
    <w:rsid w:val="005D7F27"/>
    <w:rsid w:val="005E03D3"/>
    <w:rsid w:val="005E0AEF"/>
    <w:rsid w:val="005E0E97"/>
    <w:rsid w:val="005E1220"/>
    <w:rsid w:val="005E12F3"/>
    <w:rsid w:val="005E1499"/>
    <w:rsid w:val="005E1828"/>
    <w:rsid w:val="005E1F15"/>
    <w:rsid w:val="005E1FCC"/>
    <w:rsid w:val="005E219A"/>
    <w:rsid w:val="005E21D1"/>
    <w:rsid w:val="005E226E"/>
    <w:rsid w:val="005E2697"/>
    <w:rsid w:val="005E31AD"/>
    <w:rsid w:val="005E4BD5"/>
    <w:rsid w:val="005E4C36"/>
    <w:rsid w:val="005E4E35"/>
    <w:rsid w:val="005E532E"/>
    <w:rsid w:val="005E585D"/>
    <w:rsid w:val="005E5D6B"/>
    <w:rsid w:val="005E6541"/>
    <w:rsid w:val="005E6AD9"/>
    <w:rsid w:val="005E6BF4"/>
    <w:rsid w:val="005E6ED3"/>
    <w:rsid w:val="005E6FBB"/>
    <w:rsid w:val="005E72E0"/>
    <w:rsid w:val="005E7800"/>
    <w:rsid w:val="005E7820"/>
    <w:rsid w:val="005E7912"/>
    <w:rsid w:val="005E7EE9"/>
    <w:rsid w:val="005E7FC3"/>
    <w:rsid w:val="005F04A9"/>
    <w:rsid w:val="005F056B"/>
    <w:rsid w:val="005F0F30"/>
    <w:rsid w:val="005F263E"/>
    <w:rsid w:val="005F27EF"/>
    <w:rsid w:val="005F3C81"/>
    <w:rsid w:val="005F463D"/>
    <w:rsid w:val="005F4AB9"/>
    <w:rsid w:val="005F4E69"/>
    <w:rsid w:val="005F53F2"/>
    <w:rsid w:val="005F5971"/>
    <w:rsid w:val="005F5F19"/>
    <w:rsid w:val="005F6528"/>
    <w:rsid w:val="005F6786"/>
    <w:rsid w:val="005F6C1A"/>
    <w:rsid w:val="005F7004"/>
    <w:rsid w:val="005F7508"/>
    <w:rsid w:val="005F78E5"/>
    <w:rsid w:val="005F79BC"/>
    <w:rsid w:val="005F7D4E"/>
    <w:rsid w:val="00600896"/>
    <w:rsid w:val="00600A4F"/>
    <w:rsid w:val="00600C67"/>
    <w:rsid w:val="0060101F"/>
    <w:rsid w:val="00601355"/>
    <w:rsid w:val="00601729"/>
    <w:rsid w:val="006018CE"/>
    <w:rsid w:val="00602140"/>
    <w:rsid w:val="00602803"/>
    <w:rsid w:val="00602D9C"/>
    <w:rsid w:val="006031AF"/>
    <w:rsid w:val="0060326D"/>
    <w:rsid w:val="0060347A"/>
    <w:rsid w:val="00603624"/>
    <w:rsid w:val="0060386B"/>
    <w:rsid w:val="00603F99"/>
    <w:rsid w:val="00604006"/>
    <w:rsid w:val="00604157"/>
    <w:rsid w:val="00604227"/>
    <w:rsid w:val="00605783"/>
    <w:rsid w:val="00605F54"/>
    <w:rsid w:val="0060678E"/>
    <w:rsid w:val="00606D91"/>
    <w:rsid w:val="00607086"/>
    <w:rsid w:val="006071C9"/>
    <w:rsid w:val="00607368"/>
    <w:rsid w:val="00607425"/>
    <w:rsid w:val="00607FEC"/>
    <w:rsid w:val="0061042F"/>
    <w:rsid w:val="00610430"/>
    <w:rsid w:val="006107EE"/>
    <w:rsid w:val="00610AB4"/>
    <w:rsid w:val="00610D7E"/>
    <w:rsid w:val="00610E3A"/>
    <w:rsid w:val="0061105F"/>
    <w:rsid w:val="00611E58"/>
    <w:rsid w:val="006121FE"/>
    <w:rsid w:val="00612C06"/>
    <w:rsid w:val="00612DC6"/>
    <w:rsid w:val="00613047"/>
    <w:rsid w:val="0061404A"/>
    <w:rsid w:val="0061460C"/>
    <w:rsid w:val="00614B58"/>
    <w:rsid w:val="00615AEA"/>
    <w:rsid w:val="0061627A"/>
    <w:rsid w:val="00616E46"/>
    <w:rsid w:val="00617AA1"/>
    <w:rsid w:val="00617CA6"/>
    <w:rsid w:val="00617DDA"/>
    <w:rsid w:val="006200DD"/>
    <w:rsid w:val="0062084B"/>
    <w:rsid w:val="00620E0B"/>
    <w:rsid w:val="0062116C"/>
    <w:rsid w:val="006211C4"/>
    <w:rsid w:val="006221A7"/>
    <w:rsid w:val="00622F6A"/>
    <w:rsid w:val="0062334C"/>
    <w:rsid w:val="0062367E"/>
    <w:rsid w:val="00624209"/>
    <w:rsid w:val="0062453A"/>
    <w:rsid w:val="00624990"/>
    <w:rsid w:val="00624B43"/>
    <w:rsid w:val="00625839"/>
    <w:rsid w:val="006260BF"/>
    <w:rsid w:val="0062628A"/>
    <w:rsid w:val="00626546"/>
    <w:rsid w:val="00626553"/>
    <w:rsid w:val="006268E3"/>
    <w:rsid w:val="00626B6D"/>
    <w:rsid w:val="00627C6B"/>
    <w:rsid w:val="00627CF1"/>
    <w:rsid w:val="006305BC"/>
    <w:rsid w:val="00630B11"/>
    <w:rsid w:val="006310A9"/>
    <w:rsid w:val="00631765"/>
    <w:rsid w:val="00631B6D"/>
    <w:rsid w:val="00632FBE"/>
    <w:rsid w:val="00633222"/>
    <w:rsid w:val="00633DBF"/>
    <w:rsid w:val="00634461"/>
    <w:rsid w:val="006347E6"/>
    <w:rsid w:val="00634BE7"/>
    <w:rsid w:val="00634C92"/>
    <w:rsid w:val="00634D38"/>
    <w:rsid w:val="00634D95"/>
    <w:rsid w:val="00635A5C"/>
    <w:rsid w:val="00635C89"/>
    <w:rsid w:val="00635D0F"/>
    <w:rsid w:val="00636F52"/>
    <w:rsid w:val="006402E5"/>
    <w:rsid w:val="00640915"/>
    <w:rsid w:val="00640ED4"/>
    <w:rsid w:val="006415FA"/>
    <w:rsid w:val="00641A24"/>
    <w:rsid w:val="00642567"/>
    <w:rsid w:val="00642BBD"/>
    <w:rsid w:val="00642EF2"/>
    <w:rsid w:val="00643655"/>
    <w:rsid w:val="006437DF"/>
    <w:rsid w:val="0064382F"/>
    <w:rsid w:val="00643C7F"/>
    <w:rsid w:val="00644229"/>
    <w:rsid w:val="006442A2"/>
    <w:rsid w:val="00644E32"/>
    <w:rsid w:val="006454CA"/>
    <w:rsid w:val="006454E6"/>
    <w:rsid w:val="0064679F"/>
    <w:rsid w:val="00646AF9"/>
    <w:rsid w:val="00647BEB"/>
    <w:rsid w:val="00647C11"/>
    <w:rsid w:val="006501A1"/>
    <w:rsid w:val="00650580"/>
    <w:rsid w:val="00651688"/>
    <w:rsid w:val="00651ABF"/>
    <w:rsid w:val="00651C8E"/>
    <w:rsid w:val="00652350"/>
    <w:rsid w:val="00652527"/>
    <w:rsid w:val="00652A94"/>
    <w:rsid w:val="00652AFB"/>
    <w:rsid w:val="00652D78"/>
    <w:rsid w:val="00653123"/>
    <w:rsid w:val="00653275"/>
    <w:rsid w:val="00653462"/>
    <w:rsid w:val="00653572"/>
    <w:rsid w:val="00653A7D"/>
    <w:rsid w:val="006541EA"/>
    <w:rsid w:val="006542B3"/>
    <w:rsid w:val="006543C7"/>
    <w:rsid w:val="006545FF"/>
    <w:rsid w:val="00654B35"/>
    <w:rsid w:val="0065565C"/>
    <w:rsid w:val="00656026"/>
    <w:rsid w:val="0065613E"/>
    <w:rsid w:val="006561EA"/>
    <w:rsid w:val="0065676E"/>
    <w:rsid w:val="00656BB1"/>
    <w:rsid w:val="006574F8"/>
    <w:rsid w:val="00657715"/>
    <w:rsid w:val="0066022B"/>
    <w:rsid w:val="0066030D"/>
    <w:rsid w:val="006614EC"/>
    <w:rsid w:val="00661C40"/>
    <w:rsid w:val="00661CE1"/>
    <w:rsid w:val="00661D89"/>
    <w:rsid w:val="006630AB"/>
    <w:rsid w:val="006644D2"/>
    <w:rsid w:val="0066493C"/>
    <w:rsid w:val="006658D4"/>
    <w:rsid w:val="006659BE"/>
    <w:rsid w:val="00665D7A"/>
    <w:rsid w:val="00666A1F"/>
    <w:rsid w:val="00666D9F"/>
    <w:rsid w:val="00667737"/>
    <w:rsid w:val="006678AE"/>
    <w:rsid w:val="00667907"/>
    <w:rsid w:val="00670951"/>
    <w:rsid w:val="00670F7B"/>
    <w:rsid w:val="00671521"/>
    <w:rsid w:val="00671823"/>
    <w:rsid w:val="00671C03"/>
    <w:rsid w:val="00672010"/>
    <w:rsid w:val="006722DE"/>
    <w:rsid w:val="0067280B"/>
    <w:rsid w:val="00672BEB"/>
    <w:rsid w:val="006738A5"/>
    <w:rsid w:val="00673A86"/>
    <w:rsid w:val="00673A9D"/>
    <w:rsid w:val="00673CF8"/>
    <w:rsid w:val="00674638"/>
    <w:rsid w:val="00675539"/>
    <w:rsid w:val="006755E2"/>
    <w:rsid w:val="00675DE5"/>
    <w:rsid w:val="00675E60"/>
    <w:rsid w:val="006762BD"/>
    <w:rsid w:val="006762FE"/>
    <w:rsid w:val="00676825"/>
    <w:rsid w:val="006772AF"/>
    <w:rsid w:val="0067748F"/>
    <w:rsid w:val="00677732"/>
    <w:rsid w:val="00677743"/>
    <w:rsid w:val="0067774B"/>
    <w:rsid w:val="00677FC7"/>
    <w:rsid w:val="006803E2"/>
    <w:rsid w:val="006804EF"/>
    <w:rsid w:val="00680523"/>
    <w:rsid w:val="006806F2"/>
    <w:rsid w:val="0068081E"/>
    <w:rsid w:val="00680FAC"/>
    <w:rsid w:val="00680FE7"/>
    <w:rsid w:val="00681378"/>
    <w:rsid w:val="006818E1"/>
    <w:rsid w:val="00681DB5"/>
    <w:rsid w:val="0068231C"/>
    <w:rsid w:val="006825F5"/>
    <w:rsid w:val="00682833"/>
    <w:rsid w:val="00682D0E"/>
    <w:rsid w:val="00683011"/>
    <w:rsid w:val="00683213"/>
    <w:rsid w:val="00683364"/>
    <w:rsid w:val="006835E9"/>
    <w:rsid w:val="0068397B"/>
    <w:rsid w:val="00684506"/>
    <w:rsid w:val="00685471"/>
    <w:rsid w:val="006858B9"/>
    <w:rsid w:val="00685DC6"/>
    <w:rsid w:val="006869EF"/>
    <w:rsid w:val="0068749B"/>
    <w:rsid w:val="006876F2"/>
    <w:rsid w:val="006901AC"/>
    <w:rsid w:val="006905B1"/>
    <w:rsid w:val="006905F3"/>
    <w:rsid w:val="0069074F"/>
    <w:rsid w:val="006911C3"/>
    <w:rsid w:val="00691A33"/>
    <w:rsid w:val="00691E56"/>
    <w:rsid w:val="0069220F"/>
    <w:rsid w:val="00692BA9"/>
    <w:rsid w:val="006931A4"/>
    <w:rsid w:val="006940EA"/>
    <w:rsid w:val="006943AB"/>
    <w:rsid w:val="00694564"/>
    <w:rsid w:val="00694795"/>
    <w:rsid w:val="00694F45"/>
    <w:rsid w:val="0069524A"/>
    <w:rsid w:val="006957F8"/>
    <w:rsid w:val="006960C9"/>
    <w:rsid w:val="00696191"/>
    <w:rsid w:val="00696FB4"/>
    <w:rsid w:val="006973D7"/>
    <w:rsid w:val="006976FC"/>
    <w:rsid w:val="0069796B"/>
    <w:rsid w:val="00697DF6"/>
    <w:rsid w:val="006A00A7"/>
    <w:rsid w:val="006A00EE"/>
    <w:rsid w:val="006A0D57"/>
    <w:rsid w:val="006A11DB"/>
    <w:rsid w:val="006A1339"/>
    <w:rsid w:val="006A1B5D"/>
    <w:rsid w:val="006A2283"/>
    <w:rsid w:val="006A2362"/>
    <w:rsid w:val="006A2455"/>
    <w:rsid w:val="006A288F"/>
    <w:rsid w:val="006A3A0D"/>
    <w:rsid w:val="006A443B"/>
    <w:rsid w:val="006A471F"/>
    <w:rsid w:val="006A48ED"/>
    <w:rsid w:val="006A4B84"/>
    <w:rsid w:val="006A514A"/>
    <w:rsid w:val="006A54BB"/>
    <w:rsid w:val="006A57B0"/>
    <w:rsid w:val="006A68EB"/>
    <w:rsid w:val="006A7292"/>
    <w:rsid w:val="006A78D3"/>
    <w:rsid w:val="006B195F"/>
    <w:rsid w:val="006B1C5A"/>
    <w:rsid w:val="006B2020"/>
    <w:rsid w:val="006B2914"/>
    <w:rsid w:val="006B2BA4"/>
    <w:rsid w:val="006B2E5A"/>
    <w:rsid w:val="006B43DF"/>
    <w:rsid w:val="006B46B0"/>
    <w:rsid w:val="006B4C0F"/>
    <w:rsid w:val="006B4EE7"/>
    <w:rsid w:val="006B5030"/>
    <w:rsid w:val="006B52C3"/>
    <w:rsid w:val="006B5BC9"/>
    <w:rsid w:val="006B5EAA"/>
    <w:rsid w:val="006B60FD"/>
    <w:rsid w:val="006B630D"/>
    <w:rsid w:val="006B6D21"/>
    <w:rsid w:val="006B7308"/>
    <w:rsid w:val="006B762C"/>
    <w:rsid w:val="006B774F"/>
    <w:rsid w:val="006B7B55"/>
    <w:rsid w:val="006B7F7F"/>
    <w:rsid w:val="006C0269"/>
    <w:rsid w:val="006C0875"/>
    <w:rsid w:val="006C0B09"/>
    <w:rsid w:val="006C0E5E"/>
    <w:rsid w:val="006C16D9"/>
    <w:rsid w:val="006C1850"/>
    <w:rsid w:val="006C1946"/>
    <w:rsid w:val="006C19D2"/>
    <w:rsid w:val="006C2136"/>
    <w:rsid w:val="006C2DBF"/>
    <w:rsid w:val="006C2DC0"/>
    <w:rsid w:val="006C33DB"/>
    <w:rsid w:val="006C3BCD"/>
    <w:rsid w:val="006C3CA7"/>
    <w:rsid w:val="006C3DB1"/>
    <w:rsid w:val="006C3F36"/>
    <w:rsid w:val="006C3F63"/>
    <w:rsid w:val="006C468D"/>
    <w:rsid w:val="006C477E"/>
    <w:rsid w:val="006C4F59"/>
    <w:rsid w:val="006C50E3"/>
    <w:rsid w:val="006C55ED"/>
    <w:rsid w:val="006C5972"/>
    <w:rsid w:val="006C6ED0"/>
    <w:rsid w:val="006C6F21"/>
    <w:rsid w:val="006C771C"/>
    <w:rsid w:val="006D0C9E"/>
    <w:rsid w:val="006D1059"/>
    <w:rsid w:val="006D1643"/>
    <w:rsid w:val="006D16BE"/>
    <w:rsid w:val="006D1B9E"/>
    <w:rsid w:val="006D216A"/>
    <w:rsid w:val="006D21E6"/>
    <w:rsid w:val="006D242F"/>
    <w:rsid w:val="006D29C4"/>
    <w:rsid w:val="006D2D88"/>
    <w:rsid w:val="006D2E02"/>
    <w:rsid w:val="006D2ED9"/>
    <w:rsid w:val="006D2EF3"/>
    <w:rsid w:val="006D3545"/>
    <w:rsid w:val="006D40AF"/>
    <w:rsid w:val="006D40B2"/>
    <w:rsid w:val="006D43FA"/>
    <w:rsid w:val="006D44FC"/>
    <w:rsid w:val="006D494A"/>
    <w:rsid w:val="006D5379"/>
    <w:rsid w:val="006D5402"/>
    <w:rsid w:val="006D54BC"/>
    <w:rsid w:val="006D54C7"/>
    <w:rsid w:val="006D54E0"/>
    <w:rsid w:val="006D5BCC"/>
    <w:rsid w:val="006D5F46"/>
    <w:rsid w:val="006D61B3"/>
    <w:rsid w:val="006D651D"/>
    <w:rsid w:val="006D6722"/>
    <w:rsid w:val="006D7442"/>
    <w:rsid w:val="006D7D91"/>
    <w:rsid w:val="006D7E47"/>
    <w:rsid w:val="006D7F8D"/>
    <w:rsid w:val="006D7F9C"/>
    <w:rsid w:val="006E038D"/>
    <w:rsid w:val="006E0CEC"/>
    <w:rsid w:val="006E0D55"/>
    <w:rsid w:val="006E0D7C"/>
    <w:rsid w:val="006E133D"/>
    <w:rsid w:val="006E1505"/>
    <w:rsid w:val="006E1CDF"/>
    <w:rsid w:val="006E2665"/>
    <w:rsid w:val="006E2CF6"/>
    <w:rsid w:val="006E30FB"/>
    <w:rsid w:val="006E316D"/>
    <w:rsid w:val="006E3339"/>
    <w:rsid w:val="006E3384"/>
    <w:rsid w:val="006E4AF0"/>
    <w:rsid w:val="006E52F4"/>
    <w:rsid w:val="006E56E9"/>
    <w:rsid w:val="006E57AE"/>
    <w:rsid w:val="006E57F9"/>
    <w:rsid w:val="006E5876"/>
    <w:rsid w:val="006E58BB"/>
    <w:rsid w:val="006E5BD9"/>
    <w:rsid w:val="006E5F03"/>
    <w:rsid w:val="006E616F"/>
    <w:rsid w:val="006E6205"/>
    <w:rsid w:val="006E68D8"/>
    <w:rsid w:val="006E72D7"/>
    <w:rsid w:val="006E763C"/>
    <w:rsid w:val="006E7784"/>
    <w:rsid w:val="006E7849"/>
    <w:rsid w:val="006E7888"/>
    <w:rsid w:val="006F00A8"/>
    <w:rsid w:val="006F090C"/>
    <w:rsid w:val="006F0C8F"/>
    <w:rsid w:val="006F0F98"/>
    <w:rsid w:val="006F10F8"/>
    <w:rsid w:val="006F24E7"/>
    <w:rsid w:val="006F2749"/>
    <w:rsid w:val="006F28EA"/>
    <w:rsid w:val="006F2E39"/>
    <w:rsid w:val="006F4055"/>
    <w:rsid w:val="006F4422"/>
    <w:rsid w:val="006F5069"/>
    <w:rsid w:val="006F50E3"/>
    <w:rsid w:val="006F527A"/>
    <w:rsid w:val="006F663B"/>
    <w:rsid w:val="006F6A57"/>
    <w:rsid w:val="006F70B1"/>
    <w:rsid w:val="006F70BD"/>
    <w:rsid w:val="006F7854"/>
    <w:rsid w:val="006F796D"/>
    <w:rsid w:val="006F7DF9"/>
    <w:rsid w:val="006F7E93"/>
    <w:rsid w:val="007020C5"/>
    <w:rsid w:val="007025F0"/>
    <w:rsid w:val="00703407"/>
    <w:rsid w:val="0070392C"/>
    <w:rsid w:val="0070393F"/>
    <w:rsid w:val="0070412F"/>
    <w:rsid w:val="00704272"/>
    <w:rsid w:val="0070436E"/>
    <w:rsid w:val="0070543E"/>
    <w:rsid w:val="00705464"/>
    <w:rsid w:val="0070685A"/>
    <w:rsid w:val="0070691A"/>
    <w:rsid w:val="00706AC7"/>
    <w:rsid w:val="007073FB"/>
    <w:rsid w:val="007078A9"/>
    <w:rsid w:val="0070793D"/>
    <w:rsid w:val="00707973"/>
    <w:rsid w:val="00710404"/>
    <w:rsid w:val="007104EE"/>
    <w:rsid w:val="007107BF"/>
    <w:rsid w:val="00710818"/>
    <w:rsid w:val="00710B62"/>
    <w:rsid w:val="00710DC9"/>
    <w:rsid w:val="00710E4F"/>
    <w:rsid w:val="0071114B"/>
    <w:rsid w:val="00711C02"/>
    <w:rsid w:val="0071284E"/>
    <w:rsid w:val="0071315C"/>
    <w:rsid w:val="007131E9"/>
    <w:rsid w:val="007132E2"/>
    <w:rsid w:val="007135D9"/>
    <w:rsid w:val="007135FA"/>
    <w:rsid w:val="00713E48"/>
    <w:rsid w:val="0071405E"/>
    <w:rsid w:val="0071456B"/>
    <w:rsid w:val="0071493E"/>
    <w:rsid w:val="00714A23"/>
    <w:rsid w:val="00714AD1"/>
    <w:rsid w:val="00715077"/>
    <w:rsid w:val="00715496"/>
    <w:rsid w:val="00715716"/>
    <w:rsid w:val="00715820"/>
    <w:rsid w:val="007158C0"/>
    <w:rsid w:val="00715CCD"/>
    <w:rsid w:val="00715F6F"/>
    <w:rsid w:val="0071635D"/>
    <w:rsid w:val="007164C2"/>
    <w:rsid w:val="00716D71"/>
    <w:rsid w:val="00717566"/>
    <w:rsid w:val="007177DC"/>
    <w:rsid w:val="00717F31"/>
    <w:rsid w:val="007206FA"/>
    <w:rsid w:val="00720756"/>
    <w:rsid w:val="007208C5"/>
    <w:rsid w:val="00720B1C"/>
    <w:rsid w:val="0072145D"/>
    <w:rsid w:val="007216E3"/>
    <w:rsid w:val="00721BFD"/>
    <w:rsid w:val="00721C98"/>
    <w:rsid w:val="00722C56"/>
    <w:rsid w:val="00722DF3"/>
    <w:rsid w:val="00722F2D"/>
    <w:rsid w:val="007232C2"/>
    <w:rsid w:val="007232DD"/>
    <w:rsid w:val="00723895"/>
    <w:rsid w:val="00723AC7"/>
    <w:rsid w:val="00724A80"/>
    <w:rsid w:val="00725C22"/>
    <w:rsid w:val="00726941"/>
    <w:rsid w:val="0072752A"/>
    <w:rsid w:val="00727927"/>
    <w:rsid w:val="0072795D"/>
    <w:rsid w:val="00730394"/>
    <w:rsid w:val="00730E76"/>
    <w:rsid w:val="00730F10"/>
    <w:rsid w:val="00731107"/>
    <w:rsid w:val="00731178"/>
    <w:rsid w:val="007320EA"/>
    <w:rsid w:val="00732230"/>
    <w:rsid w:val="0073340A"/>
    <w:rsid w:val="00733A5A"/>
    <w:rsid w:val="00733AFB"/>
    <w:rsid w:val="007341DD"/>
    <w:rsid w:val="007346EE"/>
    <w:rsid w:val="0073568B"/>
    <w:rsid w:val="00737030"/>
    <w:rsid w:val="00737902"/>
    <w:rsid w:val="00740128"/>
    <w:rsid w:val="007412A8"/>
    <w:rsid w:val="00742C10"/>
    <w:rsid w:val="007437F4"/>
    <w:rsid w:val="00744136"/>
    <w:rsid w:val="00744294"/>
    <w:rsid w:val="007443D2"/>
    <w:rsid w:val="00744855"/>
    <w:rsid w:val="0074493C"/>
    <w:rsid w:val="00744D6F"/>
    <w:rsid w:val="0074540B"/>
    <w:rsid w:val="0074548C"/>
    <w:rsid w:val="007458E8"/>
    <w:rsid w:val="00745CEA"/>
    <w:rsid w:val="007465DB"/>
    <w:rsid w:val="00746632"/>
    <w:rsid w:val="007469A3"/>
    <w:rsid w:val="00746C29"/>
    <w:rsid w:val="00747029"/>
    <w:rsid w:val="007472D1"/>
    <w:rsid w:val="007474BF"/>
    <w:rsid w:val="007479D8"/>
    <w:rsid w:val="00747C46"/>
    <w:rsid w:val="00750047"/>
    <w:rsid w:val="007500EA"/>
    <w:rsid w:val="007500EF"/>
    <w:rsid w:val="00750B8A"/>
    <w:rsid w:val="00750D57"/>
    <w:rsid w:val="007510D0"/>
    <w:rsid w:val="0075123F"/>
    <w:rsid w:val="007517C5"/>
    <w:rsid w:val="00751F1B"/>
    <w:rsid w:val="00753739"/>
    <w:rsid w:val="007541AD"/>
    <w:rsid w:val="0075435B"/>
    <w:rsid w:val="00754953"/>
    <w:rsid w:val="007549B8"/>
    <w:rsid w:val="00754E59"/>
    <w:rsid w:val="007553AB"/>
    <w:rsid w:val="007559AF"/>
    <w:rsid w:val="00755EC9"/>
    <w:rsid w:val="00755F53"/>
    <w:rsid w:val="00756199"/>
    <w:rsid w:val="007566A6"/>
    <w:rsid w:val="0075689B"/>
    <w:rsid w:val="00756E68"/>
    <w:rsid w:val="00757322"/>
    <w:rsid w:val="0075791A"/>
    <w:rsid w:val="00757BDC"/>
    <w:rsid w:val="0076004D"/>
    <w:rsid w:val="007609A0"/>
    <w:rsid w:val="0076109F"/>
    <w:rsid w:val="0076117A"/>
    <w:rsid w:val="0076176B"/>
    <w:rsid w:val="00761814"/>
    <w:rsid w:val="00761B72"/>
    <w:rsid w:val="00762326"/>
    <w:rsid w:val="00762654"/>
    <w:rsid w:val="007626BC"/>
    <w:rsid w:val="00762ADB"/>
    <w:rsid w:val="00763973"/>
    <w:rsid w:val="00763AE8"/>
    <w:rsid w:val="007645A4"/>
    <w:rsid w:val="00764DA4"/>
    <w:rsid w:val="00765664"/>
    <w:rsid w:val="00766064"/>
    <w:rsid w:val="00766519"/>
    <w:rsid w:val="0076740E"/>
    <w:rsid w:val="00767CAD"/>
    <w:rsid w:val="007705EA"/>
    <w:rsid w:val="00770900"/>
    <w:rsid w:val="00770FAE"/>
    <w:rsid w:val="00771D8A"/>
    <w:rsid w:val="00771FB5"/>
    <w:rsid w:val="00772095"/>
    <w:rsid w:val="0077257A"/>
    <w:rsid w:val="0077257B"/>
    <w:rsid w:val="007727AE"/>
    <w:rsid w:val="00772D2E"/>
    <w:rsid w:val="007739D6"/>
    <w:rsid w:val="00773CAD"/>
    <w:rsid w:val="00773D9B"/>
    <w:rsid w:val="00774801"/>
    <w:rsid w:val="007752D7"/>
    <w:rsid w:val="00775348"/>
    <w:rsid w:val="00775764"/>
    <w:rsid w:val="0077679B"/>
    <w:rsid w:val="00776A65"/>
    <w:rsid w:val="00776AD0"/>
    <w:rsid w:val="00780328"/>
    <w:rsid w:val="00780357"/>
    <w:rsid w:val="00780AB5"/>
    <w:rsid w:val="0078189A"/>
    <w:rsid w:val="00781AED"/>
    <w:rsid w:val="00781FB8"/>
    <w:rsid w:val="00782595"/>
    <w:rsid w:val="0078293B"/>
    <w:rsid w:val="00783AD8"/>
    <w:rsid w:val="00784942"/>
    <w:rsid w:val="00784BCD"/>
    <w:rsid w:val="0078553A"/>
    <w:rsid w:val="00786314"/>
    <w:rsid w:val="00786929"/>
    <w:rsid w:val="00786D14"/>
    <w:rsid w:val="00786D92"/>
    <w:rsid w:val="00786DDF"/>
    <w:rsid w:val="0078754F"/>
    <w:rsid w:val="00787668"/>
    <w:rsid w:val="00787BB0"/>
    <w:rsid w:val="007921E2"/>
    <w:rsid w:val="007936A7"/>
    <w:rsid w:val="00794176"/>
    <w:rsid w:val="00794299"/>
    <w:rsid w:val="0079433D"/>
    <w:rsid w:val="007947BA"/>
    <w:rsid w:val="00794FF7"/>
    <w:rsid w:val="0079548F"/>
    <w:rsid w:val="00795D83"/>
    <w:rsid w:val="00795F8B"/>
    <w:rsid w:val="007965E4"/>
    <w:rsid w:val="00796F45"/>
    <w:rsid w:val="007975C4"/>
    <w:rsid w:val="00797ACF"/>
    <w:rsid w:val="007A09F1"/>
    <w:rsid w:val="007A0C61"/>
    <w:rsid w:val="007A10B2"/>
    <w:rsid w:val="007A11FB"/>
    <w:rsid w:val="007A1912"/>
    <w:rsid w:val="007A19EB"/>
    <w:rsid w:val="007A1E3E"/>
    <w:rsid w:val="007A1EE0"/>
    <w:rsid w:val="007A22A2"/>
    <w:rsid w:val="007A2995"/>
    <w:rsid w:val="007A2E64"/>
    <w:rsid w:val="007A38EF"/>
    <w:rsid w:val="007A4223"/>
    <w:rsid w:val="007A435F"/>
    <w:rsid w:val="007A4430"/>
    <w:rsid w:val="007A4AA4"/>
    <w:rsid w:val="007A4E00"/>
    <w:rsid w:val="007A5D50"/>
    <w:rsid w:val="007A5EE7"/>
    <w:rsid w:val="007A6A14"/>
    <w:rsid w:val="007A6BDD"/>
    <w:rsid w:val="007A7025"/>
    <w:rsid w:val="007A73E0"/>
    <w:rsid w:val="007A7425"/>
    <w:rsid w:val="007A79D8"/>
    <w:rsid w:val="007A7A10"/>
    <w:rsid w:val="007A7E21"/>
    <w:rsid w:val="007B0085"/>
    <w:rsid w:val="007B027A"/>
    <w:rsid w:val="007B18FF"/>
    <w:rsid w:val="007B22C8"/>
    <w:rsid w:val="007B2399"/>
    <w:rsid w:val="007B28FA"/>
    <w:rsid w:val="007B2B73"/>
    <w:rsid w:val="007B2E9F"/>
    <w:rsid w:val="007B3841"/>
    <w:rsid w:val="007B3DBD"/>
    <w:rsid w:val="007B3F56"/>
    <w:rsid w:val="007B3F6B"/>
    <w:rsid w:val="007B4910"/>
    <w:rsid w:val="007B4B79"/>
    <w:rsid w:val="007B5B4E"/>
    <w:rsid w:val="007B5C42"/>
    <w:rsid w:val="007B670C"/>
    <w:rsid w:val="007B69FA"/>
    <w:rsid w:val="007B6C3B"/>
    <w:rsid w:val="007B725A"/>
    <w:rsid w:val="007B77CB"/>
    <w:rsid w:val="007B7AFA"/>
    <w:rsid w:val="007C02BC"/>
    <w:rsid w:val="007C058F"/>
    <w:rsid w:val="007C0B76"/>
    <w:rsid w:val="007C0D29"/>
    <w:rsid w:val="007C0EF6"/>
    <w:rsid w:val="007C1918"/>
    <w:rsid w:val="007C1C70"/>
    <w:rsid w:val="007C1CD8"/>
    <w:rsid w:val="007C1E5B"/>
    <w:rsid w:val="007C248D"/>
    <w:rsid w:val="007C2BD1"/>
    <w:rsid w:val="007C47B1"/>
    <w:rsid w:val="007C4AF1"/>
    <w:rsid w:val="007C4CC7"/>
    <w:rsid w:val="007C5453"/>
    <w:rsid w:val="007C5CD0"/>
    <w:rsid w:val="007C6A87"/>
    <w:rsid w:val="007C6DD1"/>
    <w:rsid w:val="007C6F9B"/>
    <w:rsid w:val="007C72D1"/>
    <w:rsid w:val="007C7ADA"/>
    <w:rsid w:val="007D0B7D"/>
    <w:rsid w:val="007D0BBA"/>
    <w:rsid w:val="007D14CD"/>
    <w:rsid w:val="007D20F2"/>
    <w:rsid w:val="007D22CA"/>
    <w:rsid w:val="007D247B"/>
    <w:rsid w:val="007D261F"/>
    <w:rsid w:val="007D268F"/>
    <w:rsid w:val="007D2B23"/>
    <w:rsid w:val="007D3526"/>
    <w:rsid w:val="007D36E4"/>
    <w:rsid w:val="007D3823"/>
    <w:rsid w:val="007D39C2"/>
    <w:rsid w:val="007D43C9"/>
    <w:rsid w:val="007D44BB"/>
    <w:rsid w:val="007D49AE"/>
    <w:rsid w:val="007D4AF9"/>
    <w:rsid w:val="007D4E33"/>
    <w:rsid w:val="007D4F99"/>
    <w:rsid w:val="007D51A4"/>
    <w:rsid w:val="007D58CC"/>
    <w:rsid w:val="007D5BCD"/>
    <w:rsid w:val="007D5F5B"/>
    <w:rsid w:val="007D5FAE"/>
    <w:rsid w:val="007D636F"/>
    <w:rsid w:val="007D6E56"/>
    <w:rsid w:val="007D7741"/>
    <w:rsid w:val="007E016E"/>
    <w:rsid w:val="007E08B5"/>
    <w:rsid w:val="007E0B68"/>
    <w:rsid w:val="007E14E8"/>
    <w:rsid w:val="007E1B23"/>
    <w:rsid w:val="007E1D6E"/>
    <w:rsid w:val="007E1F48"/>
    <w:rsid w:val="007E20B5"/>
    <w:rsid w:val="007E276A"/>
    <w:rsid w:val="007E3DD8"/>
    <w:rsid w:val="007E45B5"/>
    <w:rsid w:val="007E5B77"/>
    <w:rsid w:val="007E5CC4"/>
    <w:rsid w:val="007E615B"/>
    <w:rsid w:val="007E7E57"/>
    <w:rsid w:val="007E7FB7"/>
    <w:rsid w:val="007F02D3"/>
    <w:rsid w:val="007F03F0"/>
    <w:rsid w:val="007F12FC"/>
    <w:rsid w:val="007F16D7"/>
    <w:rsid w:val="007F1B36"/>
    <w:rsid w:val="007F1C43"/>
    <w:rsid w:val="007F234B"/>
    <w:rsid w:val="007F26D5"/>
    <w:rsid w:val="007F291F"/>
    <w:rsid w:val="007F32A8"/>
    <w:rsid w:val="007F3B8E"/>
    <w:rsid w:val="007F48EE"/>
    <w:rsid w:val="007F4AE5"/>
    <w:rsid w:val="007F4BAF"/>
    <w:rsid w:val="007F5187"/>
    <w:rsid w:val="007F53B2"/>
    <w:rsid w:val="007F545F"/>
    <w:rsid w:val="007F54D6"/>
    <w:rsid w:val="007F5996"/>
    <w:rsid w:val="007F5D76"/>
    <w:rsid w:val="007F6510"/>
    <w:rsid w:val="007F6868"/>
    <w:rsid w:val="007F6A06"/>
    <w:rsid w:val="007F728D"/>
    <w:rsid w:val="007F74C8"/>
    <w:rsid w:val="007F74FC"/>
    <w:rsid w:val="007F79AD"/>
    <w:rsid w:val="007F7C61"/>
    <w:rsid w:val="00800560"/>
    <w:rsid w:val="008005D7"/>
    <w:rsid w:val="00800842"/>
    <w:rsid w:val="00800C22"/>
    <w:rsid w:val="00800C5E"/>
    <w:rsid w:val="00800C78"/>
    <w:rsid w:val="00801613"/>
    <w:rsid w:val="0080177E"/>
    <w:rsid w:val="00801D1E"/>
    <w:rsid w:val="00802078"/>
    <w:rsid w:val="00802261"/>
    <w:rsid w:val="00802271"/>
    <w:rsid w:val="008029CF"/>
    <w:rsid w:val="00802C77"/>
    <w:rsid w:val="00802D20"/>
    <w:rsid w:val="00802E9D"/>
    <w:rsid w:val="008032FF"/>
    <w:rsid w:val="00803601"/>
    <w:rsid w:val="00803BE2"/>
    <w:rsid w:val="00803C45"/>
    <w:rsid w:val="0080454A"/>
    <w:rsid w:val="008046B1"/>
    <w:rsid w:val="0080550F"/>
    <w:rsid w:val="008059A1"/>
    <w:rsid w:val="00806F16"/>
    <w:rsid w:val="008079CF"/>
    <w:rsid w:val="008109FB"/>
    <w:rsid w:val="00811D73"/>
    <w:rsid w:val="008129AE"/>
    <w:rsid w:val="00812B75"/>
    <w:rsid w:val="008132B6"/>
    <w:rsid w:val="0081376A"/>
    <w:rsid w:val="008137B9"/>
    <w:rsid w:val="0081399B"/>
    <w:rsid w:val="008140F0"/>
    <w:rsid w:val="008149CD"/>
    <w:rsid w:val="008151E8"/>
    <w:rsid w:val="00815C92"/>
    <w:rsid w:val="00815D1A"/>
    <w:rsid w:val="008168AC"/>
    <w:rsid w:val="0081698D"/>
    <w:rsid w:val="00816ABF"/>
    <w:rsid w:val="00816BF1"/>
    <w:rsid w:val="00817AEB"/>
    <w:rsid w:val="00817B60"/>
    <w:rsid w:val="00817EE7"/>
    <w:rsid w:val="008207D2"/>
    <w:rsid w:val="00820B3F"/>
    <w:rsid w:val="00820DD1"/>
    <w:rsid w:val="00820F07"/>
    <w:rsid w:val="008218E7"/>
    <w:rsid w:val="008220FD"/>
    <w:rsid w:val="008223F5"/>
    <w:rsid w:val="00822855"/>
    <w:rsid w:val="00822D23"/>
    <w:rsid w:val="00822E3F"/>
    <w:rsid w:val="00824155"/>
    <w:rsid w:val="00824591"/>
    <w:rsid w:val="0082565E"/>
    <w:rsid w:val="00825817"/>
    <w:rsid w:val="00825CB8"/>
    <w:rsid w:val="00826079"/>
    <w:rsid w:val="008262CD"/>
    <w:rsid w:val="008262E4"/>
    <w:rsid w:val="00826C32"/>
    <w:rsid w:val="008272B6"/>
    <w:rsid w:val="0082771F"/>
    <w:rsid w:val="00827BC8"/>
    <w:rsid w:val="00827CD2"/>
    <w:rsid w:val="0083094E"/>
    <w:rsid w:val="00831808"/>
    <w:rsid w:val="0083206B"/>
    <w:rsid w:val="0083214C"/>
    <w:rsid w:val="00832192"/>
    <w:rsid w:val="00832839"/>
    <w:rsid w:val="0083289C"/>
    <w:rsid w:val="008328C7"/>
    <w:rsid w:val="008329F2"/>
    <w:rsid w:val="008333B2"/>
    <w:rsid w:val="00833BD3"/>
    <w:rsid w:val="00833C44"/>
    <w:rsid w:val="0083490F"/>
    <w:rsid w:val="00834B12"/>
    <w:rsid w:val="008353C1"/>
    <w:rsid w:val="00835D0E"/>
    <w:rsid w:val="0083627F"/>
    <w:rsid w:val="00836931"/>
    <w:rsid w:val="00837766"/>
    <w:rsid w:val="00837D55"/>
    <w:rsid w:val="00837F70"/>
    <w:rsid w:val="00837FC0"/>
    <w:rsid w:val="008406DE"/>
    <w:rsid w:val="00840F13"/>
    <w:rsid w:val="00841008"/>
    <w:rsid w:val="0084175E"/>
    <w:rsid w:val="008417CD"/>
    <w:rsid w:val="00841C24"/>
    <w:rsid w:val="00841C2A"/>
    <w:rsid w:val="00841EC0"/>
    <w:rsid w:val="008438B0"/>
    <w:rsid w:val="0084424E"/>
    <w:rsid w:val="0084424F"/>
    <w:rsid w:val="00844EC1"/>
    <w:rsid w:val="00844EC9"/>
    <w:rsid w:val="008451FB"/>
    <w:rsid w:val="008454A0"/>
    <w:rsid w:val="00845571"/>
    <w:rsid w:val="0084559D"/>
    <w:rsid w:val="008457E1"/>
    <w:rsid w:val="00845878"/>
    <w:rsid w:val="008469B1"/>
    <w:rsid w:val="00846CF6"/>
    <w:rsid w:val="00846D93"/>
    <w:rsid w:val="00847081"/>
    <w:rsid w:val="0084749A"/>
    <w:rsid w:val="008474FA"/>
    <w:rsid w:val="008475B2"/>
    <w:rsid w:val="0084792A"/>
    <w:rsid w:val="00850449"/>
    <w:rsid w:val="008512E0"/>
    <w:rsid w:val="0085135E"/>
    <w:rsid w:val="0085174E"/>
    <w:rsid w:val="008530EA"/>
    <w:rsid w:val="008532D5"/>
    <w:rsid w:val="00853525"/>
    <w:rsid w:val="00853628"/>
    <w:rsid w:val="008539B6"/>
    <w:rsid w:val="00853C2C"/>
    <w:rsid w:val="00853EC3"/>
    <w:rsid w:val="008541A8"/>
    <w:rsid w:val="008547F8"/>
    <w:rsid w:val="00854D5D"/>
    <w:rsid w:val="00855842"/>
    <w:rsid w:val="00855C67"/>
    <w:rsid w:val="00855F5A"/>
    <w:rsid w:val="00856EBA"/>
    <w:rsid w:val="0086025C"/>
    <w:rsid w:val="008602B2"/>
    <w:rsid w:val="00860361"/>
    <w:rsid w:val="0086039D"/>
    <w:rsid w:val="0086042B"/>
    <w:rsid w:val="00860639"/>
    <w:rsid w:val="0086169B"/>
    <w:rsid w:val="0086198C"/>
    <w:rsid w:val="00861D63"/>
    <w:rsid w:val="00861F51"/>
    <w:rsid w:val="0086291F"/>
    <w:rsid w:val="0086327E"/>
    <w:rsid w:val="008637F7"/>
    <w:rsid w:val="00864472"/>
    <w:rsid w:val="00864666"/>
    <w:rsid w:val="0086481A"/>
    <w:rsid w:val="008654CE"/>
    <w:rsid w:val="00865535"/>
    <w:rsid w:val="008659E1"/>
    <w:rsid w:val="00866FB5"/>
    <w:rsid w:val="00870B18"/>
    <w:rsid w:val="00870ED4"/>
    <w:rsid w:val="00871056"/>
    <w:rsid w:val="00871950"/>
    <w:rsid w:val="00872335"/>
    <w:rsid w:val="00872373"/>
    <w:rsid w:val="00872613"/>
    <w:rsid w:val="00872CAE"/>
    <w:rsid w:val="00872DB7"/>
    <w:rsid w:val="00873384"/>
    <w:rsid w:val="00873522"/>
    <w:rsid w:val="00874499"/>
    <w:rsid w:val="0087467A"/>
    <w:rsid w:val="0087515E"/>
    <w:rsid w:val="008751EE"/>
    <w:rsid w:val="00875714"/>
    <w:rsid w:val="0087670E"/>
    <w:rsid w:val="008769D7"/>
    <w:rsid w:val="00876BCC"/>
    <w:rsid w:val="00876CD5"/>
    <w:rsid w:val="00876F51"/>
    <w:rsid w:val="008778E3"/>
    <w:rsid w:val="00880949"/>
    <w:rsid w:val="00880A30"/>
    <w:rsid w:val="00880DA7"/>
    <w:rsid w:val="00881243"/>
    <w:rsid w:val="008815D3"/>
    <w:rsid w:val="008816A9"/>
    <w:rsid w:val="008816B6"/>
    <w:rsid w:val="008817FC"/>
    <w:rsid w:val="00883563"/>
    <w:rsid w:val="00883AB0"/>
    <w:rsid w:val="00883BE3"/>
    <w:rsid w:val="00883C67"/>
    <w:rsid w:val="00884128"/>
    <w:rsid w:val="00885330"/>
    <w:rsid w:val="00885485"/>
    <w:rsid w:val="00885840"/>
    <w:rsid w:val="00885874"/>
    <w:rsid w:val="0088608F"/>
    <w:rsid w:val="0088671A"/>
    <w:rsid w:val="008872D5"/>
    <w:rsid w:val="00887B6B"/>
    <w:rsid w:val="00890364"/>
    <w:rsid w:val="008904AA"/>
    <w:rsid w:val="00890A9D"/>
    <w:rsid w:val="0089119F"/>
    <w:rsid w:val="00891A5D"/>
    <w:rsid w:val="00892069"/>
    <w:rsid w:val="00892178"/>
    <w:rsid w:val="00892295"/>
    <w:rsid w:val="00892CDB"/>
    <w:rsid w:val="00893494"/>
    <w:rsid w:val="00893507"/>
    <w:rsid w:val="00893CD6"/>
    <w:rsid w:val="00893D00"/>
    <w:rsid w:val="00894030"/>
    <w:rsid w:val="0089415C"/>
    <w:rsid w:val="00894229"/>
    <w:rsid w:val="0089499D"/>
    <w:rsid w:val="00894CBA"/>
    <w:rsid w:val="00894E41"/>
    <w:rsid w:val="0089589D"/>
    <w:rsid w:val="00895C48"/>
    <w:rsid w:val="00896899"/>
    <w:rsid w:val="008969E6"/>
    <w:rsid w:val="00896F22"/>
    <w:rsid w:val="008978CD"/>
    <w:rsid w:val="00897E94"/>
    <w:rsid w:val="008A017A"/>
    <w:rsid w:val="008A08C6"/>
    <w:rsid w:val="008A0A86"/>
    <w:rsid w:val="008A114E"/>
    <w:rsid w:val="008A11F0"/>
    <w:rsid w:val="008A17FF"/>
    <w:rsid w:val="008A3284"/>
    <w:rsid w:val="008A34A9"/>
    <w:rsid w:val="008A4994"/>
    <w:rsid w:val="008A51C6"/>
    <w:rsid w:val="008A54BD"/>
    <w:rsid w:val="008A5BB7"/>
    <w:rsid w:val="008A65B1"/>
    <w:rsid w:val="008A6802"/>
    <w:rsid w:val="008A6C01"/>
    <w:rsid w:val="008A750B"/>
    <w:rsid w:val="008A7514"/>
    <w:rsid w:val="008A75CC"/>
    <w:rsid w:val="008A7791"/>
    <w:rsid w:val="008A7CCB"/>
    <w:rsid w:val="008B016D"/>
    <w:rsid w:val="008B0630"/>
    <w:rsid w:val="008B1C9D"/>
    <w:rsid w:val="008B1EB8"/>
    <w:rsid w:val="008B21CF"/>
    <w:rsid w:val="008B2703"/>
    <w:rsid w:val="008B2CB8"/>
    <w:rsid w:val="008B2D41"/>
    <w:rsid w:val="008B31A0"/>
    <w:rsid w:val="008B3CF3"/>
    <w:rsid w:val="008B48E5"/>
    <w:rsid w:val="008B4B7C"/>
    <w:rsid w:val="008B5781"/>
    <w:rsid w:val="008B5D1A"/>
    <w:rsid w:val="008B5E83"/>
    <w:rsid w:val="008B67A4"/>
    <w:rsid w:val="008B69D2"/>
    <w:rsid w:val="008B6BA9"/>
    <w:rsid w:val="008B710D"/>
    <w:rsid w:val="008B7357"/>
    <w:rsid w:val="008C0644"/>
    <w:rsid w:val="008C0746"/>
    <w:rsid w:val="008C0DB3"/>
    <w:rsid w:val="008C1C80"/>
    <w:rsid w:val="008C1F68"/>
    <w:rsid w:val="008C1FEA"/>
    <w:rsid w:val="008C1FF2"/>
    <w:rsid w:val="008C2E8C"/>
    <w:rsid w:val="008C4084"/>
    <w:rsid w:val="008C454B"/>
    <w:rsid w:val="008C4C62"/>
    <w:rsid w:val="008C5CE5"/>
    <w:rsid w:val="008C61B4"/>
    <w:rsid w:val="008C64AF"/>
    <w:rsid w:val="008C66EF"/>
    <w:rsid w:val="008C6753"/>
    <w:rsid w:val="008C69FE"/>
    <w:rsid w:val="008C6CC3"/>
    <w:rsid w:val="008C738C"/>
    <w:rsid w:val="008C74C2"/>
    <w:rsid w:val="008C7669"/>
    <w:rsid w:val="008C7A9D"/>
    <w:rsid w:val="008C7ACE"/>
    <w:rsid w:val="008C7C6B"/>
    <w:rsid w:val="008C7D16"/>
    <w:rsid w:val="008C7FFC"/>
    <w:rsid w:val="008D012E"/>
    <w:rsid w:val="008D0F14"/>
    <w:rsid w:val="008D10D9"/>
    <w:rsid w:val="008D118A"/>
    <w:rsid w:val="008D13C7"/>
    <w:rsid w:val="008D1578"/>
    <w:rsid w:val="008D1EF4"/>
    <w:rsid w:val="008D2253"/>
    <w:rsid w:val="008D247C"/>
    <w:rsid w:val="008D2F3F"/>
    <w:rsid w:val="008D3222"/>
    <w:rsid w:val="008D326B"/>
    <w:rsid w:val="008D336D"/>
    <w:rsid w:val="008D33E9"/>
    <w:rsid w:val="008D375B"/>
    <w:rsid w:val="008D3A0D"/>
    <w:rsid w:val="008D3E81"/>
    <w:rsid w:val="008D42F5"/>
    <w:rsid w:val="008D4450"/>
    <w:rsid w:val="008D4B89"/>
    <w:rsid w:val="008D53CE"/>
    <w:rsid w:val="008D5752"/>
    <w:rsid w:val="008D60D6"/>
    <w:rsid w:val="008D62FF"/>
    <w:rsid w:val="008D65F6"/>
    <w:rsid w:val="008D678B"/>
    <w:rsid w:val="008D6DAB"/>
    <w:rsid w:val="008D741B"/>
    <w:rsid w:val="008D744F"/>
    <w:rsid w:val="008D7D35"/>
    <w:rsid w:val="008E098F"/>
    <w:rsid w:val="008E0A05"/>
    <w:rsid w:val="008E0A61"/>
    <w:rsid w:val="008E0C9A"/>
    <w:rsid w:val="008E0D0B"/>
    <w:rsid w:val="008E1F29"/>
    <w:rsid w:val="008E2758"/>
    <w:rsid w:val="008E2AE9"/>
    <w:rsid w:val="008E2DB1"/>
    <w:rsid w:val="008E2FC3"/>
    <w:rsid w:val="008E302B"/>
    <w:rsid w:val="008E30D6"/>
    <w:rsid w:val="008E3197"/>
    <w:rsid w:val="008E32C3"/>
    <w:rsid w:val="008E3458"/>
    <w:rsid w:val="008E3C9F"/>
    <w:rsid w:val="008E493C"/>
    <w:rsid w:val="008E505E"/>
    <w:rsid w:val="008E580D"/>
    <w:rsid w:val="008E5A9C"/>
    <w:rsid w:val="008E6275"/>
    <w:rsid w:val="008E6E4F"/>
    <w:rsid w:val="008E72E2"/>
    <w:rsid w:val="008E75DA"/>
    <w:rsid w:val="008E7F16"/>
    <w:rsid w:val="008E7F8E"/>
    <w:rsid w:val="008F123A"/>
    <w:rsid w:val="008F1285"/>
    <w:rsid w:val="008F16AB"/>
    <w:rsid w:val="008F1E26"/>
    <w:rsid w:val="008F2698"/>
    <w:rsid w:val="008F2727"/>
    <w:rsid w:val="008F2931"/>
    <w:rsid w:val="008F2B42"/>
    <w:rsid w:val="008F4032"/>
    <w:rsid w:val="008F49D3"/>
    <w:rsid w:val="008F4A18"/>
    <w:rsid w:val="008F4B92"/>
    <w:rsid w:val="008F55B4"/>
    <w:rsid w:val="008F60B3"/>
    <w:rsid w:val="008F62F6"/>
    <w:rsid w:val="008F6531"/>
    <w:rsid w:val="008F687D"/>
    <w:rsid w:val="008F69CB"/>
    <w:rsid w:val="008F6F16"/>
    <w:rsid w:val="008F7601"/>
    <w:rsid w:val="0090076B"/>
    <w:rsid w:val="00900955"/>
    <w:rsid w:val="009009BE"/>
    <w:rsid w:val="00900AA1"/>
    <w:rsid w:val="00900E4D"/>
    <w:rsid w:val="009015CD"/>
    <w:rsid w:val="00901DA2"/>
    <w:rsid w:val="00902838"/>
    <w:rsid w:val="00902F16"/>
    <w:rsid w:val="009033F7"/>
    <w:rsid w:val="009037C3"/>
    <w:rsid w:val="00903D80"/>
    <w:rsid w:val="009040EF"/>
    <w:rsid w:val="00904321"/>
    <w:rsid w:val="009043E4"/>
    <w:rsid w:val="00904AD3"/>
    <w:rsid w:val="00904D15"/>
    <w:rsid w:val="00905A5A"/>
    <w:rsid w:val="00905C30"/>
    <w:rsid w:val="00905C88"/>
    <w:rsid w:val="009065EC"/>
    <w:rsid w:val="009067B6"/>
    <w:rsid w:val="009072F7"/>
    <w:rsid w:val="0090785C"/>
    <w:rsid w:val="00907931"/>
    <w:rsid w:val="00907F38"/>
    <w:rsid w:val="0091021C"/>
    <w:rsid w:val="00910284"/>
    <w:rsid w:val="00910632"/>
    <w:rsid w:val="00910F31"/>
    <w:rsid w:val="0091112A"/>
    <w:rsid w:val="009111D0"/>
    <w:rsid w:val="0091131D"/>
    <w:rsid w:val="00911ABE"/>
    <w:rsid w:val="00911C1C"/>
    <w:rsid w:val="0091238B"/>
    <w:rsid w:val="009124F1"/>
    <w:rsid w:val="00912783"/>
    <w:rsid w:val="00912BD9"/>
    <w:rsid w:val="00913048"/>
    <w:rsid w:val="009141AC"/>
    <w:rsid w:val="0091437C"/>
    <w:rsid w:val="00914AA5"/>
    <w:rsid w:val="00914D54"/>
    <w:rsid w:val="0091538E"/>
    <w:rsid w:val="00915636"/>
    <w:rsid w:val="00915663"/>
    <w:rsid w:val="009156A5"/>
    <w:rsid w:val="00915B29"/>
    <w:rsid w:val="009168A7"/>
    <w:rsid w:val="00916EB5"/>
    <w:rsid w:val="00917213"/>
    <w:rsid w:val="00917A1C"/>
    <w:rsid w:val="0092085F"/>
    <w:rsid w:val="00920897"/>
    <w:rsid w:val="00920A4D"/>
    <w:rsid w:val="00920ABE"/>
    <w:rsid w:val="00921BD2"/>
    <w:rsid w:val="00921E8C"/>
    <w:rsid w:val="009223C8"/>
    <w:rsid w:val="00922C69"/>
    <w:rsid w:val="0092348E"/>
    <w:rsid w:val="00923A14"/>
    <w:rsid w:val="00924499"/>
    <w:rsid w:val="00924B15"/>
    <w:rsid w:val="00924C81"/>
    <w:rsid w:val="00925235"/>
    <w:rsid w:val="00925301"/>
    <w:rsid w:val="00925A31"/>
    <w:rsid w:val="00925DC7"/>
    <w:rsid w:val="00926221"/>
    <w:rsid w:val="00926F56"/>
    <w:rsid w:val="0092704E"/>
    <w:rsid w:val="00927EDC"/>
    <w:rsid w:val="009301E5"/>
    <w:rsid w:val="00930E25"/>
    <w:rsid w:val="00931045"/>
    <w:rsid w:val="00931272"/>
    <w:rsid w:val="00932C15"/>
    <w:rsid w:val="00932EB4"/>
    <w:rsid w:val="00933E79"/>
    <w:rsid w:val="0093426E"/>
    <w:rsid w:val="009342C7"/>
    <w:rsid w:val="0093452E"/>
    <w:rsid w:val="00934AFD"/>
    <w:rsid w:val="0093511C"/>
    <w:rsid w:val="0093517F"/>
    <w:rsid w:val="00935C3A"/>
    <w:rsid w:val="009366BE"/>
    <w:rsid w:val="00936A44"/>
    <w:rsid w:val="00936E3C"/>
    <w:rsid w:val="009378C6"/>
    <w:rsid w:val="00937DF2"/>
    <w:rsid w:val="00940445"/>
    <w:rsid w:val="00941578"/>
    <w:rsid w:val="0094197E"/>
    <w:rsid w:val="00941C18"/>
    <w:rsid w:val="00941CC1"/>
    <w:rsid w:val="00943BCF"/>
    <w:rsid w:val="00943DAF"/>
    <w:rsid w:val="00944330"/>
    <w:rsid w:val="009446B4"/>
    <w:rsid w:val="009449D8"/>
    <w:rsid w:val="00945178"/>
    <w:rsid w:val="00945518"/>
    <w:rsid w:val="00945EC9"/>
    <w:rsid w:val="00947C7F"/>
    <w:rsid w:val="009500BC"/>
    <w:rsid w:val="0095163C"/>
    <w:rsid w:val="009516C6"/>
    <w:rsid w:val="0095178C"/>
    <w:rsid w:val="00951B9B"/>
    <w:rsid w:val="00951BD4"/>
    <w:rsid w:val="00951E84"/>
    <w:rsid w:val="00952061"/>
    <w:rsid w:val="0095210E"/>
    <w:rsid w:val="009523AD"/>
    <w:rsid w:val="009528A2"/>
    <w:rsid w:val="009528E3"/>
    <w:rsid w:val="00952EA1"/>
    <w:rsid w:val="00952FE3"/>
    <w:rsid w:val="009539EA"/>
    <w:rsid w:val="00953B5A"/>
    <w:rsid w:val="00953FF1"/>
    <w:rsid w:val="00954063"/>
    <w:rsid w:val="00954274"/>
    <w:rsid w:val="009548A8"/>
    <w:rsid w:val="00954C41"/>
    <w:rsid w:val="00955746"/>
    <w:rsid w:val="00955AEA"/>
    <w:rsid w:val="00955E10"/>
    <w:rsid w:val="009560A2"/>
    <w:rsid w:val="009562AA"/>
    <w:rsid w:val="0095705D"/>
    <w:rsid w:val="00957615"/>
    <w:rsid w:val="0096046D"/>
    <w:rsid w:val="00961C8B"/>
    <w:rsid w:val="00961D10"/>
    <w:rsid w:val="00962562"/>
    <w:rsid w:val="00962CC3"/>
    <w:rsid w:val="00962E42"/>
    <w:rsid w:val="009645DF"/>
    <w:rsid w:val="00964B30"/>
    <w:rsid w:val="009654AD"/>
    <w:rsid w:val="0096569E"/>
    <w:rsid w:val="00966227"/>
    <w:rsid w:val="0096730D"/>
    <w:rsid w:val="00967D9D"/>
    <w:rsid w:val="0097046F"/>
    <w:rsid w:val="00970717"/>
    <w:rsid w:val="00970D59"/>
    <w:rsid w:val="00970FEC"/>
    <w:rsid w:val="009714B4"/>
    <w:rsid w:val="00971D4F"/>
    <w:rsid w:val="00972E5E"/>
    <w:rsid w:val="00973CA8"/>
    <w:rsid w:val="00973E46"/>
    <w:rsid w:val="009748E4"/>
    <w:rsid w:val="00974ACC"/>
    <w:rsid w:val="00974B14"/>
    <w:rsid w:val="00975021"/>
    <w:rsid w:val="0097513F"/>
    <w:rsid w:val="00977009"/>
    <w:rsid w:val="009771E4"/>
    <w:rsid w:val="009776DB"/>
    <w:rsid w:val="00977936"/>
    <w:rsid w:val="00977E8B"/>
    <w:rsid w:val="009807DF"/>
    <w:rsid w:val="00980B15"/>
    <w:rsid w:val="00980BF3"/>
    <w:rsid w:val="0098111B"/>
    <w:rsid w:val="00981211"/>
    <w:rsid w:val="00981B8D"/>
    <w:rsid w:val="0098226B"/>
    <w:rsid w:val="00982343"/>
    <w:rsid w:val="00983700"/>
    <w:rsid w:val="00983928"/>
    <w:rsid w:val="00983F89"/>
    <w:rsid w:val="00983FAA"/>
    <w:rsid w:val="00984335"/>
    <w:rsid w:val="009845C4"/>
    <w:rsid w:val="0098463F"/>
    <w:rsid w:val="009856B1"/>
    <w:rsid w:val="009858C8"/>
    <w:rsid w:val="00985A5F"/>
    <w:rsid w:val="00986B02"/>
    <w:rsid w:val="009870B7"/>
    <w:rsid w:val="009877D4"/>
    <w:rsid w:val="00987B17"/>
    <w:rsid w:val="009902B2"/>
    <w:rsid w:val="009902BE"/>
    <w:rsid w:val="00990896"/>
    <w:rsid w:val="00990A15"/>
    <w:rsid w:val="00990DCB"/>
    <w:rsid w:val="0099223E"/>
    <w:rsid w:val="00993894"/>
    <w:rsid w:val="00994066"/>
    <w:rsid w:val="00994125"/>
    <w:rsid w:val="00994327"/>
    <w:rsid w:val="00994388"/>
    <w:rsid w:val="009946F5"/>
    <w:rsid w:val="00994931"/>
    <w:rsid w:val="00994F6E"/>
    <w:rsid w:val="00995BAE"/>
    <w:rsid w:val="00995D66"/>
    <w:rsid w:val="009969E0"/>
    <w:rsid w:val="0099708D"/>
    <w:rsid w:val="009978DB"/>
    <w:rsid w:val="00997D00"/>
    <w:rsid w:val="009A049E"/>
    <w:rsid w:val="009A0EFE"/>
    <w:rsid w:val="009A1783"/>
    <w:rsid w:val="009A1CF4"/>
    <w:rsid w:val="009A2451"/>
    <w:rsid w:val="009A2BBF"/>
    <w:rsid w:val="009A2E98"/>
    <w:rsid w:val="009A362B"/>
    <w:rsid w:val="009A3E61"/>
    <w:rsid w:val="009A4039"/>
    <w:rsid w:val="009A417C"/>
    <w:rsid w:val="009A615B"/>
    <w:rsid w:val="009A6236"/>
    <w:rsid w:val="009A654F"/>
    <w:rsid w:val="009A7505"/>
    <w:rsid w:val="009A7740"/>
    <w:rsid w:val="009B06E5"/>
    <w:rsid w:val="009B081D"/>
    <w:rsid w:val="009B0AB0"/>
    <w:rsid w:val="009B0C15"/>
    <w:rsid w:val="009B0C2E"/>
    <w:rsid w:val="009B0D43"/>
    <w:rsid w:val="009B0F63"/>
    <w:rsid w:val="009B1A0E"/>
    <w:rsid w:val="009B2478"/>
    <w:rsid w:val="009B24CB"/>
    <w:rsid w:val="009B29E9"/>
    <w:rsid w:val="009B2DFE"/>
    <w:rsid w:val="009B4694"/>
    <w:rsid w:val="009B4B63"/>
    <w:rsid w:val="009B552B"/>
    <w:rsid w:val="009B5666"/>
    <w:rsid w:val="009B57E1"/>
    <w:rsid w:val="009B59F2"/>
    <w:rsid w:val="009B5BF1"/>
    <w:rsid w:val="009B5D2F"/>
    <w:rsid w:val="009B5E8A"/>
    <w:rsid w:val="009B6363"/>
    <w:rsid w:val="009B6D18"/>
    <w:rsid w:val="009B71CD"/>
    <w:rsid w:val="009B7750"/>
    <w:rsid w:val="009B776B"/>
    <w:rsid w:val="009C0340"/>
    <w:rsid w:val="009C037D"/>
    <w:rsid w:val="009C089E"/>
    <w:rsid w:val="009C0F80"/>
    <w:rsid w:val="009C10FB"/>
    <w:rsid w:val="009C171F"/>
    <w:rsid w:val="009C17D1"/>
    <w:rsid w:val="009C1D7D"/>
    <w:rsid w:val="009C1E67"/>
    <w:rsid w:val="009C239F"/>
    <w:rsid w:val="009C25C2"/>
    <w:rsid w:val="009C2BF4"/>
    <w:rsid w:val="009C3A49"/>
    <w:rsid w:val="009C4124"/>
    <w:rsid w:val="009C467F"/>
    <w:rsid w:val="009C46A8"/>
    <w:rsid w:val="009C4B5E"/>
    <w:rsid w:val="009C4CE1"/>
    <w:rsid w:val="009C50EA"/>
    <w:rsid w:val="009C51AD"/>
    <w:rsid w:val="009C5FFF"/>
    <w:rsid w:val="009C75A9"/>
    <w:rsid w:val="009C76DD"/>
    <w:rsid w:val="009C7818"/>
    <w:rsid w:val="009C7988"/>
    <w:rsid w:val="009C7F77"/>
    <w:rsid w:val="009D1011"/>
    <w:rsid w:val="009D1603"/>
    <w:rsid w:val="009D1C76"/>
    <w:rsid w:val="009D1DC3"/>
    <w:rsid w:val="009D2231"/>
    <w:rsid w:val="009D3B15"/>
    <w:rsid w:val="009D3E95"/>
    <w:rsid w:val="009D434D"/>
    <w:rsid w:val="009D507F"/>
    <w:rsid w:val="009D5EB6"/>
    <w:rsid w:val="009D60BC"/>
    <w:rsid w:val="009D633D"/>
    <w:rsid w:val="009D65CE"/>
    <w:rsid w:val="009D762B"/>
    <w:rsid w:val="009D7AC9"/>
    <w:rsid w:val="009E0097"/>
    <w:rsid w:val="009E0124"/>
    <w:rsid w:val="009E0692"/>
    <w:rsid w:val="009E1030"/>
    <w:rsid w:val="009E1115"/>
    <w:rsid w:val="009E1A62"/>
    <w:rsid w:val="009E3011"/>
    <w:rsid w:val="009E351A"/>
    <w:rsid w:val="009E3704"/>
    <w:rsid w:val="009E4341"/>
    <w:rsid w:val="009E4395"/>
    <w:rsid w:val="009E4B49"/>
    <w:rsid w:val="009E4DB1"/>
    <w:rsid w:val="009E5116"/>
    <w:rsid w:val="009E58A7"/>
    <w:rsid w:val="009E7806"/>
    <w:rsid w:val="009E7A1F"/>
    <w:rsid w:val="009E7C1E"/>
    <w:rsid w:val="009F012E"/>
    <w:rsid w:val="009F0906"/>
    <w:rsid w:val="009F1A36"/>
    <w:rsid w:val="009F24F1"/>
    <w:rsid w:val="009F2553"/>
    <w:rsid w:val="009F2B2F"/>
    <w:rsid w:val="009F2D8A"/>
    <w:rsid w:val="009F2E00"/>
    <w:rsid w:val="009F2E25"/>
    <w:rsid w:val="009F37C7"/>
    <w:rsid w:val="009F3802"/>
    <w:rsid w:val="009F38C2"/>
    <w:rsid w:val="009F454F"/>
    <w:rsid w:val="009F465F"/>
    <w:rsid w:val="009F4741"/>
    <w:rsid w:val="009F4963"/>
    <w:rsid w:val="009F4C11"/>
    <w:rsid w:val="009F4F1A"/>
    <w:rsid w:val="009F519A"/>
    <w:rsid w:val="009F5CA5"/>
    <w:rsid w:val="009F5DB7"/>
    <w:rsid w:val="009F66F9"/>
    <w:rsid w:val="009F6874"/>
    <w:rsid w:val="009F69A2"/>
    <w:rsid w:val="009F6D39"/>
    <w:rsid w:val="009F6DBA"/>
    <w:rsid w:val="009F71D1"/>
    <w:rsid w:val="009F76E5"/>
    <w:rsid w:val="00A001BA"/>
    <w:rsid w:val="00A005F2"/>
    <w:rsid w:val="00A00690"/>
    <w:rsid w:val="00A009A6"/>
    <w:rsid w:val="00A010F5"/>
    <w:rsid w:val="00A011FD"/>
    <w:rsid w:val="00A01451"/>
    <w:rsid w:val="00A01EC4"/>
    <w:rsid w:val="00A02128"/>
    <w:rsid w:val="00A02B97"/>
    <w:rsid w:val="00A03552"/>
    <w:rsid w:val="00A0392C"/>
    <w:rsid w:val="00A039B0"/>
    <w:rsid w:val="00A04ADE"/>
    <w:rsid w:val="00A0502B"/>
    <w:rsid w:val="00A05152"/>
    <w:rsid w:val="00A051CA"/>
    <w:rsid w:val="00A0529A"/>
    <w:rsid w:val="00A053F8"/>
    <w:rsid w:val="00A062E8"/>
    <w:rsid w:val="00A069DB"/>
    <w:rsid w:val="00A06DFB"/>
    <w:rsid w:val="00A06F05"/>
    <w:rsid w:val="00A0750F"/>
    <w:rsid w:val="00A10DBE"/>
    <w:rsid w:val="00A10E11"/>
    <w:rsid w:val="00A10E14"/>
    <w:rsid w:val="00A11FE1"/>
    <w:rsid w:val="00A12182"/>
    <w:rsid w:val="00A122AF"/>
    <w:rsid w:val="00A12AFF"/>
    <w:rsid w:val="00A12BA1"/>
    <w:rsid w:val="00A13133"/>
    <w:rsid w:val="00A13421"/>
    <w:rsid w:val="00A145A1"/>
    <w:rsid w:val="00A149E1"/>
    <w:rsid w:val="00A14C62"/>
    <w:rsid w:val="00A15002"/>
    <w:rsid w:val="00A16355"/>
    <w:rsid w:val="00A169BA"/>
    <w:rsid w:val="00A171B9"/>
    <w:rsid w:val="00A17268"/>
    <w:rsid w:val="00A176B8"/>
    <w:rsid w:val="00A2009E"/>
    <w:rsid w:val="00A20441"/>
    <w:rsid w:val="00A20AD9"/>
    <w:rsid w:val="00A20B05"/>
    <w:rsid w:val="00A21151"/>
    <w:rsid w:val="00A21670"/>
    <w:rsid w:val="00A219C4"/>
    <w:rsid w:val="00A21D80"/>
    <w:rsid w:val="00A22571"/>
    <w:rsid w:val="00A232E7"/>
    <w:rsid w:val="00A237FF"/>
    <w:rsid w:val="00A23CB3"/>
    <w:rsid w:val="00A24141"/>
    <w:rsid w:val="00A24B60"/>
    <w:rsid w:val="00A24C72"/>
    <w:rsid w:val="00A25376"/>
    <w:rsid w:val="00A265BF"/>
    <w:rsid w:val="00A26FE8"/>
    <w:rsid w:val="00A279C7"/>
    <w:rsid w:val="00A27DBC"/>
    <w:rsid w:val="00A27EEA"/>
    <w:rsid w:val="00A30370"/>
    <w:rsid w:val="00A30AFE"/>
    <w:rsid w:val="00A30D35"/>
    <w:rsid w:val="00A3139E"/>
    <w:rsid w:val="00A313EF"/>
    <w:rsid w:val="00A31674"/>
    <w:rsid w:val="00A318B7"/>
    <w:rsid w:val="00A3204E"/>
    <w:rsid w:val="00A328E9"/>
    <w:rsid w:val="00A33292"/>
    <w:rsid w:val="00A334BF"/>
    <w:rsid w:val="00A336DB"/>
    <w:rsid w:val="00A33E29"/>
    <w:rsid w:val="00A340F2"/>
    <w:rsid w:val="00A34E82"/>
    <w:rsid w:val="00A34FDA"/>
    <w:rsid w:val="00A35E72"/>
    <w:rsid w:val="00A362D3"/>
    <w:rsid w:val="00A363C5"/>
    <w:rsid w:val="00A369D9"/>
    <w:rsid w:val="00A36C29"/>
    <w:rsid w:val="00A373C6"/>
    <w:rsid w:val="00A37449"/>
    <w:rsid w:val="00A37602"/>
    <w:rsid w:val="00A378D8"/>
    <w:rsid w:val="00A37A9D"/>
    <w:rsid w:val="00A37E70"/>
    <w:rsid w:val="00A37FAE"/>
    <w:rsid w:val="00A40307"/>
    <w:rsid w:val="00A40873"/>
    <w:rsid w:val="00A41290"/>
    <w:rsid w:val="00A415DC"/>
    <w:rsid w:val="00A4192C"/>
    <w:rsid w:val="00A419CA"/>
    <w:rsid w:val="00A41D2C"/>
    <w:rsid w:val="00A42170"/>
    <w:rsid w:val="00A42356"/>
    <w:rsid w:val="00A42C9D"/>
    <w:rsid w:val="00A42ED0"/>
    <w:rsid w:val="00A4328C"/>
    <w:rsid w:val="00A4372C"/>
    <w:rsid w:val="00A4379C"/>
    <w:rsid w:val="00A45281"/>
    <w:rsid w:val="00A45493"/>
    <w:rsid w:val="00A45ED8"/>
    <w:rsid w:val="00A462D9"/>
    <w:rsid w:val="00A46976"/>
    <w:rsid w:val="00A46CA5"/>
    <w:rsid w:val="00A47CFC"/>
    <w:rsid w:val="00A51150"/>
    <w:rsid w:val="00A513DA"/>
    <w:rsid w:val="00A517C7"/>
    <w:rsid w:val="00A51ACF"/>
    <w:rsid w:val="00A51FBD"/>
    <w:rsid w:val="00A52306"/>
    <w:rsid w:val="00A5256A"/>
    <w:rsid w:val="00A52B80"/>
    <w:rsid w:val="00A52FBB"/>
    <w:rsid w:val="00A53190"/>
    <w:rsid w:val="00A539F9"/>
    <w:rsid w:val="00A54422"/>
    <w:rsid w:val="00A55085"/>
    <w:rsid w:val="00A550FC"/>
    <w:rsid w:val="00A552B4"/>
    <w:rsid w:val="00A5589C"/>
    <w:rsid w:val="00A55E19"/>
    <w:rsid w:val="00A56419"/>
    <w:rsid w:val="00A56905"/>
    <w:rsid w:val="00A56D9E"/>
    <w:rsid w:val="00A575A1"/>
    <w:rsid w:val="00A57670"/>
    <w:rsid w:val="00A57DFE"/>
    <w:rsid w:val="00A60499"/>
    <w:rsid w:val="00A60CE0"/>
    <w:rsid w:val="00A61320"/>
    <w:rsid w:val="00A6179D"/>
    <w:rsid w:val="00A617EB"/>
    <w:rsid w:val="00A62295"/>
    <w:rsid w:val="00A62382"/>
    <w:rsid w:val="00A628FB"/>
    <w:rsid w:val="00A645C9"/>
    <w:rsid w:val="00A6478C"/>
    <w:rsid w:val="00A64C80"/>
    <w:rsid w:val="00A64DFD"/>
    <w:rsid w:val="00A6697A"/>
    <w:rsid w:val="00A66A90"/>
    <w:rsid w:val="00A7004F"/>
    <w:rsid w:val="00A7039B"/>
    <w:rsid w:val="00A70A45"/>
    <w:rsid w:val="00A7129D"/>
    <w:rsid w:val="00A71B14"/>
    <w:rsid w:val="00A7225D"/>
    <w:rsid w:val="00A72361"/>
    <w:rsid w:val="00A72BBD"/>
    <w:rsid w:val="00A73340"/>
    <w:rsid w:val="00A7368A"/>
    <w:rsid w:val="00A74079"/>
    <w:rsid w:val="00A749BD"/>
    <w:rsid w:val="00A755E7"/>
    <w:rsid w:val="00A7729E"/>
    <w:rsid w:val="00A772DC"/>
    <w:rsid w:val="00A778BF"/>
    <w:rsid w:val="00A77E3E"/>
    <w:rsid w:val="00A807C8"/>
    <w:rsid w:val="00A80964"/>
    <w:rsid w:val="00A81222"/>
    <w:rsid w:val="00A8170B"/>
    <w:rsid w:val="00A818A2"/>
    <w:rsid w:val="00A8246E"/>
    <w:rsid w:val="00A826C4"/>
    <w:rsid w:val="00A839DD"/>
    <w:rsid w:val="00A83CD5"/>
    <w:rsid w:val="00A84095"/>
    <w:rsid w:val="00A84205"/>
    <w:rsid w:val="00A842B1"/>
    <w:rsid w:val="00A8435A"/>
    <w:rsid w:val="00A8448D"/>
    <w:rsid w:val="00A846A1"/>
    <w:rsid w:val="00A846E1"/>
    <w:rsid w:val="00A849B1"/>
    <w:rsid w:val="00A85479"/>
    <w:rsid w:val="00A855DB"/>
    <w:rsid w:val="00A86210"/>
    <w:rsid w:val="00A863D6"/>
    <w:rsid w:val="00A867AE"/>
    <w:rsid w:val="00A871B7"/>
    <w:rsid w:val="00A87533"/>
    <w:rsid w:val="00A876A9"/>
    <w:rsid w:val="00A87A2D"/>
    <w:rsid w:val="00A87CD1"/>
    <w:rsid w:val="00A87D9A"/>
    <w:rsid w:val="00A902C1"/>
    <w:rsid w:val="00A9068C"/>
    <w:rsid w:val="00A90BD4"/>
    <w:rsid w:val="00A9121E"/>
    <w:rsid w:val="00A91922"/>
    <w:rsid w:val="00A91FF6"/>
    <w:rsid w:val="00A92032"/>
    <w:rsid w:val="00A92320"/>
    <w:rsid w:val="00A92670"/>
    <w:rsid w:val="00A94122"/>
    <w:rsid w:val="00A94528"/>
    <w:rsid w:val="00A954F5"/>
    <w:rsid w:val="00A963F2"/>
    <w:rsid w:val="00A96963"/>
    <w:rsid w:val="00A96FFC"/>
    <w:rsid w:val="00A973BD"/>
    <w:rsid w:val="00A9765B"/>
    <w:rsid w:val="00A976CB"/>
    <w:rsid w:val="00AA005A"/>
    <w:rsid w:val="00AA0155"/>
    <w:rsid w:val="00AA0729"/>
    <w:rsid w:val="00AA0959"/>
    <w:rsid w:val="00AA13D6"/>
    <w:rsid w:val="00AA154D"/>
    <w:rsid w:val="00AA16F9"/>
    <w:rsid w:val="00AA19BD"/>
    <w:rsid w:val="00AA2067"/>
    <w:rsid w:val="00AA27EF"/>
    <w:rsid w:val="00AA27FC"/>
    <w:rsid w:val="00AA2BA5"/>
    <w:rsid w:val="00AA2E56"/>
    <w:rsid w:val="00AA30F6"/>
    <w:rsid w:val="00AA320D"/>
    <w:rsid w:val="00AA373F"/>
    <w:rsid w:val="00AA374E"/>
    <w:rsid w:val="00AA384D"/>
    <w:rsid w:val="00AA3959"/>
    <w:rsid w:val="00AA3BEB"/>
    <w:rsid w:val="00AA3D3F"/>
    <w:rsid w:val="00AA3EBF"/>
    <w:rsid w:val="00AA45FF"/>
    <w:rsid w:val="00AA47CA"/>
    <w:rsid w:val="00AA48CB"/>
    <w:rsid w:val="00AA4B76"/>
    <w:rsid w:val="00AA58A9"/>
    <w:rsid w:val="00AA59C5"/>
    <w:rsid w:val="00AA5AE2"/>
    <w:rsid w:val="00AA6B5D"/>
    <w:rsid w:val="00AA70F8"/>
    <w:rsid w:val="00AA7103"/>
    <w:rsid w:val="00AA7BD8"/>
    <w:rsid w:val="00AB00F4"/>
    <w:rsid w:val="00AB01DC"/>
    <w:rsid w:val="00AB0661"/>
    <w:rsid w:val="00AB0D25"/>
    <w:rsid w:val="00AB1C65"/>
    <w:rsid w:val="00AB2062"/>
    <w:rsid w:val="00AB2078"/>
    <w:rsid w:val="00AB2565"/>
    <w:rsid w:val="00AB3B34"/>
    <w:rsid w:val="00AB3C9F"/>
    <w:rsid w:val="00AB3E77"/>
    <w:rsid w:val="00AB4899"/>
    <w:rsid w:val="00AB4CFF"/>
    <w:rsid w:val="00AB5B83"/>
    <w:rsid w:val="00AB6128"/>
    <w:rsid w:val="00AB69A6"/>
    <w:rsid w:val="00AB7040"/>
    <w:rsid w:val="00AB773D"/>
    <w:rsid w:val="00AB7E17"/>
    <w:rsid w:val="00AC02FF"/>
    <w:rsid w:val="00AC06A4"/>
    <w:rsid w:val="00AC0F2E"/>
    <w:rsid w:val="00AC0F39"/>
    <w:rsid w:val="00AC1A9E"/>
    <w:rsid w:val="00AC299E"/>
    <w:rsid w:val="00AC2B8C"/>
    <w:rsid w:val="00AC3518"/>
    <w:rsid w:val="00AC3B7F"/>
    <w:rsid w:val="00AC4303"/>
    <w:rsid w:val="00AC444F"/>
    <w:rsid w:val="00AC4750"/>
    <w:rsid w:val="00AC484F"/>
    <w:rsid w:val="00AC52BF"/>
    <w:rsid w:val="00AC54F0"/>
    <w:rsid w:val="00AC5D82"/>
    <w:rsid w:val="00AC5DA3"/>
    <w:rsid w:val="00AC654A"/>
    <w:rsid w:val="00AC68D8"/>
    <w:rsid w:val="00AC7343"/>
    <w:rsid w:val="00AC73DB"/>
    <w:rsid w:val="00AC75BD"/>
    <w:rsid w:val="00AC7DC0"/>
    <w:rsid w:val="00AD0144"/>
    <w:rsid w:val="00AD081A"/>
    <w:rsid w:val="00AD1340"/>
    <w:rsid w:val="00AD1700"/>
    <w:rsid w:val="00AD18A8"/>
    <w:rsid w:val="00AD1EDC"/>
    <w:rsid w:val="00AD1EE4"/>
    <w:rsid w:val="00AD254E"/>
    <w:rsid w:val="00AD2D8B"/>
    <w:rsid w:val="00AD363A"/>
    <w:rsid w:val="00AD39A3"/>
    <w:rsid w:val="00AD443F"/>
    <w:rsid w:val="00AD4514"/>
    <w:rsid w:val="00AD496B"/>
    <w:rsid w:val="00AD4DFF"/>
    <w:rsid w:val="00AD5412"/>
    <w:rsid w:val="00AD57AD"/>
    <w:rsid w:val="00AD596E"/>
    <w:rsid w:val="00AD5B25"/>
    <w:rsid w:val="00AD5C69"/>
    <w:rsid w:val="00AD6173"/>
    <w:rsid w:val="00AD6A55"/>
    <w:rsid w:val="00AD6D58"/>
    <w:rsid w:val="00AD6F41"/>
    <w:rsid w:val="00AD7773"/>
    <w:rsid w:val="00AD77BF"/>
    <w:rsid w:val="00AD7E35"/>
    <w:rsid w:val="00AE01AD"/>
    <w:rsid w:val="00AE0B7E"/>
    <w:rsid w:val="00AE0FBC"/>
    <w:rsid w:val="00AE1220"/>
    <w:rsid w:val="00AE13E7"/>
    <w:rsid w:val="00AE1627"/>
    <w:rsid w:val="00AE163A"/>
    <w:rsid w:val="00AE1910"/>
    <w:rsid w:val="00AE1CCE"/>
    <w:rsid w:val="00AE2529"/>
    <w:rsid w:val="00AE2A3E"/>
    <w:rsid w:val="00AE312B"/>
    <w:rsid w:val="00AE403B"/>
    <w:rsid w:val="00AE48E5"/>
    <w:rsid w:val="00AE4E04"/>
    <w:rsid w:val="00AE5218"/>
    <w:rsid w:val="00AE594E"/>
    <w:rsid w:val="00AE5C92"/>
    <w:rsid w:val="00AE670B"/>
    <w:rsid w:val="00AE6734"/>
    <w:rsid w:val="00AE6AA4"/>
    <w:rsid w:val="00AE6BBC"/>
    <w:rsid w:val="00AE6EF1"/>
    <w:rsid w:val="00AE7239"/>
    <w:rsid w:val="00AE73EB"/>
    <w:rsid w:val="00AE77D6"/>
    <w:rsid w:val="00AE7941"/>
    <w:rsid w:val="00AE794C"/>
    <w:rsid w:val="00AE7976"/>
    <w:rsid w:val="00AE7999"/>
    <w:rsid w:val="00AE7FDE"/>
    <w:rsid w:val="00AF00FE"/>
    <w:rsid w:val="00AF028B"/>
    <w:rsid w:val="00AF0335"/>
    <w:rsid w:val="00AF04C5"/>
    <w:rsid w:val="00AF070D"/>
    <w:rsid w:val="00AF1126"/>
    <w:rsid w:val="00AF13E8"/>
    <w:rsid w:val="00AF1F65"/>
    <w:rsid w:val="00AF24A8"/>
    <w:rsid w:val="00AF28C3"/>
    <w:rsid w:val="00AF2CE7"/>
    <w:rsid w:val="00AF319A"/>
    <w:rsid w:val="00AF336C"/>
    <w:rsid w:val="00AF36EC"/>
    <w:rsid w:val="00AF3B25"/>
    <w:rsid w:val="00AF3C07"/>
    <w:rsid w:val="00AF3D0D"/>
    <w:rsid w:val="00AF50A3"/>
    <w:rsid w:val="00AF5132"/>
    <w:rsid w:val="00AF51D6"/>
    <w:rsid w:val="00AF57B3"/>
    <w:rsid w:val="00AF57C7"/>
    <w:rsid w:val="00AF5ECF"/>
    <w:rsid w:val="00AF62AC"/>
    <w:rsid w:val="00AF687A"/>
    <w:rsid w:val="00AF72B7"/>
    <w:rsid w:val="00AF7917"/>
    <w:rsid w:val="00AF7A75"/>
    <w:rsid w:val="00AF7E36"/>
    <w:rsid w:val="00B0006F"/>
    <w:rsid w:val="00B001EB"/>
    <w:rsid w:val="00B002DC"/>
    <w:rsid w:val="00B00EF4"/>
    <w:rsid w:val="00B0107F"/>
    <w:rsid w:val="00B013EA"/>
    <w:rsid w:val="00B01476"/>
    <w:rsid w:val="00B016FE"/>
    <w:rsid w:val="00B017F0"/>
    <w:rsid w:val="00B019B0"/>
    <w:rsid w:val="00B01F63"/>
    <w:rsid w:val="00B026F2"/>
    <w:rsid w:val="00B028B8"/>
    <w:rsid w:val="00B030B5"/>
    <w:rsid w:val="00B03D0B"/>
    <w:rsid w:val="00B0442B"/>
    <w:rsid w:val="00B04741"/>
    <w:rsid w:val="00B04DAD"/>
    <w:rsid w:val="00B050EA"/>
    <w:rsid w:val="00B05A1F"/>
    <w:rsid w:val="00B05B41"/>
    <w:rsid w:val="00B05F18"/>
    <w:rsid w:val="00B06321"/>
    <w:rsid w:val="00B0656A"/>
    <w:rsid w:val="00B069F4"/>
    <w:rsid w:val="00B06A30"/>
    <w:rsid w:val="00B101F9"/>
    <w:rsid w:val="00B10400"/>
    <w:rsid w:val="00B10910"/>
    <w:rsid w:val="00B110D2"/>
    <w:rsid w:val="00B113F0"/>
    <w:rsid w:val="00B11829"/>
    <w:rsid w:val="00B118B9"/>
    <w:rsid w:val="00B11C10"/>
    <w:rsid w:val="00B11C80"/>
    <w:rsid w:val="00B1203C"/>
    <w:rsid w:val="00B123B0"/>
    <w:rsid w:val="00B1295F"/>
    <w:rsid w:val="00B12979"/>
    <w:rsid w:val="00B13F7F"/>
    <w:rsid w:val="00B1412A"/>
    <w:rsid w:val="00B1486B"/>
    <w:rsid w:val="00B15381"/>
    <w:rsid w:val="00B16015"/>
    <w:rsid w:val="00B16050"/>
    <w:rsid w:val="00B169B7"/>
    <w:rsid w:val="00B16E6A"/>
    <w:rsid w:val="00B1791E"/>
    <w:rsid w:val="00B17B8F"/>
    <w:rsid w:val="00B20240"/>
    <w:rsid w:val="00B2059B"/>
    <w:rsid w:val="00B218DD"/>
    <w:rsid w:val="00B22047"/>
    <w:rsid w:val="00B22736"/>
    <w:rsid w:val="00B228EF"/>
    <w:rsid w:val="00B22A8A"/>
    <w:rsid w:val="00B22CC4"/>
    <w:rsid w:val="00B22DAC"/>
    <w:rsid w:val="00B23184"/>
    <w:rsid w:val="00B2332E"/>
    <w:rsid w:val="00B234A3"/>
    <w:rsid w:val="00B23905"/>
    <w:rsid w:val="00B23B3F"/>
    <w:rsid w:val="00B24284"/>
    <w:rsid w:val="00B248E5"/>
    <w:rsid w:val="00B24B30"/>
    <w:rsid w:val="00B25235"/>
    <w:rsid w:val="00B253DD"/>
    <w:rsid w:val="00B256F3"/>
    <w:rsid w:val="00B259F2"/>
    <w:rsid w:val="00B25C77"/>
    <w:rsid w:val="00B26723"/>
    <w:rsid w:val="00B26DA0"/>
    <w:rsid w:val="00B27119"/>
    <w:rsid w:val="00B2720F"/>
    <w:rsid w:val="00B27F57"/>
    <w:rsid w:val="00B27FE4"/>
    <w:rsid w:val="00B301C6"/>
    <w:rsid w:val="00B3027F"/>
    <w:rsid w:val="00B305F1"/>
    <w:rsid w:val="00B308E5"/>
    <w:rsid w:val="00B30AC0"/>
    <w:rsid w:val="00B30FD9"/>
    <w:rsid w:val="00B3157B"/>
    <w:rsid w:val="00B32B98"/>
    <w:rsid w:val="00B332F7"/>
    <w:rsid w:val="00B33548"/>
    <w:rsid w:val="00B3357F"/>
    <w:rsid w:val="00B33BAD"/>
    <w:rsid w:val="00B348AA"/>
    <w:rsid w:val="00B34A93"/>
    <w:rsid w:val="00B358AF"/>
    <w:rsid w:val="00B35956"/>
    <w:rsid w:val="00B364E2"/>
    <w:rsid w:val="00B37893"/>
    <w:rsid w:val="00B37CB4"/>
    <w:rsid w:val="00B37D90"/>
    <w:rsid w:val="00B37F14"/>
    <w:rsid w:val="00B405C4"/>
    <w:rsid w:val="00B4075E"/>
    <w:rsid w:val="00B40D5C"/>
    <w:rsid w:val="00B41071"/>
    <w:rsid w:val="00B411D4"/>
    <w:rsid w:val="00B418EC"/>
    <w:rsid w:val="00B41EC2"/>
    <w:rsid w:val="00B42A9F"/>
    <w:rsid w:val="00B42F13"/>
    <w:rsid w:val="00B42FC1"/>
    <w:rsid w:val="00B43971"/>
    <w:rsid w:val="00B44D02"/>
    <w:rsid w:val="00B44EF0"/>
    <w:rsid w:val="00B4501A"/>
    <w:rsid w:val="00B45132"/>
    <w:rsid w:val="00B4559F"/>
    <w:rsid w:val="00B458C8"/>
    <w:rsid w:val="00B46487"/>
    <w:rsid w:val="00B46EAD"/>
    <w:rsid w:val="00B47138"/>
    <w:rsid w:val="00B4757F"/>
    <w:rsid w:val="00B478A4"/>
    <w:rsid w:val="00B47D8F"/>
    <w:rsid w:val="00B50297"/>
    <w:rsid w:val="00B50474"/>
    <w:rsid w:val="00B507B6"/>
    <w:rsid w:val="00B516FD"/>
    <w:rsid w:val="00B521E6"/>
    <w:rsid w:val="00B52204"/>
    <w:rsid w:val="00B5232F"/>
    <w:rsid w:val="00B5241D"/>
    <w:rsid w:val="00B53199"/>
    <w:rsid w:val="00B54026"/>
    <w:rsid w:val="00B543D3"/>
    <w:rsid w:val="00B54657"/>
    <w:rsid w:val="00B54665"/>
    <w:rsid w:val="00B54B6C"/>
    <w:rsid w:val="00B54DFB"/>
    <w:rsid w:val="00B54EDC"/>
    <w:rsid w:val="00B55159"/>
    <w:rsid w:val="00B5532D"/>
    <w:rsid w:val="00B5573F"/>
    <w:rsid w:val="00B56962"/>
    <w:rsid w:val="00B5713A"/>
    <w:rsid w:val="00B601B6"/>
    <w:rsid w:val="00B60362"/>
    <w:rsid w:val="00B603BE"/>
    <w:rsid w:val="00B61D19"/>
    <w:rsid w:val="00B63482"/>
    <w:rsid w:val="00B634AA"/>
    <w:rsid w:val="00B645BD"/>
    <w:rsid w:val="00B654FA"/>
    <w:rsid w:val="00B6563F"/>
    <w:rsid w:val="00B656F8"/>
    <w:rsid w:val="00B65EEB"/>
    <w:rsid w:val="00B65F1C"/>
    <w:rsid w:val="00B66163"/>
    <w:rsid w:val="00B66A01"/>
    <w:rsid w:val="00B67132"/>
    <w:rsid w:val="00B67259"/>
    <w:rsid w:val="00B6743C"/>
    <w:rsid w:val="00B678E7"/>
    <w:rsid w:val="00B67ABB"/>
    <w:rsid w:val="00B67F07"/>
    <w:rsid w:val="00B67F64"/>
    <w:rsid w:val="00B702B5"/>
    <w:rsid w:val="00B71270"/>
    <w:rsid w:val="00B71AA0"/>
    <w:rsid w:val="00B71E3C"/>
    <w:rsid w:val="00B720B6"/>
    <w:rsid w:val="00B725FD"/>
    <w:rsid w:val="00B728D8"/>
    <w:rsid w:val="00B72A97"/>
    <w:rsid w:val="00B72C2A"/>
    <w:rsid w:val="00B72C6E"/>
    <w:rsid w:val="00B730AC"/>
    <w:rsid w:val="00B73318"/>
    <w:rsid w:val="00B734B9"/>
    <w:rsid w:val="00B73A6D"/>
    <w:rsid w:val="00B73BDC"/>
    <w:rsid w:val="00B740F3"/>
    <w:rsid w:val="00B75071"/>
    <w:rsid w:val="00B755CB"/>
    <w:rsid w:val="00B755CE"/>
    <w:rsid w:val="00B7574D"/>
    <w:rsid w:val="00B758EB"/>
    <w:rsid w:val="00B75C59"/>
    <w:rsid w:val="00B75CE8"/>
    <w:rsid w:val="00B75F5D"/>
    <w:rsid w:val="00B76795"/>
    <w:rsid w:val="00B76DEE"/>
    <w:rsid w:val="00B76F61"/>
    <w:rsid w:val="00B77E37"/>
    <w:rsid w:val="00B77E99"/>
    <w:rsid w:val="00B80262"/>
    <w:rsid w:val="00B81083"/>
    <w:rsid w:val="00B81419"/>
    <w:rsid w:val="00B815F7"/>
    <w:rsid w:val="00B82601"/>
    <w:rsid w:val="00B827B6"/>
    <w:rsid w:val="00B82B2B"/>
    <w:rsid w:val="00B82CB4"/>
    <w:rsid w:val="00B82CFF"/>
    <w:rsid w:val="00B83B43"/>
    <w:rsid w:val="00B83D2D"/>
    <w:rsid w:val="00B83F59"/>
    <w:rsid w:val="00B8432E"/>
    <w:rsid w:val="00B843B4"/>
    <w:rsid w:val="00B84497"/>
    <w:rsid w:val="00B84788"/>
    <w:rsid w:val="00B85176"/>
    <w:rsid w:val="00B85EA4"/>
    <w:rsid w:val="00B86230"/>
    <w:rsid w:val="00B86851"/>
    <w:rsid w:val="00B86A9B"/>
    <w:rsid w:val="00B86BAF"/>
    <w:rsid w:val="00B86EEC"/>
    <w:rsid w:val="00B86F00"/>
    <w:rsid w:val="00B87191"/>
    <w:rsid w:val="00B871A6"/>
    <w:rsid w:val="00B90472"/>
    <w:rsid w:val="00B9123B"/>
    <w:rsid w:val="00B9125C"/>
    <w:rsid w:val="00B917B2"/>
    <w:rsid w:val="00B91E2B"/>
    <w:rsid w:val="00B91E82"/>
    <w:rsid w:val="00B92198"/>
    <w:rsid w:val="00B92C7A"/>
    <w:rsid w:val="00B9348B"/>
    <w:rsid w:val="00B93490"/>
    <w:rsid w:val="00B943B0"/>
    <w:rsid w:val="00B954E8"/>
    <w:rsid w:val="00B95EC1"/>
    <w:rsid w:val="00B961B1"/>
    <w:rsid w:val="00B9671E"/>
    <w:rsid w:val="00B9694B"/>
    <w:rsid w:val="00B96CBE"/>
    <w:rsid w:val="00B96D29"/>
    <w:rsid w:val="00BA040F"/>
    <w:rsid w:val="00BA061B"/>
    <w:rsid w:val="00BA0C23"/>
    <w:rsid w:val="00BA0C81"/>
    <w:rsid w:val="00BA0F00"/>
    <w:rsid w:val="00BA1CFB"/>
    <w:rsid w:val="00BA1D03"/>
    <w:rsid w:val="00BA2668"/>
    <w:rsid w:val="00BA29F2"/>
    <w:rsid w:val="00BA2B3C"/>
    <w:rsid w:val="00BA34F5"/>
    <w:rsid w:val="00BA3963"/>
    <w:rsid w:val="00BA40AF"/>
    <w:rsid w:val="00BA4D40"/>
    <w:rsid w:val="00BA5108"/>
    <w:rsid w:val="00BA6237"/>
    <w:rsid w:val="00BA62B6"/>
    <w:rsid w:val="00BB0C4C"/>
    <w:rsid w:val="00BB0D11"/>
    <w:rsid w:val="00BB0FEA"/>
    <w:rsid w:val="00BB16BB"/>
    <w:rsid w:val="00BB19C9"/>
    <w:rsid w:val="00BB22C8"/>
    <w:rsid w:val="00BB28A2"/>
    <w:rsid w:val="00BB2CB6"/>
    <w:rsid w:val="00BB3333"/>
    <w:rsid w:val="00BB34A7"/>
    <w:rsid w:val="00BB3ECF"/>
    <w:rsid w:val="00BB54A9"/>
    <w:rsid w:val="00BB5BBC"/>
    <w:rsid w:val="00BB69E9"/>
    <w:rsid w:val="00BB6A64"/>
    <w:rsid w:val="00BB73C7"/>
    <w:rsid w:val="00BB74E3"/>
    <w:rsid w:val="00BB7555"/>
    <w:rsid w:val="00BB79A5"/>
    <w:rsid w:val="00BB79C4"/>
    <w:rsid w:val="00BB7B29"/>
    <w:rsid w:val="00BB7CED"/>
    <w:rsid w:val="00BC00D3"/>
    <w:rsid w:val="00BC02C3"/>
    <w:rsid w:val="00BC159B"/>
    <w:rsid w:val="00BC1A1F"/>
    <w:rsid w:val="00BC2F7A"/>
    <w:rsid w:val="00BC3477"/>
    <w:rsid w:val="00BC3A1D"/>
    <w:rsid w:val="00BC3B71"/>
    <w:rsid w:val="00BC3C13"/>
    <w:rsid w:val="00BC4550"/>
    <w:rsid w:val="00BC4BC1"/>
    <w:rsid w:val="00BC5297"/>
    <w:rsid w:val="00BC5BD7"/>
    <w:rsid w:val="00BC5FD2"/>
    <w:rsid w:val="00BC6106"/>
    <w:rsid w:val="00BC6593"/>
    <w:rsid w:val="00BC6794"/>
    <w:rsid w:val="00BC798B"/>
    <w:rsid w:val="00BC7CD8"/>
    <w:rsid w:val="00BC7FB9"/>
    <w:rsid w:val="00BD0318"/>
    <w:rsid w:val="00BD05E5"/>
    <w:rsid w:val="00BD05E8"/>
    <w:rsid w:val="00BD06B8"/>
    <w:rsid w:val="00BD07AE"/>
    <w:rsid w:val="00BD089D"/>
    <w:rsid w:val="00BD0A8E"/>
    <w:rsid w:val="00BD104D"/>
    <w:rsid w:val="00BD114E"/>
    <w:rsid w:val="00BD1A40"/>
    <w:rsid w:val="00BD1AAE"/>
    <w:rsid w:val="00BD1BF8"/>
    <w:rsid w:val="00BD2076"/>
    <w:rsid w:val="00BD2262"/>
    <w:rsid w:val="00BD2736"/>
    <w:rsid w:val="00BD2AF0"/>
    <w:rsid w:val="00BD2C97"/>
    <w:rsid w:val="00BD3630"/>
    <w:rsid w:val="00BD3731"/>
    <w:rsid w:val="00BD3864"/>
    <w:rsid w:val="00BD39AD"/>
    <w:rsid w:val="00BD4256"/>
    <w:rsid w:val="00BD44FA"/>
    <w:rsid w:val="00BD4E7A"/>
    <w:rsid w:val="00BD5209"/>
    <w:rsid w:val="00BD5C0F"/>
    <w:rsid w:val="00BD6487"/>
    <w:rsid w:val="00BD64DB"/>
    <w:rsid w:val="00BD6591"/>
    <w:rsid w:val="00BD6CB3"/>
    <w:rsid w:val="00BD6FE9"/>
    <w:rsid w:val="00BD751D"/>
    <w:rsid w:val="00BD760D"/>
    <w:rsid w:val="00BD7C7C"/>
    <w:rsid w:val="00BD7E19"/>
    <w:rsid w:val="00BE007F"/>
    <w:rsid w:val="00BE03FC"/>
    <w:rsid w:val="00BE082E"/>
    <w:rsid w:val="00BE1059"/>
    <w:rsid w:val="00BE10FB"/>
    <w:rsid w:val="00BE14BA"/>
    <w:rsid w:val="00BE1F96"/>
    <w:rsid w:val="00BE1FE3"/>
    <w:rsid w:val="00BE363F"/>
    <w:rsid w:val="00BE3B15"/>
    <w:rsid w:val="00BE40E5"/>
    <w:rsid w:val="00BE4203"/>
    <w:rsid w:val="00BE448C"/>
    <w:rsid w:val="00BE501D"/>
    <w:rsid w:val="00BE51F1"/>
    <w:rsid w:val="00BE5318"/>
    <w:rsid w:val="00BE5CD2"/>
    <w:rsid w:val="00BE5EDC"/>
    <w:rsid w:val="00BE68B1"/>
    <w:rsid w:val="00BF039B"/>
    <w:rsid w:val="00BF097C"/>
    <w:rsid w:val="00BF0BDF"/>
    <w:rsid w:val="00BF0EC3"/>
    <w:rsid w:val="00BF1098"/>
    <w:rsid w:val="00BF154B"/>
    <w:rsid w:val="00BF1B63"/>
    <w:rsid w:val="00BF2439"/>
    <w:rsid w:val="00BF24C6"/>
    <w:rsid w:val="00BF2DDA"/>
    <w:rsid w:val="00BF2E0A"/>
    <w:rsid w:val="00BF2FE8"/>
    <w:rsid w:val="00BF39D0"/>
    <w:rsid w:val="00BF4E66"/>
    <w:rsid w:val="00BF50D4"/>
    <w:rsid w:val="00BF52D7"/>
    <w:rsid w:val="00BF5650"/>
    <w:rsid w:val="00BF5890"/>
    <w:rsid w:val="00BF6020"/>
    <w:rsid w:val="00BF60F2"/>
    <w:rsid w:val="00BF66A8"/>
    <w:rsid w:val="00BF6F8D"/>
    <w:rsid w:val="00BF754A"/>
    <w:rsid w:val="00BF7681"/>
    <w:rsid w:val="00C00278"/>
    <w:rsid w:val="00C007C7"/>
    <w:rsid w:val="00C00AA8"/>
    <w:rsid w:val="00C01270"/>
    <w:rsid w:val="00C01F64"/>
    <w:rsid w:val="00C02FBB"/>
    <w:rsid w:val="00C03CD3"/>
    <w:rsid w:val="00C03CFB"/>
    <w:rsid w:val="00C03F37"/>
    <w:rsid w:val="00C04425"/>
    <w:rsid w:val="00C04B3C"/>
    <w:rsid w:val="00C0536F"/>
    <w:rsid w:val="00C058FA"/>
    <w:rsid w:val="00C05D0E"/>
    <w:rsid w:val="00C0668F"/>
    <w:rsid w:val="00C1030D"/>
    <w:rsid w:val="00C11089"/>
    <w:rsid w:val="00C114F4"/>
    <w:rsid w:val="00C1188B"/>
    <w:rsid w:val="00C11E12"/>
    <w:rsid w:val="00C1204E"/>
    <w:rsid w:val="00C1205B"/>
    <w:rsid w:val="00C125F2"/>
    <w:rsid w:val="00C12BF2"/>
    <w:rsid w:val="00C12E16"/>
    <w:rsid w:val="00C12EE8"/>
    <w:rsid w:val="00C13018"/>
    <w:rsid w:val="00C1355B"/>
    <w:rsid w:val="00C14082"/>
    <w:rsid w:val="00C144C3"/>
    <w:rsid w:val="00C145E5"/>
    <w:rsid w:val="00C14A0C"/>
    <w:rsid w:val="00C14E1C"/>
    <w:rsid w:val="00C16A7D"/>
    <w:rsid w:val="00C16B69"/>
    <w:rsid w:val="00C16CB6"/>
    <w:rsid w:val="00C1717B"/>
    <w:rsid w:val="00C20C4F"/>
    <w:rsid w:val="00C21B78"/>
    <w:rsid w:val="00C2210C"/>
    <w:rsid w:val="00C22928"/>
    <w:rsid w:val="00C22A8C"/>
    <w:rsid w:val="00C22B46"/>
    <w:rsid w:val="00C2304E"/>
    <w:rsid w:val="00C23221"/>
    <w:rsid w:val="00C23575"/>
    <w:rsid w:val="00C235A5"/>
    <w:rsid w:val="00C235B5"/>
    <w:rsid w:val="00C235D2"/>
    <w:rsid w:val="00C23E32"/>
    <w:rsid w:val="00C24DDF"/>
    <w:rsid w:val="00C252B1"/>
    <w:rsid w:val="00C25B60"/>
    <w:rsid w:val="00C25E0B"/>
    <w:rsid w:val="00C25E3D"/>
    <w:rsid w:val="00C26E9F"/>
    <w:rsid w:val="00C276F3"/>
    <w:rsid w:val="00C27825"/>
    <w:rsid w:val="00C2785C"/>
    <w:rsid w:val="00C27866"/>
    <w:rsid w:val="00C27CFD"/>
    <w:rsid w:val="00C27DF1"/>
    <w:rsid w:val="00C3062E"/>
    <w:rsid w:val="00C31117"/>
    <w:rsid w:val="00C3135E"/>
    <w:rsid w:val="00C3151E"/>
    <w:rsid w:val="00C31F59"/>
    <w:rsid w:val="00C325EF"/>
    <w:rsid w:val="00C3289B"/>
    <w:rsid w:val="00C343F2"/>
    <w:rsid w:val="00C3461B"/>
    <w:rsid w:val="00C34BC4"/>
    <w:rsid w:val="00C34CE4"/>
    <w:rsid w:val="00C34E35"/>
    <w:rsid w:val="00C34E7E"/>
    <w:rsid w:val="00C35143"/>
    <w:rsid w:val="00C3571F"/>
    <w:rsid w:val="00C35A32"/>
    <w:rsid w:val="00C35AF8"/>
    <w:rsid w:val="00C35CA1"/>
    <w:rsid w:val="00C37388"/>
    <w:rsid w:val="00C375AB"/>
    <w:rsid w:val="00C37F49"/>
    <w:rsid w:val="00C402DE"/>
    <w:rsid w:val="00C4062D"/>
    <w:rsid w:val="00C4068B"/>
    <w:rsid w:val="00C40B61"/>
    <w:rsid w:val="00C4131A"/>
    <w:rsid w:val="00C4156A"/>
    <w:rsid w:val="00C42852"/>
    <w:rsid w:val="00C429BA"/>
    <w:rsid w:val="00C431C4"/>
    <w:rsid w:val="00C4366C"/>
    <w:rsid w:val="00C43711"/>
    <w:rsid w:val="00C444F1"/>
    <w:rsid w:val="00C44AB7"/>
    <w:rsid w:val="00C44DF8"/>
    <w:rsid w:val="00C44FDF"/>
    <w:rsid w:val="00C45125"/>
    <w:rsid w:val="00C45512"/>
    <w:rsid w:val="00C45E24"/>
    <w:rsid w:val="00C45E82"/>
    <w:rsid w:val="00C464CC"/>
    <w:rsid w:val="00C465EF"/>
    <w:rsid w:val="00C47050"/>
    <w:rsid w:val="00C47571"/>
    <w:rsid w:val="00C47649"/>
    <w:rsid w:val="00C47682"/>
    <w:rsid w:val="00C47963"/>
    <w:rsid w:val="00C47EA0"/>
    <w:rsid w:val="00C507DB"/>
    <w:rsid w:val="00C50C6F"/>
    <w:rsid w:val="00C50FDD"/>
    <w:rsid w:val="00C513E9"/>
    <w:rsid w:val="00C52151"/>
    <w:rsid w:val="00C5271A"/>
    <w:rsid w:val="00C5279A"/>
    <w:rsid w:val="00C52ACC"/>
    <w:rsid w:val="00C52ECB"/>
    <w:rsid w:val="00C535AE"/>
    <w:rsid w:val="00C541E8"/>
    <w:rsid w:val="00C542B1"/>
    <w:rsid w:val="00C54A4B"/>
    <w:rsid w:val="00C55348"/>
    <w:rsid w:val="00C554E4"/>
    <w:rsid w:val="00C55826"/>
    <w:rsid w:val="00C55BF7"/>
    <w:rsid w:val="00C564EB"/>
    <w:rsid w:val="00C5685E"/>
    <w:rsid w:val="00C56DD0"/>
    <w:rsid w:val="00C56E45"/>
    <w:rsid w:val="00C56FA6"/>
    <w:rsid w:val="00C571C2"/>
    <w:rsid w:val="00C57AB0"/>
    <w:rsid w:val="00C57C4A"/>
    <w:rsid w:val="00C602CC"/>
    <w:rsid w:val="00C60326"/>
    <w:rsid w:val="00C60D1B"/>
    <w:rsid w:val="00C60D3F"/>
    <w:rsid w:val="00C61BEF"/>
    <w:rsid w:val="00C63228"/>
    <w:rsid w:val="00C6402E"/>
    <w:rsid w:val="00C640B4"/>
    <w:rsid w:val="00C65232"/>
    <w:rsid w:val="00C659EB"/>
    <w:rsid w:val="00C66B92"/>
    <w:rsid w:val="00C672F4"/>
    <w:rsid w:val="00C67969"/>
    <w:rsid w:val="00C67A9B"/>
    <w:rsid w:val="00C70336"/>
    <w:rsid w:val="00C70584"/>
    <w:rsid w:val="00C70739"/>
    <w:rsid w:val="00C72074"/>
    <w:rsid w:val="00C7252D"/>
    <w:rsid w:val="00C72AE1"/>
    <w:rsid w:val="00C72C13"/>
    <w:rsid w:val="00C73050"/>
    <w:rsid w:val="00C73AC4"/>
    <w:rsid w:val="00C73FE4"/>
    <w:rsid w:val="00C74A4D"/>
    <w:rsid w:val="00C758DF"/>
    <w:rsid w:val="00C75C9A"/>
    <w:rsid w:val="00C760AC"/>
    <w:rsid w:val="00C76245"/>
    <w:rsid w:val="00C76FD3"/>
    <w:rsid w:val="00C77692"/>
    <w:rsid w:val="00C779C5"/>
    <w:rsid w:val="00C77A41"/>
    <w:rsid w:val="00C802D7"/>
    <w:rsid w:val="00C80669"/>
    <w:rsid w:val="00C806C5"/>
    <w:rsid w:val="00C80DE3"/>
    <w:rsid w:val="00C810F5"/>
    <w:rsid w:val="00C815AD"/>
    <w:rsid w:val="00C81B3C"/>
    <w:rsid w:val="00C827EB"/>
    <w:rsid w:val="00C82A0E"/>
    <w:rsid w:val="00C83CD8"/>
    <w:rsid w:val="00C84866"/>
    <w:rsid w:val="00C8497B"/>
    <w:rsid w:val="00C84EAA"/>
    <w:rsid w:val="00C85182"/>
    <w:rsid w:val="00C854AE"/>
    <w:rsid w:val="00C86224"/>
    <w:rsid w:val="00C862D0"/>
    <w:rsid w:val="00C8676B"/>
    <w:rsid w:val="00C87657"/>
    <w:rsid w:val="00C878AD"/>
    <w:rsid w:val="00C906E7"/>
    <w:rsid w:val="00C910D9"/>
    <w:rsid w:val="00C91434"/>
    <w:rsid w:val="00C91605"/>
    <w:rsid w:val="00C917E9"/>
    <w:rsid w:val="00C91BFB"/>
    <w:rsid w:val="00C91E4F"/>
    <w:rsid w:val="00C9241F"/>
    <w:rsid w:val="00C92539"/>
    <w:rsid w:val="00C92921"/>
    <w:rsid w:val="00C92B79"/>
    <w:rsid w:val="00C9331D"/>
    <w:rsid w:val="00C936F2"/>
    <w:rsid w:val="00C93C53"/>
    <w:rsid w:val="00C93D70"/>
    <w:rsid w:val="00C93F19"/>
    <w:rsid w:val="00C9426E"/>
    <w:rsid w:val="00C944F0"/>
    <w:rsid w:val="00C94628"/>
    <w:rsid w:val="00C94A5B"/>
    <w:rsid w:val="00C95367"/>
    <w:rsid w:val="00C95C84"/>
    <w:rsid w:val="00C95D7E"/>
    <w:rsid w:val="00C96217"/>
    <w:rsid w:val="00C96473"/>
    <w:rsid w:val="00C96C06"/>
    <w:rsid w:val="00C96CE4"/>
    <w:rsid w:val="00C9764E"/>
    <w:rsid w:val="00CA01D2"/>
    <w:rsid w:val="00CA129C"/>
    <w:rsid w:val="00CA1DAC"/>
    <w:rsid w:val="00CA2600"/>
    <w:rsid w:val="00CA2F02"/>
    <w:rsid w:val="00CA3A36"/>
    <w:rsid w:val="00CA4149"/>
    <w:rsid w:val="00CA4394"/>
    <w:rsid w:val="00CA47D5"/>
    <w:rsid w:val="00CA492B"/>
    <w:rsid w:val="00CA5381"/>
    <w:rsid w:val="00CA55DE"/>
    <w:rsid w:val="00CA5ACF"/>
    <w:rsid w:val="00CA5E11"/>
    <w:rsid w:val="00CA5F8C"/>
    <w:rsid w:val="00CA6934"/>
    <w:rsid w:val="00CA69C6"/>
    <w:rsid w:val="00CA6C95"/>
    <w:rsid w:val="00CA7F38"/>
    <w:rsid w:val="00CB0250"/>
    <w:rsid w:val="00CB0347"/>
    <w:rsid w:val="00CB09E3"/>
    <w:rsid w:val="00CB0CA3"/>
    <w:rsid w:val="00CB0D12"/>
    <w:rsid w:val="00CB14DC"/>
    <w:rsid w:val="00CB2002"/>
    <w:rsid w:val="00CB20C3"/>
    <w:rsid w:val="00CB26E9"/>
    <w:rsid w:val="00CB28CD"/>
    <w:rsid w:val="00CB2BB0"/>
    <w:rsid w:val="00CB393F"/>
    <w:rsid w:val="00CB3B32"/>
    <w:rsid w:val="00CB3D72"/>
    <w:rsid w:val="00CB4307"/>
    <w:rsid w:val="00CB465B"/>
    <w:rsid w:val="00CB4744"/>
    <w:rsid w:val="00CB552A"/>
    <w:rsid w:val="00CB64EE"/>
    <w:rsid w:val="00CB679B"/>
    <w:rsid w:val="00CB7D70"/>
    <w:rsid w:val="00CB7EFC"/>
    <w:rsid w:val="00CC0956"/>
    <w:rsid w:val="00CC0AEB"/>
    <w:rsid w:val="00CC1568"/>
    <w:rsid w:val="00CC1B70"/>
    <w:rsid w:val="00CC1C34"/>
    <w:rsid w:val="00CC2597"/>
    <w:rsid w:val="00CC2C9A"/>
    <w:rsid w:val="00CC2EBB"/>
    <w:rsid w:val="00CC300A"/>
    <w:rsid w:val="00CC3AA6"/>
    <w:rsid w:val="00CC3D49"/>
    <w:rsid w:val="00CC40B7"/>
    <w:rsid w:val="00CC4ED0"/>
    <w:rsid w:val="00CC51C8"/>
    <w:rsid w:val="00CC5386"/>
    <w:rsid w:val="00CC553B"/>
    <w:rsid w:val="00CC5579"/>
    <w:rsid w:val="00CC5793"/>
    <w:rsid w:val="00CC5B02"/>
    <w:rsid w:val="00CC604D"/>
    <w:rsid w:val="00CC6222"/>
    <w:rsid w:val="00CC64F8"/>
    <w:rsid w:val="00CC775B"/>
    <w:rsid w:val="00CD043F"/>
    <w:rsid w:val="00CD10D0"/>
    <w:rsid w:val="00CD264A"/>
    <w:rsid w:val="00CD29E1"/>
    <w:rsid w:val="00CD2F5D"/>
    <w:rsid w:val="00CD3384"/>
    <w:rsid w:val="00CD3CEB"/>
    <w:rsid w:val="00CD4508"/>
    <w:rsid w:val="00CD494D"/>
    <w:rsid w:val="00CD4B3D"/>
    <w:rsid w:val="00CD50EC"/>
    <w:rsid w:val="00CD52BB"/>
    <w:rsid w:val="00CD59CF"/>
    <w:rsid w:val="00CD5BBE"/>
    <w:rsid w:val="00CD61F1"/>
    <w:rsid w:val="00CD6926"/>
    <w:rsid w:val="00CD6F68"/>
    <w:rsid w:val="00CD71D5"/>
    <w:rsid w:val="00CD7A67"/>
    <w:rsid w:val="00CE0347"/>
    <w:rsid w:val="00CE08F0"/>
    <w:rsid w:val="00CE0FA6"/>
    <w:rsid w:val="00CE0FBE"/>
    <w:rsid w:val="00CE1146"/>
    <w:rsid w:val="00CE1193"/>
    <w:rsid w:val="00CE1525"/>
    <w:rsid w:val="00CE16D9"/>
    <w:rsid w:val="00CE19AA"/>
    <w:rsid w:val="00CE1AAE"/>
    <w:rsid w:val="00CE1C46"/>
    <w:rsid w:val="00CE1E10"/>
    <w:rsid w:val="00CE1F79"/>
    <w:rsid w:val="00CE229E"/>
    <w:rsid w:val="00CE246D"/>
    <w:rsid w:val="00CE2729"/>
    <w:rsid w:val="00CE285B"/>
    <w:rsid w:val="00CE2E51"/>
    <w:rsid w:val="00CE311C"/>
    <w:rsid w:val="00CE32CB"/>
    <w:rsid w:val="00CE3305"/>
    <w:rsid w:val="00CE371F"/>
    <w:rsid w:val="00CE39FA"/>
    <w:rsid w:val="00CE4CE2"/>
    <w:rsid w:val="00CE5E2B"/>
    <w:rsid w:val="00CE66DE"/>
    <w:rsid w:val="00CE6DD7"/>
    <w:rsid w:val="00CE6F64"/>
    <w:rsid w:val="00CE7000"/>
    <w:rsid w:val="00CE740A"/>
    <w:rsid w:val="00CE7771"/>
    <w:rsid w:val="00CF0960"/>
    <w:rsid w:val="00CF0CCF"/>
    <w:rsid w:val="00CF0F53"/>
    <w:rsid w:val="00CF182B"/>
    <w:rsid w:val="00CF1F45"/>
    <w:rsid w:val="00CF2115"/>
    <w:rsid w:val="00CF22F3"/>
    <w:rsid w:val="00CF25C6"/>
    <w:rsid w:val="00CF3A68"/>
    <w:rsid w:val="00CF3D32"/>
    <w:rsid w:val="00CF416A"/>
    <w:rsid w:val="00CF47DA"/>
    <w:rsid w:val="00CF4A8F"/>
    <w:rsid w:val="00CF4B88"/>
    <w:rsid w:val="00CF5134"/>
    <w:rsid w:val="00CF5E9D"/>
    <w:rsid w:val="00CF67E0"/>
    <w:rsid w:val="00CF6FD6"/>
    <w:rsid w:val="00D006FF"/>
    <w:rsid w:val="00D0070A"/>
    <w:rsid w:val="00D008DB"/>
    <w:rsid w:val="00D00AD0"/>
    <w:rsid w:val="00D00AD8"/>
    <w:rsid w:val="00D022A7"/>
    <w:rsid w:val="00D026EC"/>
    <w:rsid w:val="00D028FA"/>
    <w:rsid w:val="00D033D2"/>
    <w:rsid w:val="00D034B5"/>
    <w:rsid w:val="00D03724"/>
    <w:rsid w:val="00D038C5"/>
    <w:rsid w:val="00D03F5D"/>
    <w:rsid w:val="00D04161"/>
    <w:rsid w:val="00D041B5"/>
    <w:rsid w:val="00D042D4"/>
    <w:rsid w:val="00D043E5"/>
    <w:rsid w:val="00D04888"/>
    <w:rsid w:val="00D04D19"/>
    <w:rsid w:val="00D05932"/>
    <w:rsid w:val="00D0619C"/>
    <w:rsid w:val="00D06ABD"/>
    <w:rsid w:val="00D07FE3"/>
    <w:rsid w:val="00D1017A"/>
    <w:rsid w:val="00D10221"/>
    <w:rsid w:val="00D10B0D"/>
    <w:rsid w:val="00D1182E"/>
    <w:rsid w:val="00D11A3B"/>
    <w:rsid w:val="00D11A9B"/>
    <w:rsid w:val="00D11B57"/>
    <w:rsid w:val="00D11CA9"/>
    <w:rsid w:val="00D1217C"/>
    <w:rsid w:val="00D1231B"/>
    <w:rsid w:val="00D125BD"/>
    <w:rsid w:val="00D12E68"/>
    <w:rsid w:val="00D1355C"/>
    <w:rsid w:val="00D13CA6"/>
    <w:rsid w:val="00D1425F"/>
    <w:rsid w:val="00D14CDB"/>
    <w:rsid w:val="00D14CE1"/>
    <w:rsid w:val="00D14D73"/>
    <w:rsid w:val="00D15983"/>
    <w:rsid w:val="00D15A44"/>
    <w:rsid w:val="00D15D23"/>
    <w:rsid w:val="00D1658B"/>
    <w:rsid w:val="00D1694F"/>
    <w:rsid w:val="00D170F4"/>
    <w:rsid w:val="00D20299"/>
    <w:rsid w:val="00D202F8"/>
    <w:rsid w:val="00D211CA"/>
    <w:rsid w:val="00D221B7"/>
    <w:rsid w:val="00D2235F"/>
    <w:rsid w:val="00D223DF"/>
    <w:rsid w:val="00D22FBD"/>
    <w:rsid w:val="00D232F5"/>
    <w:rsid w:val="00D239EF"/>
    <w:rsid w:val="00D24A04"/>
    <w:rsid w:val="00D24A9C"/>
    <w:rsid w:val="00D25DA4"/>
    <w:rsid w:val="00D260CB"/>
    <w:rsid w:val="00D2635B"/>
    <w:rsid w:val="00D26AC2"/>
    <w:rsid w:val="00D26AFE"/>
    <w:rsid w:val="00D26D01"/>
    <w:rsid w:val="00D274BB"/>
    <w:rsid w:val="00D2796E"/>
    <w:rsid w:val="00D279A2"/>
    <w:rsid w:val="00D305BF"/>
    <w:rsid w:val="00D3060B"/>
    <w:rsid w:val="00D30869"/>
    <w:rsid w:val="00D319E9"/>
    <w:rsid w:val="00D3268C"/>
    <w:rsid w:val="00D3368B"/>
    <w:rsid w:val="00D33715"/>
    <w:rsid w:val="00D34265"/>
    <w:rsid w:val="00D3437F"/>
    <w:rsid w:val="00D34383"/>
    <w:rsid w:val="00D34BD5"/>
    <w:rsid w:val="00D34CA0"/>
    <w:rsid w:val="00D35284"/>
    <w:rsid w:val="00D35546"/>
    <w:rsid w:val="00D3591C"/>
    <w:rsid w:val="00D366D9"/>
    <w:rsid w:val="00D36708"/>
    <w:rsid w:val="00D36AD4"/>
    <w:rsid w:val="00D36D6A"/>
    <w:rsid w:val="00D37531"/>
    <w:rsid w:val="00D375F9"/>
    <w:rsid w:val="00D3783A"/>
    <w:rsid w:val="00D405BB"/>
    <w:rsid w:val="00D40AB1"/>
    <w:rsid w:val="00D40FC5"/>
    <w:rsid w:val="00D41FEA"/>
    <w:rsid w:val="00D425C7"/>
    <w:rsid w:val="00D426AC"/>
    <w:rsid w:val="00D42ABE"/>
    <w:rsid w:val="00D42D04"/>
    <w:rsid w:val="00D431A6"/>
    <w:rsid w:val="00D43273"/>
    <w:rsid w:val="00D43A6E"/>
    <w:rsid w:val="00D43BA1"/>
    <w:rsid w:val="00D43D91"/>
    <w:rsid w:val="00D440A0"/>
    <w:rsid w:val="00D447AA"/>
    <w:rsid w:val="00D448B5"/>
    <w:rsid w:val="00D44B88"/>
    <w:rsid w:val="00D44DE6"/>
    <w:rsid w:val="00D451F5"/>
    <w:rsid w:val="00D4554C"/>
    <w:rsid w:val="00D45746"/>
    <w:rsid w:val="00D4581E"/>
    <w:rsid w:val="00D4618E"/>
    <w:rsid w:val="00D46386"/>
    <w:rsid w:val="00D46448"/>
    <w:rsid w:val="00D472E2"/>
    <w:rsid w:val="00D4784A"/>
    <w:rsid w:val="00D5019E"/>
    <w:rsid w:val="00D50600"/>
    <w:rsid w:val="00D5078A"/>
    <w:rsid w:val="00D508AA"/>
    <w:rsid w:val="00D50B73"/>
    <w:rsid w:val="00D50D00"/>
    <w:rsid w:val="00D50DD2"/>
    <w:rsid w:val="00D515A9"/>
    <w:rsid w:val="00D51879"/>
    <w:rsid w:val="00D52447"/>
    <w:rsid w:val="00D525A8"/>
    <w:rsid w:val="00D5263D"/>
    <w:rsid w:val="00D52BF1"/>
    <w:rsid w:val="00D53195"/>
    <w:rsid w:val="00D54BCA"/>
    <w:rsid w:val="00D54FA5"/>
    <w:rsid w:val="00D54FC2"/>
    <w:rsid w:val="00D55324"/>
    <w:rsid w:val="00D5589F"/>
    <w:rsid w:val="00D55A16"/>
    <w:rsid w:val="00D55BF9"/>
    <w:rsid w:val="00D55F0A"/>
    <w:rsid w:val="00D5623E"/>
    <w:rsid w:val="00D5749B"/>
    <w:rsid w:val="00D57756"/>
    <w:rsid w:val="00D57D30"/>
    <w:rsid w:val="00D609D3"/>
    <w:rsid w:val="00D61758"/>
    <w:rsid w:val="00D6193A"/>
    <w:rsid w:val="00D62384"/>
    <w:rsid w:val="00D630C2"/>
    <w:rsid w:val="00D6352A"/>
    <w:rsid w:val="00D63A37"/>
    <w:rsid w:val="00D63CB2"/>
    <w:rsid w:val="00D63DFA"/>
    <w:rsid w:val="00D64DCE"/>
    <w:rsid w:val="00D65B34"/>
    <w:rsid w:val="00D65DA8"/>
    <w:rsid w:val="00D66D05"/>
    <w:rsid w:val="00D66F70"/>
    <w:rsid w:val="00D66FA5"/>
    <w:rsid w:val="00D67557"/>
    <w:rsid w:val="00D6760B"/>
    <w:rsid w:val="00D67786"/>
    <w:rsid w:val="00D67F24"/>
    <w:rsid w:val="00D70129"/>
    <w:rsid w:val="00D70AD7"/>
    <w:rsid w:val="00D71170"/>
    <w:rsid w:val="00D723D0"/>
    <w:rsid w:val="00D729CD"/>
    <w:rsid w:val="00D73497"/>
    <w:rsid w:val="00D74069"/>
    <w:rsid w:val="00D74A09"/>
    <w:rsid w:val="00D75025"/>
    <w:rsid w:val="00D7516A"/>
    <w:rsid w:val="00D75781"/>
    <w:rsid w:val="00D7582A"/>
    <w:rsid w:val="00D75D39"/>
    <w:rsid w:val="00D76093"/>
    <w:rsid w:val="00D764C4"/>
    <w:rsid w:val="00D76599"/>
    <w:rsid w:val="00D7664E"/>
    <w:rsid w:val="00D76CC8"/>
    <w:rsid w:val="00D770C9"/>
    <w:rsid w:val="00D777E6"/>
    <w:rsid w:val="00D81245"/>
    <w:rsid w:val="00D8149D"/>
    <w:rsid w:val="00D81F67"/>
    <w:rsid w:val="00D8218F"/>
    <w:rsid w:val="00D825A3"/>
    <w:rsid w:val="00D82C18"/>
    <w:rsid w:val="00D82D1D"/>
    <w:rsid w:val="00D830DA"/>
    <w:rsid w:val="00D837C5"/>
    <w:rsid w:val="00D8427F"/>
    <w:rsid w:val="00D8436B"/>
    <w:rsid w:val="00D85613"/>
    <w:rsid w:val="00D85F89"/>
    <w:rsid w:val="00D86100"/>
    <w:rsid w:val="00D875F4"/>
    <w:rsid w:val="00D90266"/>
    <w:rsid w:val="00D90581"/>
    <w:rsid w:val="00D90DE8"/>
    <w:rsid w:val="00D90DF0"/>
    <w:rsid w:val="00D9174F"/>
    <w:rsid w:val="00D91A0E"/>
    <w:rsid w:val="00D91B21"/>
    <w:rsid w:val="00D922E3"/>
    <w:rsid w:val="00D925E0"/>
    <w:rsid w:val="00D92633"/>
    <w:rsid w:val="00D92A97"/>
    <w:rsid w:val="00D93964"/>
    <w:rsid w:val="00D93EAA"/>
    <w:rsid w:val="00D94405"/>
    <w:rsid w:val="00D9497C"/>
    <w:rsid w:val="00D94A73"/>
    <w:rsid w:val="00D95270"/>
    <w:rsid w:val="00D95533"/>
    <w:rsid w:val="00D959D8"/>
    <w:rsid w:val="00D96020"/>
    <w:rsid w:val="00D969EC"/>
    <w:rsid w:val="00D96E9F"/>
    <w:rsid w:val="00D974EC"/>
    <w:rsid w:val="00D979FB"/>
    <w:rsid w:val="00D97A30"/>
    <w:rsid w:val="00D97B20"/>
    <w:rsid w:val="00D97EF3"/>
    <w:rsid w:val="00D97FAE"/>
    <w:rsid w:val="00DA030E"/>
    <w:rsid w:val="00DA0416"/>
    <w:rsid w:val="00DA04AD"/>
    <w:rsid w:val="00DA0C42"/>
    <w:rsid w:val="00DA116F"/>
    <w:rsid w:val="00DA11B7"/>
    <w:rsid w:val="00DA198C"/>
    <w:rsid w:val="00DA2584"/>
    <w:rsid w:val="00DA293F"/>
    <w:rsid w:val="00DA33DF"/>
    <w:rsid w:val="00DA33FB"/>
    <w:rsid w:val="00DA34B3"/>
    <w:rsid w:val="00DA38FD"/>
    <w:rsid w:val="00DA3E93"/>
    <w:rsid w:val="00DA4277"/>
    <w:rsid w:val="00DA48AB"/>
    <w:rsid w:val="00DA4C91"/>
    <w:rsid w:val="00DA52B8"/>
    <w:rsid w:val="00DA59E1"/>
    <w:rsid w:val="00DA6CE9"/>
    <w:rsid w:val="00DA71B3"/>
    <w:rsid w:val="00DA72A5"/>
    <w:rsid w:val="00DA74B5"/>
    <w:rsid w:val="00DB0611"/>
    <w:rsid w:val="00DB08E3"/>
    <w:rsid w:val="00DB15C8"/>
    <w:rsid w:val="00DB2191"/>
    <w:rsid w:val="00DB2E16"/>
    <w:rsid w:val="00DB34EE"/>
    <w:rsid w:val="00DB3C97"/>
    <w:rsid w:val="00DB3E6F"/>
    <w:rsid w:val="00DB4268"/>
    <w:rsid w:val="00DB47A9"/>
    <w:rsid w:val="00DB551A"/>
    <w:rsid w:val="00DB5B48"/>
    <w:rsid w:val="00DB5DC6"/>
    <w:rsid w:val="00DB600E"/>
    <w:rsid w:val="00DB63B1"/>
    <w:rsid w:val="00DB6B6F"/>
    <w:rsid w:val="00DB7AC4"/>
    <w:rsid w:val="00DB7AC6"/>
    <w:rsid w:val="00DB7DFE"/>
    <w:rsid w:val="00DC0306"/>
    <w:rsid w:val="00DC08C4"/>
    <w:rsid w:val="00DC0B6B"/>
    <w:rsid w:val="00DC0C43"/>
    <w:rsid w:val="00DC0D86"/>
    <w:rsid w:val="00DC0ECA"/>
    <w:rsid w:val="00DC1377"/>
    <w:rsid w:val="00DC1502"/>
    <w:rsid w:val="00DC158A"/>
    <w:rsid w:val="00DC1BA8"/>
    <w:rsid w:val="00DC242D"/>
    <w:rsid w:val="00DC2899"/>
    <w:rsid w:val="00DC2974"/>
    <w:rsid w:val="00DC29C7"/>
    <w:rsid w:val="00DC2AAB"/>
    <w:rsid w:val="00DC2B46"/>
    <w:rsid w:val="00DC3193"/>
    <w:rsid w:val="00DC3924"/>
    <w:rsid w:val="00DC4D2E"/>
    <w:rsid w:val="00DC5C01"/>
    <w:rsid w:val="00DC5F54"/>
    <w:rsid w:val="00DC6385"/>
    <w:rsid w:val="00DC6439"/>
    <w:rsid w:val="00DC6619"/>
    <w:rsid w:val="00DC6A00"/>
    <w:rsid w:val="00DC6B42"/>
    <w:rsid w:val="00DD00C1"/>
    <w:rsid w:val="00DD0123"/>
    <w:rsid w:val="00DD062E"/>
    <w:rsid w:val="00DD1208"/>
    <w:rsid w:val="00DD1A2A"/>
    <w:rsid w:val="00DD1BF1"/>
    <w:rsid w:val="00DD259A"/>
    <w:rsid w:val="00DD2786"/>
    <w:rsid w:val="00DD2954"/>
    <w:rsid w:val="00DD323F"/>
    <w:rsid w:val="00DD34C2"/>
    <w:rsid w:val="00DD35E5"/>
    <w:rsid w:val="00DD35FF"/>
    <w:rsid w:val="00DD3734"/>
    <w:rsid w:val="00DD3B94"/>
    <w:rsid w:val="00DD4048"/>
    <w:rsid w:val="00DD4D2D"/>
    <w:rsid w:val="00DD4D43"/>
    <w:rsid w:val="00DD5080"/>
    <w:rsid w:val="00DD5374"/>
    <w:rsid w:val="00DD575B"/>
    <w:rsid w:val="00DD5761"/>
    <w:rsid w:val="00DD5CB3"/>
    <w:rsid w:val="00DD5EC0"/>
    <w:rsid w:val="00DD611F"/>
    <w:rsid w:val="00DD6283"/>
    <w:rsid w:val="00DD6B0A"/>
    <w:rsid w:val="00DD6F64"/>
    <w:rsid w:val="00DD708E"/>
    <w:rsid w:val="00DD76D7"/>
    <w:rsid w:val="00DD771B"/>
    <w:rsid w:val="00DD7FCE"/>
    <w:rsid w:val="00DE0114"/>
    <w:rsid w:val="00DE0A56"/>
    <w:rsid w:val="00DE0C2B"/>
    <w:rsid w:val="00DE106F"/>
    <w:rsid w:val="00DE14EA"/>
    <w:rsid w:val="00DE1B6B"/>
    <w:rsid w:val="00DE269B"/>
    <w:rsid w:val="00DE26A6"/>
    <w:rsid w:val="00DE2D60"/>
    <w:rsid w:val="00DE3046"/>
    <w:rsid w:val="00DE308A"/>
    <w:rsid w:val="00DE3267"/>
    <w:rsid w:val="00DE33D6"/>
    <w:rsid w:val="00DE437E"/>
    <w:rsid w:val="00DE5600"/>
    <w:rsid w:val="00DE68BD"/>
    <w:rsid w:val="00DE7C04"/>
    <w:rsid w:val="00DF061C"/>
    <w:rsid w:val="00DF08BC"/>
    <w:rsid w:val="00DF0CD7"/>
    <w:rsid w:val="00DF0F11"/>
    <w:rsid w:val="00DF0F9F"/>
    <w:rsid w:val="00DF18C2"/>
    <w:rsid w:val="00DF1B21"/>
    <w:rsid w:val="00DF20DE"/>
    <w:rsid w:val="00DF2652"/>
    <w:rsid w:val="00DF2D75"/>
    <w:rsid w:val="00DF2FB3"/>
    <w:rsid w:val="00DF3807"/>
    <w:rsid w:val="00DF38D4"/>
    <w:rsid w:val="00DF5550"/>
    <w:rsid w:val="00DF590A"/>
    <w:rsid w:val="00DF5B41"/>
    <w:rsid w:val="00DF5E27"/>
    <w:rsid w:val="00DF6A1A"/>
    <w:rsid w:val="00DF6BD9"/>
    <w:rsid w:val="00DF7997"/>
    <w:rsid w:val="00DF7A26"/>
    <w:rsid w:val="00E00265"/>
    <w:rsid w:val="00E00442"/>
    <w:rsid w:val="00E0048B"/>
    <w:rsid w:val="00E013EB"/>
    <w:rsid w:val="00E01638"/>
    <w:rsid w:val="00E0192A"/>
    <w:rsid w:val="00E01BF2"/>
    <w:rsid w:val="00E01D69"/>
    <w:rsid w:val="00E01F8A"/>
    <w:rsid w:val="00E02326"/>
    <w:rsid w:val="00E02611"/>
    <w:rsid w:val="00E028F4"/>
    <w:rsid w:val="00E02F18"/>
    <w:rsid w:val="00E03000"/>
    <w:rsid w:val="00E030C4"/>
    <w:rsid w:val="00E031CA"/>
    <w:rsid w:val="00E032D0"/>
    <w:rsid w:val="00E03874"/>
    <w:rsid w:val="00E03F4E"/>
    <w:rsid w:val="00E0412D"/>
    <w:rsid w:val="00E04A3B"/>
    <w:rsid w:val="00E0538F"/>
    <w:rsid w:val="00E057C0"/>
    <w:rsid w:val="00E05A0A"/>
    <w:rsid w:val="00E05D73"/>
    <w:rsid w:val="00E065C0"/>
    <w:rsid w:val="00E0663B"/>
    <w:rsid w:val="00E0696B"/>
    <w:rsid w:val="00E06E28"/>
    <w:rsid w:val="00E070A8"/>
    <w:rsid w:val="00E0739C"/>
    <w:rsid w:val="00E073A6"/>
    <w:rsid w:val="00E07600"/>
    <w:rsid w:val="00E10628"/>
    <w:rsid w:val="00E10AB3"/>
    <w:rsid w:val="00E10C28"/>
    <w:rsid w:val="00E114D6"/>
    <w:rsid w:val="00E133F4"/>
    <w:rsid w:val="00E135FE"/>
    <w:rsid w:val="00E13800"/>
    <w:rsid w:val="00E13E28"/>
    <w:rsid w:val="00E13EB6"/>
    <w:rsid w:val="00E1424A"/>
    <w:rsid w:val="00E146B2"/>
    <w:rsid w:val="00E14953"/>
    <w:rsid w:val="00E150FF"/>
    <w:rsid w:val="00E15465"/>
    <w:rsid w:val="00E15488"/>
    <w:rsid w:val="00E15849"/>
    <w:rsid w:val="00E162B7"/>
    <w:rsid w:val="00E1649E"/>
    <w:rsid w:val="00E166D3"/>
    <w:rsid w:val="00E169B7"/>
    <w:rsid w:val="00E16D9B"/>
    <w:rsid w:val="00E17378"/>
    <w:rsid w:val="00E17392"/>
    <w:rsid w:val="00E17DD6"/>
    <w:rsid w:val="00E17FA1"/>
    <w:rsid w:val="00E205E3"/>
    <w:rsid w:val="00E20ECC"/>
    <w:rsid w:val="00E2221D"/>
    <w:rsid w:val="00E223CF"/>
    <w:rsid w:val="00E2288E"/>
    <w:rsid w:val="00E22C2D"/>
    <w:rsid w:val="00E23D49"/>
    <w:rsid w:val="00E23F8E"/>
    <w:rsid w:val="00E24F9B"/>
    <w:rsid w:val="00E25748"/>
    <w:rsid w:val="00E25751"/>
    <w:rsid w:val="00E258CB"/>
    <w:rsid w:val="00E25941"/>
    <w:rsid w:val="00E26C97"/>
    <w:rsid w:val="00E272AE"/>
    <w:rsid w:val="00E27633"/>
    <w:rsid w:val="00E27DC8"/>
    <w:rsid w:val="00E3001F"/>
    <w:rsid w:val="00E30A32"/>
    <w:rsid w:val="00E31E5A"/>
    <w:rsid w:val="00E3209F"/>
    <w:rsid w:val="00E323C0"/>
    <w:rsid w:val="00E32DC6"/>
    <w:rsid w:val="00E32F25"/>
    <w:rsid w:val="00E333FF"/>
    <w:rsid w:val="00E337FF"/>
    <w:rsid w:val="00E34651"/>
    <w:rsid w:val="00E3484F"/>
    <w:rsid w:val="00E34DA4"/>
    <w:rsid w:val="00E34E75"/>
    <w:rsid w:val="00E35364"/>
    <w:rsid w:val="00E3600F"/>
    <w:rsid w:val="00E365B0"/>
    <w:rsid w:val="00E36786"/>
    <w:rsid w:val="00E36AD8"/>
    <w:rsid w:val="00E36CA2"/>
    <w:rsid w:val="00E3712F"/>
    <w:rsid w:val="00E37A4A"/>
    <w:rsid w:val="00E401CC"/>
    <w:rsid w:val="00E4044E"/>
    <w:rsid w:val="00E4159F"/>
    <w:rsid w:val="00E41732"/>
    <w:rsid w:val="00E41B01"/>
    <w:rsid w:val="00E41F7C"/>
    <w:rsid w:val="00E42038"/>
    <w:rsid w:val="00E422FA"/>
    <w:rsid w:val="00E42882"/>
    <w:rsid w:val="00E42DBE"/>
    <w:rsid w:val="00E42DEF"/>
    <w:rsid w:val="00E438F3"/>
    <w:rsid w:val="00E443CE"/>
    <w:rsid w:val="00E44830"/>
    <w:rsid w:val="00E45006"/>
    <w:rsid w:val="00E45635"/>
    <w:rsid w:val="00E45847"/>
    <w:rsid w:val="00E45FDD"/>
    <w:rsid w:val="00E4620F"/>
    <w:rsid w:val="00E465F1"/>
    <w:rsid w:val="00E479CB"/>
    <w:rsid w:val="00E47B18"/>
    <w:rsid w:val="00E47C67"/>
    <w:rsid w:val="00E500C0"/>
    <w:rsid w:val="00E501D5"/>
    <w:rsid w:val="00E505CF"/>
    <w:rsid w:val="00E507C0"/>
    <w:rsid w:val="00E50D45"/>
    <w:rsid w:val="00E51139"/>
    <w:rsid w:val="00E511BE"/>
    <w:rsid w:val="00E51235"/>
    <w:rsid w:val="00E515C0"/>
    <w:rsid w:val="00E51957"/>
    <w:rsid w:val="00E51A98"/>
    <w:rsid w:val="00E523EF"/>
    <w:rsid w:val="00E52501"/>
    <w:rsid w:val="00E525C2"/>
    <w:rsid w:val="00E52D7D"/>
    <w:rsid w:val="00E537D9"/>
    <w:rsid w:val="00E53894"/>
    <w:rsid w:val="00E53993"/>
    <w:rsid w:val="00E54313"/>
    <w:rsid w:val="00E5472A"/>
    <w:rsid w:val="00E5481E"/>
    <w:rsid w:val="00E551BE"/>
    <w:rsid w:val="00E55930"/>
    <w:rsid w:val="00E559AB"/>
    <w:rsid w:val="00E564A0"/>
    <w:rsid w:val="00E56997"/>
    <w:rsid w:val="00E56C82"/>
    <w:rsid w:val="00E56DC9"/>
    <w:rsid w:val="00E5766B"/>
    <w:rsid w:val="00E576B4"/>
    <w:rsid w:val="00E57C29"/>
    <w:rsid w:val="00E6012D"/>
    <w:rsid w:val="00E606A4"/>
    <w:rsid w:val="00E61435"/>
    <w:rsid w:val="00E614B1"/>
    <w:rsid w:val="00E62453"/>
    <w:rsid w:val="00E627BD"/>
    <w:rsid w:val="00E62930"/>
    <w:rsid w:val="00E62BB7"/>
    <w:rsid w:val="00E62DB1"/>
    <w:rsid w:val="00E631D7"/>
    <w:rsid w:val="00E63317"/>
    <w:rsid w:val="00E6351E"/>
    <w:rsid w:val="00E63708"/>
    <w:rsid w:val="00E6391A"/>
    <w:rsid w:val="00E63AF2"/>
    <w:rsid w:val="00E64575"/>
    <w:rsid w:val="00E65195"/>
    <w:rsid w:val="00E6519A"/>
    <w:rsid w:val="00E651FE"/>
    <w:rsid w:val="00E65C34"/>
    <w:rsid w:val="00E66967"/>
    <w:rsid w:val="00E66A6A"/>
    <w:rsid w:val="00E67BD1"/>
    <w:rsid w:val="00E67BFC"/>
    <w:rsid w:val="00E67E78"/>
    <w:rsid w:val="00E67EAF"/>
    <w:rsid w:val="00E67FD2"/>
    <w:rsid w:val="00E70004"/>
    <w:rsid w:val="00E7075F"/>
    <w:rsid w:val="00E70902"/>
    <w:rsid w:val="00E713C7"/>
    <w:rsid w:val="00E7192C"/>
    <w:rsid w:val="00E71CD5"/>
    <w:rsid w:val="00E72C3B"/>
    <w:rsid w:val="00E73158"/>
    <w:rsid w:val="00E73625"/>
    <w:rsid w:val="00E7377B"/>
    <w:rsid w:val="00E7529E"/>
    <w:rsid w:val="00E755AB"/>
    <w:rsid w:val="00E7593F"/>
    <w:rsid w:val="00E776BF"/>
    <w:rsid w:val="00E77E19"/>
    <w:rsid w:val="00E77EB6"/>
    <w:rsid w:val="00E8088C"/>
    <w:rsid w:val="00E808EF"/>
    <w:rsid w:val="00E80E5E"/>
    <w:rsid w:val="00E81462"/>
    <w:rsid w:val="00E81E2A"/>
    <w:rsid w:val="00E8238B"/>
    <w:rsid w:val="00E8262A"/>
    <w:rsid w:val="00E826AC"/>
    <w:rsid w:val="00E827B9"/>
    <w:rsid w:val="00E83585"/>
    <w:rsid w:val="00E83780"/>
    <w:rsid w:val="00E83850"/>
    <w:rsid w:val="00E83C1F"/>
    <w:rsid w:val="00E83DFD"/>
    <w:rsid w:val="00E84254"/>
    <w:rsid w:val="00E84DBD"/>
    <w:rsid w:val="00E84FEF"/>
    <w:rsid w:val="00E85536"/>
    <w:rsid w:val="00E85FE5"/>
    <w:rsid w:val="00E8612D"/>
    <w:rsid w:val="00E86196"/>
    <w:rsid w:val="00E864EB"/>
    <w:rsid w:val="00E86B1D"/>
    <w:rsid w:val="00E8763C"/>
    <w:rsid w:val="00E878BB"/>
    <w:rsid w:val="00E901AF"/>
    <w:rsid w:val="00E90556"/>
    <w:rsid w:val="00E90736"/>
    <w:rsid w:val="00E90CD1"/>
    <w:rsid w:val="00E90D62"/>
    <w:rsid w:val="00E90F39"/>
    <w:rsid w:val="00E91DF1"/>
    <w:rsid w:val="00E9203E"/>
    <w:rsid w:val="00E92397"/>
    <w:rsid w:val="00E92A85"/>
    <w:rsid w:val="00E92B3C"/>
    <w:rsid w:val="00E93B40"/>
    <w:rsid w:val="00E949D6"/>
    <w:rsid w:val="00E94BFE"/>
    <w:rsid w:val="00E95A48"/>
    <w:rsid w:val="00E95FA5"/>
    <w:rsid w:val="00E96469"/>
    <w:rsid w:val="00E9646F"/>
    <w:rsid w:val="00E96675"/>
    <w:rsid w:val="00E96CC0"/>
    <w:rsid w:val="00E96EEC"/>
    <w:rsid w:val="00E97F46"/>
    <w:rsid w:val="00EA0DC9"/>
    <w:rsid w:val="00EA1C19"/>
    <w:rsid w:val="00EA1FA7"/>
    <w:rsid w:val="00EA229B"/>
    <w:rsid w:val="00EA281A"/>
    <w:rsid w:val="00EA2A3A"/>
    <w:rsid w:val="00EA2BE2"/>
    <w:rsid w:val="00EA34F9"/>
    <w:rsid w:val="00EA38F0"/>
    <w:rsid w:val="00EA430C"/>
    <w:rsid w:val="00EA48C7"/>
    <w:rsid w:val="00EA4F2E"/>
    <w:rsid w:val="00EA59F3"/>
    <w:rsid w:val="00EA5C15"/>
    <w:rsid w:val="00EA5F6D"/>
    <w:rsid w:val="00EA663E"/>
    <w:rsid w:val="00EA7135"/>
    <w:rsid w:val="00EA7517"/>
    <w:rsid w:val="00EA7B3A"/>
    <w:rsid w:val="00EA7C95"/>
    <w:rsid w:val="00EA7F22"/>
    <w:rsid w:val="00EB2020"/>
    <w:rsid w:val="00EB22E8"/>
    <w:rsid w:val="00EB2D12"/>
    <w:rsid w:val="00EB3CC2"/>
    <w:rsid w:val="00EB4695"/>
    <w:rsid w:val="00EB4B4B"/>
    <w:rsid w:val="00EB567D"/>
    <w:rsid w:val="00EB584B"/>
    <w:rsid w:val="00EB59C5"/>
    <w:rsid w:val="00EB5F4F"/>
    <w:rsid w:val="00EB640C"/>
    <w:rsid w:val="00EB6905"/>
    <w:rsid w:val="00EB6EB0"/>
    <w:rsid w:val="00EB7612"/>
    <w:rsid w:val="00EB7971"/>
    <w:rsid w:val="00EB7AE4"/>
    <w:rsid w:val="00EB7FAA"/>
    <w:rsid w:val="00EC0468"/>
    <w:rsid w:val="00EC1D4A"/>
    <w:rsid w:val="00EC21BF"/>
    <w:rsid w:val="00EC2F37"/>
    <w:rsid w:val="00EC339E"/>
    <w:rsid w:val="00EC3C3C"/>
    <w:rsid w:val="00EC3D20"/>
    <w:rsid w:val="00EC4120"/>
    <w:rsid w:val="00EC4253"/>
    <w:rsid w:val="00EC465E"/>
    <w:rsid w:val="00EC4974"/>
    <w:rsid w:val="00EC5CF0"/>
    <w:rsid w:val="00EC6470"/>
    <w:rsid w:val="00EC6714"/>
    <w:rsid w:val="00EC6AAD"/>
    <w:rsid w:val="00EC756B"/>
    <w:rsid w:val="00EC7F65"/>
    <w:rsid w:val="00ED0124"/>
    <w:rsid w:val="00ED071E"/>
    <w:rsid w:val="00ED0CDB"/>
    <w:rsid w:val="00ED0E09"/>
    <w:rsid w:val="00ED11A8"/>
    <w:rsid w:val="00ED19A1"/>
    <w:rsid w:val="00ED1ACC"/>
    <w:rsid w:val="00ED1CD7"/>
    <w:rsid w:val="00ED29AE"/>
    <w:rsid w:val="00ED2F8E"/>
    <w:rsid w:val="00ED3E9F"/>
    <w:rsid w:val="00ED45A6"/>
    <w:rsid w:val="00ED4AB9"/>
    <w:rsid w:val="00ED5398"/>
    <w:rsid w:val="00ED5917"/>
    <w:rsid w:val="00ED6498"/>
    <w:rsid w:val="00ED6E73"/>
    <w:rsid w:val="00ED7776"/>
    <w:rsid w:val="00ED7800"/>
    <w:rsid w:val="00ED788B"/>
    <w:rsid w:val="00ED7A19"/>
    <w:rsid w:val="00ED7BF9"/>
    <w:rsid w:val="00ED7F98"/>
    <w:rsid w:val="00EE0299"/>
    <w:rsid w:val="00EE05D1"/>
    <w:rsid w:val="00EE08C4"/>
    <w:rsid w:val="00EE1125"/>
    <w:rsid w:val="00EE154C"/>
    <w:rsid w:val="00EE1ADF"/>
    <w:rsid w:val="00EE1F5E"/>
    <w:rsid w:val="00EE23EC"/>
    <w:rsid w:val="00EE257C"/>
    <w:rsid w:val="00EE2614"/>
    <w:rsid w:val="00EE2987"/>
    <w:rsid w:val="00EE2F1C"/>
    <w:rsid w:val="00EE3230"/>
    <w:rsid w:val="00EE3466"/>
    <w:rsid w:val="00EE3BC2"/>
    <w:rsid w:val="00EE3CCD"/>
    <w:rsid w:val="00EE3EDE"/>
    <w:rsid w:val="00EE4442"/>
    <w:rsid w:val="00EE4C62"/>
    <w:rsid w:val="00EE4E95"/>
    <w:rsid w:val="00EE5822"/>
    <w:rsid w:val="00EE5D5B"/>
    <w:rsid w:val="00EE6B16"/>
    <w:rsid w:val="00EE6E9F"/>
    <w:rsid w:val="00EE7019"/>
    <w:rsid w:val="00EE74D3"/>
    <w:rsid w:val="00EE7CEE"/>
    <w:rsid w:val="00EF0127"/>
    <w:rsid w:val="00EF040D"/>
    <w:rsid w:val="00EF06C4"/>
    <w:rsid w:val="00EF0CD6"/>
    <w:rsid w:val="00EF0F4D"/>
    <w:rsid w:val="00EF3737"/>
    <w:rsid w:val="00EF37EA"/>
    <w:rsid w:val="00EF38AF"/>
    <w:rsid w:val="00EF38B0"/>
    <w:rsid w:val="00EF58D4"/>
    <w:rsid w:val="00EF5E56"/>
    <w:rsid w:val="00F00E7A"/>
    <w:rsid w:val="00F00FF3"/>
    <w:rsid w:val="00F01056"/>
    <w:rsid w:val="00F019AE"/>
    <w:rsid w:val="00F01BFE"/>
    <w:rsid w:val="00F01C76"/>
    <w:rsid w:val="00F01CAD"/>
    <w:rsid w:val="00F01ED7"/>
    <w:rsid w:val="00F0210D"/>
    <w:rsid w:val="00F02997"/>
    <w:rsid w:val="00F02C92"/>
    <w:rsid w:val="00F02D3E"/>
    <w:rsid w:val="00F03CB9"/>
    <w:rsid w:val="00F04909"/>
    <w:rsid w:val="00F05054"/>
    <w:rsid w:val="00F05B99"/>
    <w:rsid w:val="00F05BFE"/>
    <w:rsid w:val="00F0653A"/>
    <w:rsid w:val="00F068FB"/>
    <w:rsid w:val="00F07058"/>
    <w:rsid w:val="00F075B1"/>
    <w:rsid w:val="00F078B6"/>
    <w:rsid w:val="00F107F4"/>
    <w:rsid w:val="00F10A6D"/>
    <w:rsid w:val="00F10BB0"/>
    <w:rsid w:val="00F10D68"/>
    <w:rsid w:val="00F10D92"/>
    <w:rsid w:val="00F1187D"/>
    <w:rsid w:val="00F11B31"/>
    <w:rsid w:val="00F11DF5"/>
    <w:rsid w:val="00F121DB"/>
    <w:rsid w:val="00F13375"/>
    <w:rsid w:val="00F1349D"/>
    <w:rsid w:val="00F13B52"/>
    <w:rsid w:val="00F14766"/>
    <w:rsid w:val="00F14802"/>
    <w:rsid w:val="00F14888"/>
    <w:rsid w:val="00F15781"/>
    <w:rsid w:val="00F15946"/>
    <w:rsid w:val="00F163C3"/>
    <w:rsid w:val="00F165A3"/>
    <w:rsid w:val="00F17198"/>
    <w:rsid w:val="00F174CF"/>
    <w:rsid w:val="00F17531"/>
    <w:rsid w:val="00F1771E"/>
    <w:rsid w:val="00F177D6"/>
    <w:rsid w:val="00F17CDC"/>
    <w:rsid w:val="00F20129"/>
    <w:rsid w:val="00F209C3"/>
    <w:rsid w:val="00F21C58"/>
    <w:rsid w:val="00F22261"/>
    <w:rsid w:val="00F22418"/>
    <w:rsid w:val="00F22B78"/>
    <w:rsid w:val="00F2358E"/>
    <w:rsid w:val="00F23A29"/>
    <w:rsid w:val="00F23F95"/>
    <w:rsid w:val="00F24931"/>
    <w:rsid w:val="00F25130"/>
    <w:rsid w:val="00F251C5"/>
    <w:rsid w:val="00F26043"/>
    <w:rsid w:val="00F27B23"/>
    <w:rsid w:val="00F27E15"/>
    <w:rsid w:val="00F308FB"/>
    <w:rsid w:val="00F30AC3"/>
    <w:rsid w:val="00F314D9"/>
    <w:rsid w:val="00F317E0"/>
    <w:rsid w:val="00F31BF1"/>
    <w:rsid w:val="00F31C5A"/>
    <w:rsid w:val="00F31DBF"/>
    <w:rsid w:val="00F326B4"/>
    <w:rsid w:val="00F32BCB"/>
    <w:rsid w:val="00F3342C"/>
    <w:rsid w:val="00F33740"/>
    <w:rsid w:val="00F33F0A"/>
    <w:rsid w:val="00F340CF"/>
    <w:rsid w:val="00F34688"/>
    <w:rsid w:val="00F34A6D"/>
    <w:rsid w:val="00F355B1"/>
    <w:rsid w:val="00F355EA"/>
    <w:rsid w:val="00F35C8B"/>
    <w:rsid w:val="00F3612F"/>
    <w:rsid w:val="00F36305"/>
    <w:rsid w:val="00F3640E"/>
    <w:rsid w:val="00F36509"/>
    <w:rsid w:val="00F36A69"/>
    <w:rsid w:val="00F36AE5"/>
    <w:rsid w:val="00F36DC3"/>
    <w:rsid w:val="00F3732E"/>
    <w:rsid w:val="00F375E6"/>
    <w:rsid w:val="00F376A7"/>
    <w:rsid w:val="00F37791"/>
    <w:rsid w:val="00F37E4B"/>
    <w:rsid w:val="00F4024D"/>
    <w:rsid w:val="00F405B4"/>
    <w:rsid w:val="00F411E2"/>
    <w:rsid w:val="00F41340"/>
    <w:rsid w:val="00F41E8D"/>
    <w:rsid w:val="00F425CE"/>
    <w:rsid w:val="00F432F2"/>
    <w:rsid w:val="00F43ACE"/>
    <w:rsid w:val="00F44079"/>
    <w:rsid w:val="00F449DA"/>
    <w:rsid w:val="00F44AD2"/>
    <w:rsid w:val="00F44CCA"/>
    <w:rsid w:val="00F456A2"/>
    <w:rsid w:val="00F45D85"/>
    <w:rsid w:val="00F4642E"/>
    <w:rsid w:val="00F46EA2"/>
    <w:rsid w:val="00F4780A"/>
    <w:rsid w:val="00F4792A"/>
    <w:rsid w:val="00F47C90"/>
    <w:rsid w:val="00F502CC"/>
    <w:rsid w:val="00F50C81"/>
    <w:rsid w:val="00F511B1"/>
    <w:rsid w:val="00F51371"/>
    <w:rsid w:val="00F513CB"/>
    <w:rsid w:val="00F51AFC"/>
    <w:rsid w:val="00F5249A"/>
    <w:rsid w:val="00F524B5"/>
    <w:rsid w:val="00F525AC"/>
    <w:rsid w:val="00F52D81"/>
    <w:rsid w:val="00F537CC"/>
    <w:rsid w:val="00F53836"/>
    <w:rsid w:val="00F53A4F"/>
    <w:rsid w:val="00F5401B"/>
    <w:rsid w:val="00F542B6"/>
    <w:rsid w:val="00F54343"/>
    <w:rsid w:val="00F54DDA"/>
    <w:rsid w:val="00F5525C"/>
    <w:rsid w:val="00F55AB7"/>
    <w:rsid w:val="00F5625D"/>
    <w:rsid w:val="00F567F4"/>
    <w:rsid w:val="00F56F49"/>
    <w:rsid w:val="00F5739F"/>
    <w:rsid w:val="00F57505"/>
    <w:rsid w:val="00F5791B"/>
    <w:rsid w:val="00F57CF5"/>
    <w:rsid w:val="00F57D10"/>
    <w:rsid w:val="00F60B4B"/>
    <w:rsid w:val="00F60D4A"/>
    <w:rsid w:val="00F612BF"/>
    <w:rsid w:val="00F6182C"/>
    <w:rsid w:val="00F618BF"/>
    <w:rsid w:val="00F620F7"/>
    <w:rsid w:val="00F62130"/>
    <w:rsid w:val="00F6265D"/>
    <w:rsid w:val="00F6269A"/>
    <w:rsid w:val="00F6275C"/>
    <w:rsid w:val="00F62EED"/>
    <w:rsid w:val="00F62F35"/>
    <w:rsid w:val="00F639D1"/>
    <w:rsid w:val="00F645B2"/>
    <w:rsid w:val="00F6465D"/>
    <w:rsid w:val="00F64A77"/>
    <w:rsid w:val="00F64CFE"/>
    <w:rsid w:val="00F64ED1"/>
    <w:rsid w:val="00F64EFA"/>
    <w:rsid w:val="00F65C20"/>
    <w:rsid w:val="00F66CA9"/>
    <w:rsid w:val="00F66D69"/>
    <w:rsid w:val="00F67767"/>
    <w:rsid w:val="00F6791C"/>
    <w:rsid w:val="00F67C02"/>
    <w:rsid w:val="00F70535"/>
    <w:rsid w:val="00F70C14"/>
    <w:rsid w:val="00F70D91"/>
    <w:rsid w:val="00F70DFF"/>
    <w:rsid w:val="00F70F2F"/>
    <w:rsid w:val="00F724C7"/>
    <w:rsid w:val="00F7307C"/>
    <w:rsid w:val="00F732CB"/>
    <w:rsid w:val="00F73460"/>
    <w:rsid w:val="00F740EE"/>
    <w:rsid w:val="00F74512"/>
    <w:rsid w:val="00F747F7"/>
    <w:rsid w:val="00F748D6"/>
    <w:rsid w:val="00F755F4"/>
    <w:rsid w:val="00F7577A"/>
    <w:rsid w:val="00F759DB"/>
    <w:rsid w:val="00F75C53"/>
    <w:rsid w:val="00F763B2"/>
    <w:rsid w:val="00F7644A"/>
    <w:rsid w:val="00F76A20"/>
    <w:rsid w:val="00F7751D"/>
    <w:rsid w:val="00F77BC8"/>
    <w:rsid w:val="00F8002D"/>
    <w:rsid w:val="00F81280"/>
    <w:rsid w:val="00F81374"/>
    <w:rsid w:val="00F81A62"/>
    <w:rsid w:val="00F82450"/>
    <w:rsid w:val="00F82861"/>
    <w:rsid w:val="00F82EBF"/>
    <w:rsid w:val="00F85532"/>
    <w:rsid w:val="00F85C55"/>
    <w:rsid w:val="00F86995"/>
    <w:rsid w:val="00F86C7A"/>
    <w:rsid w:val="00F870A7"/>
    <w:rsid w:val="00F8747E"/>
    <w:rsid w:val="00F90338"/>
    <w:rsid w:val="00F90581"/>
    <w:rsid w:val="00F90ECC"/>
    <w:rsid w:val="00F90F27"/>
    <w:rsid w:val="00F91332"/>
    <w:rsid w:val="00F9134D"/>
    <w:rsid w:val="00F9145A"/>
    <w:rsid w:val="00F91853"/>
    <w:rsid w:val="00F91DD0"/>
    <w:rsid w:val="00F91F00"/>
    <w:rsid w:val="00F92447"/>
    <w:rsid w:val="00F92795"/>
    <w:rsid w:val="00F946B5"/>
    <w:rsid w:val="00F94DE7"/>
    <w:rsid w:val="00F95701"/>
    <w:rsid w:val="00F957C5"/>
    <w:rsid w:val="00F95B97"/>
    <w:rsid w:val="00F95FB7"/>
    <w:rsid w:val="00F96456"/>
    <w:rsid w:val="00F96D0A"/>
    <w:rsid w:val="00F96EB8"/>
    <w:rsid w:val="00F96F29"/>
    <w:rsid w:val="00F96F5C"/>
    <w:rsid w:val="00F9705B"/>
    <w:rsid w:val="00F979A5"/>
    <w:rsid w:val="00FA1BE2"/>
    <w:rsid w:val="00FA258B"/>
    <w:rsid w:val="00FA285B"/>
    <w:rsid w:val="00FA3393"/>
    <w:rsid w:val="00FA3922"/>
    <w:rsid w:val="00FA3FDB"/>
    <w:rsid w:val="00FA506D"/>
    <w:rsid w:val="00FA51F2"/>
    <w:rsid w:val="00FA5A43"/>
    <w:rsid w:val="00FA60F9"/>
    <w:rsid w:val="00FA6778"/>
    <w:rsid w:val="00FA67F2"/>
    <w:rsid w:val="00FA6AAC"/>
    <w:rsid w:val="00FA73C4"/>
    <w:rsid w:val="00FA7AAE"/>
    <w:rsid w:val="00FA7D04"/>
    <w:rsid w:val="00FA7E11"/>
    <w:rsid w:val="00FB0F84"/>
    <w:rsid w:val="00FB16DD"/>
    <w:rsid w:val="00FB19B3"/>
    <w:rsid w:val="00FB1A71"/>
    <w:rsid w:val="00FB2329"/>
    <w:rsid w:val="00FB273B"/>
    <w:rsid w:val="00FB2A80"/>
    <w:rsid w:val="00FB3363"/>
    <w:rsid w:val="00FB37FE"/>
    <w:rsid w:val="00FB47F7"/>
    <w:rsid w:val="00FB50B2"/>
    <w:rsid w:val="00FB56B0"/>
    <w:rsid w:val="00FB5D12"/>
    <w:rsid w:val="00FB5D76"/>
    <w:rsid w:val="00FB6231"/>
    <w:rsid w:val="00FB63AE"/>
    <w:rsid w:val="00FB6856"/>
    <w:rsid w:val="00FB6D04"/>
    <w:rsid w:val="00FB7206"/>
    <w:rsid w:val="00FC0E31"/>
    <w:rsid w:val="00FC0F3A"/>
    <w:rsid w:val="00FC16BB"/>
    <w:rsid w:val="00FC1825"/>
    <w:rsid w:val="00FC26DF"/>
    <w:rsid w:val="00FC2B4E"/>
    <w:rsid w:val="00FC37A8"/>
    <w:rsid w:val="00FC3D2F"/>
    <w:rsid w:val="00FC4BD8"/>
    <w:rsid w:val="00FC4E17"/>
    <w:rsid w:val="00FC54BA"/>
    <w:rsid w:val="00FC55DF"/>
    <w:rsid w:val="00FC58BD"/>
    <w:rsid w:val="00FC65E9"/>
    <w:rsid w:val="00FC6C19"/>
    <w:rsid w:val="00FC6EFC"/>
    <w:rsid w:val="00FC7435"/>
    <w:rsid w:val="00FC78C5"/>
    <w:rsid w:val="00FD05F3"/>
    <w:rsid w:val="00FD0F7C"/>
    <w:rsid w:val="00FD0FAE"/>
    <w:rsid w:val="00FD135A"/>
    <w:rsid w:val="00FD1C7B"/>
    <w:rsid w:val="00FD1C8C"/>
    <w:rsid w:val="00FD1D87"/>
    <w:rsid w:val="00FD2123"/>
    <w:rsid w:val="00FD2188"/>
    <w:rsid w:val="00FD266F"/>
    <w:rsid w:val="00FD2835"/>
    <w:rsid w:val="00FD2CAB"/>
    <w:rsid w:val="00FD32B3"/>
    <w:rsid w:val="00FD35AD"/>
    <w:rsid w:val="00FD3914"/>
    <w:rsid w:val="00FD3C90"/>
    <w:rsid w:val="00FD4259"/>
    <w:rsid w:val="00FD45AD"/>
    <w:rsid w:val="00FD5534"/>
    <w:rsid w:val="00FD5FE2"/>
    <w:rsid w:val="00FD764B"/>
    <w:rsid w:val="00FD76A8"/>
    <w:rsid w:val="00FD7A4D"/>
    <w:rsid w:val="00FD7DE3"/>
    <w:rsid w:val="00FE000A"/>
    <w:rsid w:val="00FE0256"/>
    <w:rsid w:val="00FE04A1"/>
    <w:rsid w:val="00FE0A06"/>
    <w:rsid w:val="00FE0FF9"/>
    <w:rsid w:val="00FE101D"/>
    <w:rsid w:val="00FE1AD8"/>
    <w:rsid w:val="00FE2244"/>
    <w:rsid w:val="00FE2851"/>
    <w:rsid w:val="00FE2AA1"/>
    <w:rsid w:val="00FE3347"/>
    <w:rsid w:val="00FE426E"/>
    <w:rsid w:val="00FE4918"/>
    <w:rsid w:val="00FE49E6"/>
    <w:rsid w:val="00FE5112"/>
    <w:rsid w:val="00FE53D1"/>
    <w:rsid w:val="00FE561B"/>
    <w:rsid w:val="00FE5834"/>
    <w:rsid w:val="00FE5979"/>
    <w:rsid w:val="00FE5F13"/>
    <w:rsid w:val="00FE62BA"/>
    <w:rsid w:val="00FE6A8E"/>
    <w:rsid w:val="00FE7086"/>
    <w:rsid w:val="00FE75AC"/>
    <w:rsid w:val="00FE793C"/>
    <w:rsid w:val="00FE7E1F"/>
    <w:rsid w:val="00FE7F5E"/>
    <w:rsid w:val="00FF1301"/>
    <w:rsid w:val="00FF162F"/>
    <w:rsid w:val="00FF3085"/>
    <w:rsid w:val="00FF35A6"/>
    <w:rsid w:val="00FF38DE"/>
    <w:rsid w:val="00FF422A"/>
    <w:rsid w:val="00FF50DB"/>
    <w:rsid w:val="00FF5111"/>
    <w:rsid w:val="00FF5281"/>
    <w:rsid w:val="00FF53D7"/>
    <w:rsid w:val="00FF541C"/>
    <w:rsid w:val="00FF5B49"/>
    <w:rsid w:val="00FF5DAB"/>
    <w:rsid w:val="00FF6B32"/>
    <w:rsid w:val="00FF6D34"/>
    <w:rsid w:val="00FF6D98"/>
    <w:rsid w:val="00FF6E0A"/>
    <w:rsid w:val="00FF7029"/>
    <w:rsid w:val="00FF70BD"/>
    <w:rsid w:val="00FF7104"/>
    <w:rsid w:val="00F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eaeaea,#99f,#9999c2,#cccce1,#435e85,#006,#3e567a,#1c567a"/>
    </o:shapedefaults>
    <o:shapelayout v:ext="edit">
      <o:idmap v:ext="edit" data="1"/>
    </o:shapelayout>
  </w:shapeDefaults>
  <w:decimalSymbol w:val="."/>
  <w:listSeparator w:val=","/>
  <w14:docId w14:val="5ADE9AF3"/>
  <w15:docId w15:val="{7474F509-7563-4F40-8676-EB993674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EE3"/>
    <w:pPr>
      <w:spacing w:line="288" w:lineRule="auto"/>
      <w:jc w:val="both"/>
    </w:pPr>
    <w:rPr>
      <w:rFonts w:ascii="Arial" w:hAnsi="Arial"/>
      <w:szCs w:val="24"/>
    </w:rPr>
  </w:style>
  <w:style w:type="paragraph" w:styleId="Heading1">
    <w:name w:val="heading 1"/>
    <w:basedOn w:val="ListParagraph"/>
    <w:next w:val="Normal"/>
    <w:qFormat/>
    <w:rsid w:val="00103B89"/>
    <w:pPr>
      <w:pBdr>
        <w:bottom w:val="single" w:sz="8" w:space="4" w:color="4F81BD"/>
      </w:pBdr>
      <w:spacing w:before="360" w:after="360" w:line="240" w:lineRule="auto"/>
      <w:ind w:left="0"/>
      <w:contextualSpacing/>
      <w:jc w:val="left"/>
      <w:outlineLvl w:val="0"/>
    </w:pPr>
    <w:rPr>
      <w:rFonts w:ascii="Arial Bold" w:hAnsi="Arial Bold" w:cs="Arial"/>
      <w:b/>
      <w:color w:val="006CA9" w:themeColor="accent1"/>
      <w:spacing w:val="5"/>
      <w:kern w:val="36"/>
      <w:sz w:val="40"/>
      <w:szCs w:val="30"/>
    </w:rPr>
  </w:style>
  <w:style w:type="paragraph" w:styleId="Heading2">
    <w:name w:val="heading 2"/>
    <w:basedOn w:val="Normal"/>
    <w:next w:val="Normal"/>
    <w:qFormat/>
    <w:rsid w:val="00130D89"/>
    <w:pPr>
      <w:keepNext/>
      <w:spacing w:before="360" w:after="360" w:line="240" w:lineRule="auto"/>
      <w:ind w:left="360" w:hanging="360"/>
      <w:outlineLvl w:val="1"/>
    </w:pPr>
    <w:rPr>
      <w:rFonts w:cs="Arial"/>
      <w:b/>
      <w:bCs/>
      <w:iCs/>
      <w:sz w:val="28"/>
      <w:szCs w:val="28"/>
      <w:u w:val="single"/>
    </w:rPr>
  </w:style>
  <w:style w:type="paragraph" w:styleId="Heading3">
    <w:name w:val="heading 3"/>
    <w:basedOn w:val="Heading2"/>
    <w:next w:val="Normal"/>
    <w:link w:val="Heading3Char"/>
    <w:unhideWhenUsed/>
    <w:qFormat/>
    <w:rsid w:val="00E54313"/>
    <w:pPr>
      <w:spacing w:after="120"/>
      <w:ind w:left="1080"/>
      <w:outlineLvl w:val="2"/>
    </w:pPr>
    <w:rPr>
      <w:b w:val="0"/>
      <w:color w:val="006CA9"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4">
    <w:name w:val="Table List 4"/>
    <w:basedOn w:val="TableNormal"/>
    <w:rsid w:val="007E016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FootnoteText">
    <w:name w:val="footnote text"/>
    <w:aliases w:val="FT"/>
    <w:basedOn w:val="Normal"/>
    <w:link w:val="FootnoteTextChar"/>
    <w:uiPriority w:val="99"/>
    <w:rsid w:val="00BD089D"/>
    <w:rPr>
      <w:szCs w:val="20"/>
    </w:rPr>
  </w:style>
  <w:style w:type="character" w:styleId="FootnoteReference">
    <w:name w:val="footnote reference"/>
    <w:aliases w:val="*"/>
    <w:uiPriority w:val="99"/>
    <w:rsid w:val="00BD089D"/>
    <w:rPr>
      <w:vertAlign w:val="superscript"/>
    </w:rPr>
  </w:style>
  <w:style w:type="paragraph" w:styleId="Header">
    <w:name w:val="header"/>
    <w:basedOn w:val="Normal"/>
    <w:link w:val="HeaderChar"/>
    <w:rsid w:val="00BD089D"/>
    <w:pPr>
      <w:tabs>
        <w:tab w:val="center" w:pos="4320"/>
        <w:tab w:val="right" w:pos="8640"/>
      </w:tabs>
    </w:pPr>
  </w:style>
  <w:style w:type="paragraph" w:styleId="Footer">
    <w:name w:val="footer"/>
    <w:basedOn w:val="Normal"/>
    <w:rsid w:val="00BD089D"/>
    <w:pPr>
      <w:tabs>
        <w:tab w:val="center" w:pos="4320"/>
        <w:tab w:val="right" w:pos="8640"/>
      </w:tabs>
    </w:pPr>
  </w:style>
  <w:style w:type="character" w:styleId="PageNumber">
    <w:name w:val="page number"/>
    <w:basedOn w:val="DefaultParagraphFont"/>
    <w:rsid w:val="00BC6593"/>
  </w:style>
  <w:style w:type="character" w:styleId="Hyperlink">
    <w:name w:val="Hyperlink"/>
    <w:uiPriority w:val="99"/>
    <w:rsid w:val="002123CE"/>
    <w:rPr>
      <w:color w:val="0000FF"/>
      <w:u w:val="single"/>
    </w:rPr>
  </w:style>
  <w:style w:type="paragraph" w:styleId="BalloonText">
    <w:name w:val="Balloon Text"/>
    <w:basedOn w:val="Normal"/>
    <w:semiHidden/>
    <w:rsid w:val="00BD089D"/>
    <w:rPr>
      <w:rFonts w:ascii="Tahoma" w:hAnsi="Tahoma" w:cs="Tahoma"/>
      <w:sz w:val="16"/>
      <w:szCs w:val="16"/>
    </w:rPr>
  </w:style>
  <w:style w:type="paragraph" w:styleId="NormalWeb">
    <w:name w:val="Normal (Web)"/>
    <w:basedOn w:val="Normal"/>
    <w:uiPriority w:val="99"/>
    <w:rsid w:val="00BD089D"/>
    <w:pPr>
      <w:spacing w:before="100" w:beforeAutospacing="1" w:after="100" w:afterAutospacing="1"/>
    </w:pPr>
  </w:style>
  <w:style w:type="paragraph" w:styleId="BodyTextIndent3">
    <w:name w:val="Body Text Indent 3"/>
    <w:basedOn w:val="Normal"/>
    <w:rsid w:val="00BD089D"/>
    <w:pPr>
      <w:spacing w:after="120"/>
      <w:ind w:left="360"/>
    </w:pPr>
    <w:rPr>
      <w:spacing w:val="-3"/>
      <w:sz w:val="16"/>
      <w:szCs w:val="16"/>
    </w:rPr>
  </w:style>
  <w:style w:type="paragraph" w:styleId="HTMLPreformatted">
    <w:name w:val="HTML Preformatted"/>
    <w:basedOn w:val="Normal"/>
    <w:rsid w:val="00BD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customStyle="1" w:styleId="BodyTextFirstIndentJustified">
    <w:name w:val="Body Text First Indent Justified"/>
    <w:basedOn w:val="BodyTextFirstIndent"/>
    <w:rsid w:val="009B71CD"/>
    <w:pPr>
      <w:spacing w:after="240"/>
      <w:ind w:firstLine="1440"/>
    </w:pPr>
    <w:rPr>
      <w:szCs w:val="20"/>
    </w:rPr>
  </w:style>
  <w:style w:type="paragraph" w:styleId="BodyText">
    <w:name w:val="Body Text"/>
    <w:basedOn w:val="Normal"/>
    <w:rsid w:val="00BD089D"/>
    <w:pPr>
      <w:spacing w:after="120"/>
    </w:pPr>
  </w:style>
  <w:style w:type="paragraph" w:styleId="BodyTextFirstIndent">
    <w:name w:val="Body Text First Indent"/>
    <w:basedOn w:val="BodyText"/>
    <w:rsid w:val="00BD089D"/>
    <w:pPr>
      <w:ind w:firstLine="210"/>
    </w:pPr>
  </w:style>
  <w:style w:type="paragraph" w:styleId="BodyText2">
    <w:name w:val="Body Text 2"/>
    <w:basedOn w:val="Normal"/>
    <w:rsid w:val="00BD089D"/>
    <w:pPr>
      <w:spacing w:after="120" w:line="480" w:lineRule="auto"/>
    </w:pPr>
  </w:style>
  <w:style w:type="paragraph" w:styleId="Title">
    <w:name w:val="Title"/>
    <w:basedOn w:val="Normal"/>
    <w:link w:val="TitleChar"/>
    <w:uiPriority w:val="10"/>
    <w:qFormat/>
    <w:rsid w:val="00012721"/>
    <w:pPr>
      <w:jc w:val="center"/>
    </w:pPr>
    <w:rPr>
      <w:b/>
      <w:bCs/>
      <w:sz w:val="28"/>
      <w:szCs w:val="20"/>
    </w:rPr>
  </w:style>
  <w:style w:type="paragraph" w:customStyle="1" w:styleId="Hanging025CharCharChar">
    <w:name w:val="Hanging:  0.25&quot; Char Char Char"/>
    <w:basedOn w:val="Normal"/>
    <w:link w:val="Hanging025CharCharCharChar"/>
    <w:rsid w:val="00012721"/>
    <w:pPr>
      <w:autoSpaceDE w:val="0"/>
      <w:autoSpaceDN w:val="0"/>
      <w:adjustRightInd w:val="0"/>
    </w:pPr>
    <w:rPr>
      <w:spacing w:val="-3"/>
    </w:rPr>
  </w:style>
  <w:style w:type="character" w:customStyle="1" w:styleId="Hanging025CharCharCharChar">
    <w:name w:val="Hanging:  0.25&quot; Char Char Char Char"/>
    <w:link w:val="Hanging025CharCharChar"/>
    <w:rsid w:val="00012721"/>
    <w:rPr>
      <w:spacing w:val="-3"/>
      <w:sz w:val="24"/>
      <w:szCs w:val="24"/>
      <w:lang w:val="en-US" w:eastAsia="en-US" w:bidi="ar-SA"/>
    </w:rPr>
  </w:style>
  <w:style w:type="character" w:customStyle="1" w:styleId="emailstyle17">
    <w:name w:val="emailstyle17"/>
    <w:semiHidden/>
    <w:rsid w:val="00D777E6"/>
    <w:rPr>
      <w:rFonts w:ascii="Arial" w:hAnsi="Arial" w:cs="Arial" w:hint="default"/>
      <w:color w:val="auto"/>
      <w:sz w:val="20"/>
      <w:szCs w:val="20"/>
    </w:rPr>
  </w:style>
  <w:style w:type="paragraph" w:styleId="PlainText">
    <w:name w:val="Plain Text"/>
    <w:basedOn w:val="Normal"/>
    <w:rsid w:val="00BD089D"/>
    <w:rPr>
      <w:rFonts w:ascii="Courier New" w:hAnsi="Courier New" w:cs="Courier New"/>
      <w:szCs w:val="20"/>
    </w:rPr>
  </w:style>
  <w:style w:type="character" w:customStyle="1" w:styleId="CharStyle1">
    <w:name w:val="Char Style 1"/>
    <w:rsid w:val="00AE794C"/>
    <w:rPr>
      <w:rFonts w:ascii="Times New Roman" w:hAnsi="Times New Roman" w:cs="Times New Roman"/>
      <w:color w:val="000000"/>
      <w:kern w:val="1"/>
    </w:rPr>
  </w:style>
  <w:style w:type="paragraph" w:customStyle="1" w:styleId="ParaStyle0">
    <w:name w:val="Para Style 0"/>
    <w:rsid w:val="00AE794C"/>
    <w:pPr>
      <w:widowControl w:val="0"/>
      <w:autoSpaceDE w:val="0"/>
      <w:autoSpaceDN w:val="0"/>
      <w:spacing w:line="310" w:lineRule="atLeast"/>
    </w:pPr>
    <w:rPr>
      <w:rFonts w:ascii="ZapfHumnst BT" w:hAnsi="ZapfHumnst BT" w:cs="ZapfHumnst BT"/>
      <w:color w:val="000000"/>
      <w:kern w:val="1"/>
      <w:sz w:val="21"/>
      <w:szCs w:val="21"/>
    </w:rPr>
  </w:style>
  <w:style w:type="character" w:styleId="FollowedHyperlink">
    <w:name w:val="FollowedHyperlink"/>
    <w:rsid w:val="00643C7F"/>
    <w:rPr>
      <w:color w:val="800080"/>
      <w:u w:val="single"/>
    </w:rPr>
  </w:style>
  <w:style w:type="character" w:styleId="CommentReference">
    <w:name w:val="annotation reference"/>
    <w:semiHidden/>
    <w:rsid w:val="001721B9"/>
    <w:rPr>
      <w:sz w:val="16"/>
      <w:szCs w:val="16"/>
    </w:rPr>
  </w:style>
  <w:style w:type="paragraph" w:styleId="CommentText">
    <w:name w:val="annotation text"/>
    <w:basedOn w:val="Normal"/>
    <w:semiHidden/>
    <w:rsid w:val="00BD089D"/>
    <w:rPr>
      <w:szCs w:val="20"/>
    </w:rPr>
  </w:style>
  <w:style w:type="paragraph" w:styleId="CommentSubject">
    <w:name w:val="annotation subject"/>
    <w:basedOn w:val="CommentText"/>
    <w:next w:val="CommentText"/>
    <w:semiHidden/>
    <w:rsid w:val="00BD089D"/>
    <w:rPr>
      <w:b/>
      <w:bCs/>
    </w:rPr>
  </w:style>
  <w:style w:type="paragraph" w:styleId="TOC1">
    <w:name w:val="toc 1"/>
    <w:basedOn w:val="Normal"/>
    <w:next w:val="Normal"/>
    <w:autoRedefine/>
    <w:uiPriority w:val="39"/>
    <w:qFormat/>
    <w:rsid w:val="00BD089D"/>
    <w:pPr>
      <w:tabs>
        <w:tab w:val="left" w:pos="630"/>
        <w:tab w:val="right" w:leader="dot" w:pos="12950"/>
      </w:tabs>
      <w:ind w:left="270"/>
    </w:pPr>
    <w:rPr>
      <w:rFonts w:cs="Arial"/>
      <w:noProof/>
      <w:szCs w:val="20"/>
    </w:rPr>
  </w:style>
  <w:style w:type="paragraph" w:customStyle="1" w:styleId="Title1">
    <w:name w:val="Title1"/>
    <w:basedOn w:val="Normal"/>
    <w:qFormat/>
    <w:rsid w:val="00E54313"/>
    <w:rPr>
      <w:b/>
      <w:sz w:val="48"/>
    </w:rPr>
  </w:style>
  <w:style w:type="paragraph" w:customStyle="1" w:styleId="Subtitle1">
    <w:name w:val="Subtitle1"/>
    <w:rsid w:val="00E1649E"/>
    <w:pPr>
      <w:spacing w:after="900"/>
    </w:pPr>
    <w:rPr>
      <w:rFonts w:ascii="Arial" w:hAnsi="Arial"/>
      <w:color w:val="092443"/>
      <w:sz w:val="40"/>
      <w:szCs w:val="24"/>
    </w:rPr>
  </w:style>
  <w:style w:type="paragraph" w:customStyle="1" w:styleId="ADDRESS">
    <w:name w:val="ADDRESS"/>
    <w:rsid w:val="00E1649E"/>
    <w:pPr>
      <w:spacing w:line="270" w:lineRule="auto"/>
    </w:pPr>
    <w:rPr>
      <w:rFonts w:ascii="Arial" w:hAnsi="Arial"/>
      <w:color w:val="092443"/>
      <w:sz w:val="24"/>
      <w:szCs w:val="24"/>
    </w:rPr>
  </w:style>
  <w:style w:type="paragraph" w:styleId="ListParagraph">
    <w:name w:val="List Paragraph"/>
    <w:basedOn w:val="Normal"/>
    <w:link w:val="ListParagraphChar"/>
    <w:uiPriority w:val="34"/>
    <w:qFormat/>
    <w:rsid w:val="00BD089D"/>
    <w:pPr>
      <w:ind w:left="720"/>
    </w:pPr>
  </w:style>
  <w:style w:type="character" w:customStyle="1" w:styleId="style171">
    <w:name w:val="style171"/>
    <w:rsid w:val="00384079"/>
  </w:style>
  <w:style w:type="paragraph" w:styleId="TOCHeading">
    <w:name w:val="TOC Heading"/>
    <w:basedOn w:val="Heading1"/>
    <w:next w:val="Normal"/>
    <w:uiPriority w:val="39"/>
    <w:qFormat/>
    <w:rsid w:val="00BD089D"/>
    <w:pPr>
      <w:keepLines/>
      <w:spacing w:before="480" w:line="276" w:lineRule="auto"/>
      <w:outlineLvl w:val="9"/>
    </w:pPr>
    <w:rPr>
      <w:rFonts w:ascii="Cambria" w:eastAsia="MS Gothic" w:hAnsi="Cambria"/>
      <w:color w:val="365F91"/>
      <w:spacing w:val="0"/>
      <w:kern w:val="0"/>
      <w:sz w:val="28"/>
      <w:szCs w:val="28"/>
      <w:lang w:eastAsia="ja-JP"/>
    </w:rPr>
  </w:style>
  <w:style w:type="paragraph" w:styleId="Revision">
    <w:name w:val="Revision"/>
    <w:hidden/>
    <w:uiPriority w:val="99"/>
    <w:semiHidden/>
    <w:rsid w:val="001867CE"/>
    <w:rPr>
      <w:sz w:val="24"/>
      <w:szCs w:val="24"/>
    </w:rPr>
  </w:style>
  <w:style w:type="character" w:customStyle="1" w:styleId="TitleChar">
    <w:name w:val="Title Char"/>
    <w:link w:val="Title"/>
    <w:uiPriority w:val="10"/>
    <w:rsid w:val="00366A38"/>
    <w:rPr>
      <w:b/>
      <w:bCs/>
      <w:sz w:val="28"/>
    </w:rPr>
  </w:style>
  <w:style w:type="character" w:styleId="BookTitle">
    <w:name w:val="Book Title"/>
    <w:basedOn w:val="DefaultParagraphFont"/>
    <w:uiPriority w:val="33"/>
    <w:qFormat/>
    <w:rsid w:val="00CD494D"/>
    <w:rPr>
      <w:rFonts w:asciiTheme="minorHAnsi" w:hAnsiTheme="minorHAnsi"/>
      <w:b/>
      <w:bCs/>
      <w:caps/>
      <w:smallCaps w:val="0"/>
      <w:spacing w:val="5"/>
      <w:sz w:val="20"/>
    </w:rPr>
  </w:style>
  <w:style w:type="character" w:styleId="Strong">
    <w:name w:val="Strong"/>
    <w:basedOn w:val="DefaultParagraphFont"/>
    <w:qFormat/>
    <w:rsid w:val="00A005F2"/>
    <w:rPr>
      <w:b/>
      <w:bCs/>
    </w:rPr>
  </w:style>
  <w:style w:type="paragraph" w:styleId="Subtitle">
    <w:name w:val="Subtitle"/>
    <w:basedOn w:val="Normal"/>
    <w:next w:val="Normal"/>
    <w:link w:val="SubtitleChar"/>
    <w:qFormat/>
    <w:rsid w:val="00A005F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A005F2"/>
    <w:rPr>
      <w:rFonts w:asciiTheme="majorHAnsi" w:eastAsiaTheme="majorEastAsia" w:hAnsiTheme="majorHAnsi" w:cstheme="majorBidi"/>
      <w:sz w:val="24"/>
      <w:szCs w:val="24"/>
    </w:rPr>
  </w:style>
  <w:style w:type="paragraph" w:styleId="NoSpacing">
    <w:name w:val="No Spacing"/>
    <w:uiPriority w:val="1"/>
    <w:qFormat/>
    <w:rsid w:val="00A005F2"/>
    <w:rPr>
      <w:sz w:val="24"/>
      <w:szCs w:val="24"/>
    </w:rPr>
  </w:style>
  <w:style w:type="paragraph" w:styleId="TOC2">
    <w:name w:val="toc 2"/>
    <w:basedOn w:val="Normal"/>
    <w:next w:val="Normal"/>
    <w:autoRedefine/>
    <w:uiPriority w:val="39"/>
    <w:qFormat/>
    <w:rsid w:val="00BD089D"/>
    <w:pPr>
      <w:tabs>
        <w:tab w:val="left" w:pos="900"/>
        <w:tab w:val="right" w:leader="dot" w:pos="12950"/>
      </w:tabs>
      <w:ind w:left="240"/>
    </w:pPr>
  </w:style>
  <w:style w:type="paragraph" w:styleId="TOC3">
    <w:name w:val="toc 3"/>
    <w:basedOn w:val="Normal"/>
    <w:next w:val="Normal"/>
    <w:autoRedefine/>
    <w:uiPriority w:val="39"/>
    <w:unhideWhenUsed/>
    <w:qFormat/>
    <w:rsid w:val="00BD089D"/>
    <w:pPr>
      <w:spacing w:after="100" w:line="276" w:lineRule="auto"/>
      <w:ind w:left="440"/>
    </w:pPr>
    <w:rPr>
      <w:rFonts w:asciiTheme="minorHAnsi" w:eastAsiaTheme="minorEastAsia" w:hAnsiTheme="minorHAnsi" w:cstheme="minorBidi"/>
      <w:sz w:val="22"/>
      <w:szCs w:val="22"/>
      <w:lang w:eastAsia="ja-JP"/>
    </w:rPr>
  </w:style>
  <w:style w:type="paragraph" w:customStyle="1" w:styleId="Default">
    <w:name w:val="Default"/>
    <w:rsid w:val="00477077"/>
    <w:pPr>
      <w:autoSpaceDE w:val="0"/>
      <w:autoSpaceDN w:val="0"/>
      <w:adjustRightInd w:val="0"/>
    </w:pPr>
    <w:rPr>
      <w:color w:val="000000"/>
      <w:sz w:val="24"/>
      <w:szCs w:val="24"/>
    </w:rPr>
  </w:style>
  <w:style w:type="paragraph" w:customStyle="1" w:styleId="CM7">
    <w:name w:val="CM7"/>
    <w:basedOn w:val="Default"/>
    <w:next w:val="Default"/>
    <w:uiPriority w:val="99"/>
    <w:rsid w:val="00477077"/>
    <w:pPr>
      <w:spacing w:line="280" w:lineRule="atLeast"/>
    </w:pPr>
    <w:rPr>
      <w:color w:val="auto"/>
    </w:rPr>
  </w:style>
  <w:style w:type="paragraph" w:customStyle="1" w:styleId="CM8">
    <w:name w:val="CM8"/>
    <w:basedOn w:val="Default"/>
    <w:next w:val="Default"/>
    <w:uiPriority w:val="99"/>
    <w:rsid w:val="00477077"/>
    <w:pPr>
      <w:spacing w:line="280" w:lineRule="atLeast"/>
    </w:pPr>
    <w:rPr>
      <w:color w:val="auto"/>
    </w:rPr>
  </w:style>
  <w:style w:type="character" w:customStyle="1" w:styleId="Heading3Char">
    <w:name w:val="Heading 3 Char"/>
    <w:basedOn w:val="DefaultParagraphFont"/>
    <w:link w:val="Heading3"/>
    <w:rsid w:val="00E54313"/>
    <w:rPr>
      <w:rFonts w:ascii="Arial" w:hAnsi="Arial" w:cs="Arial"/>
      <w:bCs/>
      <w:iCs/>
      <w:color w:val="006CA9" w:themeColor="accent1"/>
      <w:sz w:val="24"/>
      <w:szCs w:val="28"/>
      <w:u w:val="single"/>
    </w:rPr>
  </w:style>
  <w:style w:type="table" w:styleId="TableGrid">
    <w:name w:val="Table Grid"/>
    <w:basedOn w:val="TableNormal"/>
    <w:rsid w:val="00E22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BD089D"/>
    <w:rPr>
      <w:szCs w:val="20"/>
    </w:rPr>
  </w:style>
  <w:style w:type="character" w:customStyle="1" w:styleId="EndnoteTextChar">
    <w:name w:val="Endnote Text Char"/>
    <w:basedOn w:val="DefaultParagraphFont"/>
    <w:link w:val="EndnoteText"/>
    <w:rsid w:val="00872373"/>
    <w:rPr>
      <w:rFonts w:ascii="Arial" w:hAnsi="Arial"/>
    </w:rPr>
  </w:style>
  <w:style w:type="character" w:styleId="EndnoteReference">
    <w:name w:val="endnote reference"/>
    <w:basedOn w:val="DefaultParagraphFont"/>
    <w:rsid w:val="00872373"/>
    <w:rPr>
      <w:vertAlign w:val="superscript"/>
    </w:rPr>
  </w:style>
  <w:style w:type="paragraph" w:customStyle="1" w:styleId="Bullet1">
    <w:name w:val="Bullet 1"/>
    <w:basedOn w:val="ListParagraph"/>
    <w:link w:val="Bullet1Char"/>
    <w:uiPriority w:val="4"/>
    <w:qFormat/>
    <w:rsid w:val="00DD062E"/>
    <w:pPr>
      <w:numPr>
        <w:numId w:val="1"/>
      </w:numPr>
      <w:spacing w:before="120" w:after="120"/>
    </w:pPr>
    <w:rPr>
      <w:rFonts w:eastAsiaTheme="minorHAnsi" w:cs="Arial"/>
      <w:szCs w:val="20"/>
    </w:rPr>
  </w:style>
  <w:style w:type="character" w:customStyle="1" w:styleId="Bullet1Char">
    <w:name w:val="Bullet 1 Char"/>
    <w:basedOn w:val="DefaultParagraphFont"/>
    <w:link w:val="Bullet1"/>
    <w:uiPriority w:val="4"/>
    <w:rsid w:val="00DD062E"/>
    <w:rPr>
      <w:rFonts w:ascii="Arial" w:eastAsiaTheme="minorHAnsi" w:hAnsi="Arial" w:cs="Arial"/>
    </w:rPr>
  </w:style>
  <w:style w:type="paragraph" w:customStyle="1" w:styleId="Bullet2">
    <w:name w:val="Bullet 2"/>
    <w:basedOn w:val="ListParagraph"/>
    <w:link w:val="Bullet2Char"/>
    <w:uiPriority w:val="5"/>
    <w:qFormat/>
    <w:rsid w:val="00260AC9"/>
    <w:pPr>
      <w:numPr>
        <w:ilvl w:val="3"/>
        <w:numId w:val="5"/>
      </w:numPr>
      <w:tabs>
        <w:tab w:val="clear" w:pos="2520"/>
      </w:tabs>
      <w:spacing w:before="120" w:after="120"/>
      <w:ind w:left="1440"/>
    </w:pPr>
    <w:rPr>
      <w:rFonts w:eastAsiaTheme="minorHAnsi" w:cs="Arial"/>
      <w:szCs w:val="20"/>
    </w:rPr>
  </w:style>
  <w:style w:type="character" w:customStyle="1" w:styleId="Bullet2Char">
    <w:name w:val="Bullet 2 Char"/>
    <w:basedOn w:val="DefaultParagraphFont"/>
    <w:link w:val="Bullet2"/>
    <w:uiPriority w:val="5"/>
    <w:rsid w:val="00260AC9"/>
    <w:rPr>
      <w:rFonts w:ascii="Arial" w:eastAsiaTheme="minorHAnsi" w:hAnsi="Arial" w:cs="Arial"/>
    </w:rPr>
  </w:style>
  <w:style w:type="paragraph" w:customStyle="1" w:styleId="Quotation">
    <w:name w:val="Quotation"/>
    <w:basedOn w:val="Normal"/>
    <w:link w:val="QuotationChar"/>
    <w:uiPriority w:val="10"/>
    <w:qFormat/>
    <w:rsid w:val="00C44AB7"/>
    <w:pPr>
      <w:keepNext/>
      <w:ind w:left="720" w:right="720"/>
    </w:pPr>
    <w:rPr>
      <w:rFonts w:eastAsiaTheme="minorHAnsi" w:cs="Arial"/>
      <w:sz w:val="18"/>
      <w:szCs w:val="18"/>
    </w:rPr>
  </w:style>
  <w:style w:type="character" w:customStyle="1" w:styleId="QuotationChar">
    <w:name w:val="Quotation Char"/>
    <w:basedOn w:val="DefaultParagraphFont"/>
    <w:link w:val="Quotation"/>
    <w:uiPriority w:val="10"/>
    <w:rsid w:val="00C44AB7"/>
    <w:rPr>
      <w:rFonts w:ascii="Arial" w:eastAsiaTheme="minorHAnsi" w:hAnsi="Arial" w:cs="Arial"/>
      <w:sz w:val="18"/>
      <w:szCs w:val="18"/>
    </w:rPr>
  </w:style>
  <w:style w:type="paragraph" w:customStyle="1" w:styleId="Number1">
    <w:name w:val="Number 1"/>
    <w:basedOn w:val="ListParagraph"/>
    <w:link w:val="Number1Char"/>
    <w:uiPriority w:val="7"/>
    <w:qFormat/>
    <w:rsid w:val="00A53190"/>
    <w:pPr>
      <w:keepNext/>
      <w:numPr>
        <w:numId w:val="31"/>
      </w:numPr>
      <w:spacing w:before="120" w:after="120"/>
    </w:pPr>
    <w:rPr>
      <w:rFonts w:eastAsiaTheme="minorHAnsi" w:cs="Arial"/>
      <w:szCs w:val="20"/>
    </w:rPr>
  </w:style>
  <w:style w:type="character" w:customStyle="1" w:styleId="Number1Char">
    <w:name w:val="Number 1 Char"/>
    <w:basedOn w:val="DefaultParagraphFont"/>
    <w:link w:val="Number1"/>
    <w:uiPriority w:val="7"/>
    <w:rsid w:val="00A53190"/>
    <w:rPr>
      <w:rFonts w:ascii="Arial" w:eastAsiaTheme="minorHAnsi" w:hAnsi="Arial" w:cs="Arial"/>
    </w:rPr>
  </w:style>
  <w:style w:type="paragraph" w:customStyle="1" w:styleId="Bullet3">
    <w:name w:val="Bullet 3"/>
    <w:basedOn w:val="ListParagraph"/>
    <w:link w:val="Bullet3Char"/>
    <w:uiPriority w:val="6"/>
    <w:qFormat/>
    <w:rsid w:val="00A53190"/>
    <w:pPr>
      <w:numPr>
        <w:numId w:val="32"/>
      </w:numPr>
      <w:spacing w:before="120" w:after="120"/>
      <w:ind w:left="2160"/>
    </w:pPr>
    <w:rPr>
      <w:rFonts w:eastAsiaTheme="minorHAnsi" w:cs="Arial"/>
      <w:szCs w:val="20"/>
    </w:rPr>
  </w:style>
  <w:style w:type="character" w:customStyle="1" w:styleId="Bullet3Char">
    <w:name w:val="Bullet 3 Char"/>
    <w:basedOn w:val="DefaultParagraphFont"/>
    <w:link w:val="Bullet3"/>
    <w:uiPriority w:val="6"/>
    <w:rsid w:val="00A53190"/>
    <w:rPr>
      <w:rFonts w:ascii="Arial" w:eastAsiaTheme="minorHAnsi" w:hAnsi="Arial" w:cs="Arial"/>
    </w:rPr>
  </w:style>
  <w:style w:type="paragraph" w:customStyle="1" w:styleId="Number2">
    <w:name w:val="Number 2"/>
    <w:basedOn w:val="ListParagraph"/>
    <w:link w:val="Number2Char"/>
    <w:uiPriority w:val="8"/>
    <w:qFormat/>
    <w:rsid w:val="00C57C4A"/>
    <w:pPr>
      <w:numPr>
        <w:numId w:val="33"/>
      </w:numPr>
      <w:spacing w:before="120" w:after="120"/>
      <w:ind w:left="1440"/>
    </w:pPr>
    <w:rPr>
      <w:rFonts w:eastAsiaTheme="minorHAnsi" w:cs="Arial"/>
      <w:szCs w:val="20"/>
    </w:rPr>
  </w:style>
  <w:style w:type="character" w:customStyle="1" w:styleId="Number2Char">
    <w:name w:val="Number 2 Char"/>
    <w:basedOn w:val="DefaultParagraphFont"/>
    <w:link w:val="Number2"/>
    <w:uiPriority w:val="8"/>
    <w:rsid w:val="00C57C4A"/>
    <w:rPr>
      <w:rFonts w:ascii="Arial" w:eastAsiaTheme="minorHAnsi" w:hAnsi="Arial" w:cs="Arial"/>
    </w:rPr>
  </w:style>
  <w:style w:type="paragraph" w:customStyle="1" w:styleId="Number3">
    <w:name w:val="Number 3"/>
    <w:basedOn w:val="ListParagraph"/>
    <w:link w:val="Number3Char"/>
    <w:uiPriority w:val="9"/>
    <w:qFormat/>
    <w:rsid w:val="00C57C4A"/>
    <w:pPr>
      <w:numPr>
        <w:ilvl w:val="2"/>
        <w:numId w:val="18"/>
      </w:numPr>
      <w:spacing w:before="120" w:after="120"/>
      <w:ind w:left="2160"/>
    </w:pPr>
    <w:rPr>
      <w:rFonts w:eastAsiaTheme="minorHAnsi" w:cs="Arial"/>
      <w:szCs w:val="20"/>
    </w:rPr>
  </w:style>
  <w:style w:type="character" w:customStyle="1" w:styleId="Number3Char">
    <w:name w:val="Number 3 Char"/>
    <w:basedOn w:val="DefaultParagraphFont"/>
    <w:link w:val="Number3"/>
    <w:uiPriority w:val="9"/>
    <w:rsid w:val="00C57C4A"/>
    <w:rPr>
      <w:rFonts w:ascii="Arial" w:eastAsiaTheme="minorHAnsi" w:hAnsi="Arial" w:cs="Arial"/>
    </w:rPr>
  </w:style>
  <w:style w:type="character" w:customStyle="1" w:styleId="FootnoteTextChar">
    <w:name w:val="Footnote Text Char"/>
    <w:aliases w:val="FT Char"/>
    <w:basedOn w:val="DefaultParagraphFont"/>
    <w:link w:val="FootnoteText"/>
    <w:uiPriority w:val="99"/>
    <w:rsid w:val="003F7892"/>
    <w:rPr>
      <w:rFonts w:ascii="Arial" w:hAnsi="Arial"/>
    </w:rPr>
  </w:style>
  <w:style w:type="character" w:styleId="UnresolvedMention">
    <w:name w:val="Unresolved Mention"/>
    <w:basedOn w:val="DefaultParagraphFont"/>
    <w:uiPriority w:val="99"/>
    <w:unhideWhenUsed/>
    <w:rsid w:val="005349E1"/>
    <w:rPr>
      <w:color w:val="605E5C"/>
      <w:shd w:val="clear" w:color="auto" w:fill="E1DFDD"/>
    </w:rPr>
  </w:style>
  <w:style w:type="character" w:customStyle="1" w:styleId="ListParagraphChar">
    <w:name w:val="List Paragraph Char"/>
    <w:basedOn w:val="DefaultParagraphFont"/>
    <w:link w:val="ListParagraph"/>
    <w:uiPriority w:val="34"/>
    <w:rsid w:val="00EE23EC"/>
    <w:rPr>
      <w:rFonts w:ascii="Arial" w:hAnsi="Arial"/>
      <w:szCs w:val="24"/>
    </w:rPr>
  </w:style>
  <w:style w:type="character" w:styleId="Mention">
    <w:name w:val="Mention"/>
    <w:basedOn w:val="DefaultParagraphFont"/>
    <w:uiPriority w:val="99"/>
    <w:unhideWhenUsed/>
    <w:rsid w:val="00204D76"/>
    <w:rPr>
      <w:color w:val="2B579A"/>
      <w:shd w:val="clear" w:color="auto" w:fill="E1DFDD"/>
    </w:rPr>
  </w:style>
  <w:style w:type="character" w:styleId="PlaceholderText">
    <w:name w:val="Placeholder Text"/>
    <w:basedOn w:val="DefaultParagraphFont"/>
    <w:uiPriority w:val="99"/>
    <w:semiHidden/>
    <w:rsid w:val="0058665F"/>
    <w:rPr>
      <w:color w:val="808080"/>
    </w:rPr>
  </w:style>
  <w:style w:type="character" w:customStyle="1" w:styleId="HeaderChar">
    <w:name w:val="Header Char"/>
    <w:basedOn w:val="DefaultParagraphFont"/>
    <w:link w:val="Header"/>
    <w:rsid w:val="0058665F"/>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7407">
      <w:bodyDiv w:val="1"/>
      <w:marLeft w:val="0"/>
      <w:marRight w:val="0"/>
      <w:marTop w:val="0"/>
      <w:marBottom w:val="0"/>
      <w:divBdr>
        <w:top w:val="none" w:sz="0" w:space="0" w:color="auto"/>
        <w:left w:val="none" w:sz="0" w:space="0" w:color="auto"/>
        <w:bottom w:val="none" w:sz="0" w:space="0" w:color="auto"/>
        <w:right w:val="none" w:sz="0" w:space="0" w:color="auto"/>
      </w:divBdr>
    </w:div>
    <w:div w:id="111557092">
      <w:bodyDiv w:val="1"/>
      <w:marLeft w:val="0"/>
      <w:marRight w:val="0"/>
      <w:marTop w:val="0"/>
      <w:marBottom w:val="0"/>
      <w:divBdr>
        <w:top w:val="none" w:sz="0" w:space="0" w:color="auto"/>
        <w:left w:val="none" w:sz="0" w:space="0" w:color="auto"/>
        <w:bottom w:val="none" w:sz="0" w:space="0" w:color="auto"/>
        <w:right w:val="none" w:sz="0" w:space="0" w:color="auto"/>
      </w:divBdr>
    </w:div>
    <w:div w:id="176891628">
      <w:bodyDiv w:val="1"/>
      <w:marLeft w:val="0"/>
      <w:marRight w:val="0"/>
      <w:marTop w:val="0"/>
      <w:marBottom w:val="0"/>
      <w:divBdr>
        <w:top w:val="none" w:sz="0" w:space="0" w:color="auto"/>
        <w:left w:val="none" w:sz="0" w:space="0" w:color="auto"/>
        <w:bottom w:val="none" w:sz="0" w:space="0" w:color="auto"/>
        <w:right w:val="none" w:sz="0" w:space="0" w:color="auto"/>
      </w:divBdr>
    </w:div>
    <w:div w:id="215241168">
      <w:bodyDiv w:val="1"/>
      <w:marLeft w:val="0"/>
      <w:marRight w:val="0"/>
      <w:marTop w:val="0"/>
      <w:marBottom w:val="0"/>
      <w:divBdr>
        <w:top w:val="none" w:sz="0" w:space="0" w:color="auto"/>
        <w:left w:val="none" w:sz="0" w:space="0" w:color="auto"/>
        <w:bottom w:val="none" w:sz="0" w:space="0" w:color="auto"/>
        <w:right w:val="none" w:sz="0" w:space="0" w:color="auto"/>
      </w:divBdr>
    </w:div>
    <w:div w:id="302933030">
      <w:bodyDiv w:val="1"/>
      <w:marLeft w:val="0"/>
      <w:marRight w:val="0"/>
      <w:marTop w:val="0"/>
      <w:marBottom w:val="0"/>
      <w:divBdr>
        <w:top w:val="none" w:sz="0" w:space="0" w:color="auto"/>
        <w:left w:val="none" w:sz="0" w:space="0" w:color="auto"/>
        <w:bottom w:val="none" w:sz="0" w:space="0" w:color="auto"/>
        <w:right w:val="none" w:sz="0" w:space="0" w:color="auto"/>
      </w:divBdr>
    </w:div>
    <w:div w:id="306664205">
      <w:bodyDiv w:val="1"/>
      <w:marLeft w:val="0"/>
      <w:marRight w:val="0"/>
      <w:marTop w:val="0"/>
      <w:marBottom w:val="0"/>
      <w:divBdr>
        <w:top w:val="none" w:sz="0" w:space="0" w:color="auto"/>
        <w:left w:val="none" w:sz="0" w:space="0" w:color="auto"/>
        <w:bottom w:val="none" w:sz="0" w:space="0" w:color="auto"/>
        <w:right w:val="none" w:sz="0" w:space="0" w:color="auto"/>
      </w:divBdr>
    </w:div>
    <w:div w:id="323124552">
      <w:bodyDiv w:val="1"/>
      <w:marLeft w:val="0"/>
      <w:marRight w:val="0"/>
      <w:marTop w:val="0"/>
      <w:marBottom w:val="0"/>
      <w:divBdr>
        <w:top w:val="none" w:sz="0" w:space="0" w:color="auto"/>
        <w:left w:val="none" w:sz="0" w:space="0" w:color="auto"/>
        <w:bottom w:val="none" w:sz="0" w:space="0" w:color="auto"/>
        <w:right w:val="none" w:sz="0" w:space="0" w:color="auto"/>
      </w:divBdr>
    </w:div>
    <w:div w:id="505636684">
      <w:bodyDiv w:val="1"/>
      <w:marLeft w:val="0"/>
      <w:marRight w:val="0"/>
      <w:marTop w:val="0"/>
      <w:marBottom w:val="0"/>
      <w:divBdr>
        <w:top w:val="none" w:sz="0" w:space="0" w:color="auto"/>
        <w:left w:val="none" w:sz="0" w:space="0" w:color="auto"/>
        <w:bottom w:val="none" w:sz="0" w:space="0" w:color="auto"/>
        <w:right w:val="none" w:sz="0" w:space="0" w:color="auto"/>
      </w:divBdr>
    </w:div>
    <w:div w:id="610665461">
      <w:bodyDiv w:val="1"/>
      <w:marLeft w:val="0"/>
      <w:marRight w:val="0"/>
      <w:marTop w:val="0"/>
      <w:marBottom w:val="0"/>
      <w:divBdr>
        <w:top w:val="none" w:sz="0" w:space="0" w:color="auto"/>
        <w:left w:val="none" w:sz="0" w:space="0" w:color="auto"/>
        <w:bottom w:val="none" w:sz="0" w:space="0" w:color="auto"/>
        <w:right w:val="none" w:sz="0" w:space="0" w:color="auto"/>
      </w:divBdr>
    </w:div>
    <w:div w:id="626736200">
      <w:bodyDiv w:val="1"/>
      <w:marLeft w:val="485"/>
      <w:marRight w:val="485"/>
      <w:marTop w:val="485"/>
      <w:marBottom w:val="485"/>
      <w:divBdr>
        <w:top w:val="none" w:sz="0" w:space="0" w:color="auto"/>
        <w:left w:val="none" w:sz="0" w:space="0" w:color="auto"/>
        <w:bottom w:val="none" w:sz="0" w:space="0" w:color="auto"/>
        <w:right w:val="none" w:sz="0" w:space="0" w:color="auto"/>
      </w:divBdr>
    </w:div>
    <w:div w:id="631591795">
      <w:bodyDiv w:val="1"/>
      <w:marLeft w:val="0"/>
      <w:marRight w:val="0"/>
      <w:marTop w:val="0"/>
      <w:marBottom w:val="0"/>
      <w:divBdr>
        <w:top w:val="none" w:sz="0" w:space="0" w:color="auto"/>
        <w:left w:val="none" w:sz="0" w:space="0" w:color="auto"/>
        <w:bottom w:val="none" w:sz="0" w:space="0" w:color="auto"/>
        <w:right w:val="none" w:sz="0" w:space="0" w:color="auto"/>
      </w:divBdr>
    </w:div>
    <w:div w:id="645622832">
      <w:bodyDiv w:val="1"/>
      <w:marLeft w:val="0"/>
      <w:marRight w:val="0"/>
      <w:marTop w:val="0"/>
      <w:marBottom w:val="0"/>
      <w:divBdr>
        <w:top w:val="none" w:sz="0" w:space="0" w:color="auto"/>
        <w:left w:val="none" w:sz="0" w:space="0" w:color="auto"/>
        <w:bottom w:val="none" w:sz="0" w:space="0" w:color="auto"/>
        <w:right w:val="none" w:sz="0" w:space="0" w:color="auto"/>
      </w:divBdr>
    </w:div>
    <w:div w:id="761685091">
      <w:bodyDiv w:val="1"/>
      <w:marLeft w:val="0"/>
      <w:marRight w:val="0"/>
      <w:marTop w:val="0"/>
      <w:marBottom w:val="0"/>
      <w:divBdr>
        <w:top w:val="none" w:sz="0" w:space="0" w:color="auto"/>
        <w:left w:val="none" w:sz="0" w:space="0" w:color="auto"/>
        <w:bottom w:val="none" w:sz="0" w:space="0" w:color="auto"/>
        <w:right w:val="none" w:sz="0" w:space="0" w:color="auto"/>
      </w:divBdr>
    </w:div>
    <w:div w:id="877399376">
      <w:bodyDiv w:val="1"/>
      <w:marLeft w:val="0"/>
      <w:marRight w:val="0"/>
      <w:marTop w:val="0"/>
      <w:marBottom w:val="0"/>
      <w:divBdr>
        <w:top w:val="none" w:sz="0" w:space="0" w:color="auto"/>
        <w:left w:val="none" w:sz="0" w:space="0" w:color="auto"/>
        <w:bottom w:val="none" w:sz="0" w:space="0" w:color="auto"/>
        <w:right w:val="none" w:sz="0" w:space="0" w:color="auto"/>
      </w:divBdr>
    </w:div>
    <w:div w:id="1091514533">
      <w:bodyDiv w:val="1"/>
      <w:marLeft w:val="0"/>
      <w:marRight w:val="0"/>
      <w:marTop w:val="0"/>
      <w:marBottom w:val="0"/>
      <w:divBdr>
        <w:top w:val="none" w:sz="0" w:space="0" w:color="auto"/>
        <w:left w:val="none" w:sz="0" w:space="0" w:color="auto"/>
        <w:bottom w:val="none" w:sz="0" w:space="0" w:color="auto"/>
        <w:right w:val="none" w:sz="0" w:space="0" w:color="auto"/>
      </w:divBdr>
    </w:div>
    <w:div w:id="1120609362">
      <w:bodyDiv w:val="1"/>
      <w:marLeft w:val="0"/>
      <w:marRight w:val="0"/>
      <w:marTop w:val="0"/>
      <w:marBottom w:val="0"/>
      <w:divBdr>
        <w:top w:val="none" w:sz="0" w:space="0" w:color="auto"/>
        <w:left w:val="none" w:sz="0" w:space="0" w:color="auto"/>
        <w:bottom w:val="none" w:sz="0" w:space="0" w:color="auto"/>
        <w:right w:val="none" w:sz="0" w:space="0" w:color="auto"/>
      </w:divBdr>
      <w:divsChild>
        <w:div w:id="747465590">
          <w:marLeft w:val="0"/>
          <w:marRight w:val="0"/>
          <w:marTop w:val="0"/>
          <w:marBottom w:val="0"/>
          <w:divBdr>
            <w:top w:val="none" w:sz="0" w:space="0" w:color="auto"/>
            <w:left w:val="none" w:sz="0" w:space="0" w:color="auto"/>
            <w:bottom w:val="none" w:sz="0" w:space="0" w:color="auto"/>
            <w:right w:val="none" w:sz="0" w:space="0" w:color="auto"/>
          </w:divBdr>
        </w:div>
      </w:divsChild>
    </w:div>
    <w:div w:id="1203858039">
      <w:bodyDiv w:val="1"/>
      <w:marLeft w:val="0"/>
      <w:marRight w:val="0"/>
      <w:marTop w:val="0"/>
      <w:marBottom w:val="0"/>
      <w:divBdr>
        <w:top w:val="none" w:sz="0" w:space="0" w:color="auto"/>
        <w:left w:val="none" w:sz="0" w:space="0" w:color="auto"/>
        <w:bottom w:val="none" w:sz="0" w:space="0" w:color="auto"/>
        <w:right w:val="none" w:sz="0" w:space="0" w:color="auto"/>
      </w:divBdr>
    </w:div>
    <w:div w:id="1374113207">
      <w:bodyDiv w:val="1"/>
      <w:marLeft w:val="0"/>
      <w:marRight w:val="0"/>
      <w:marTop w:val="0"/>
      <w:marBottom w:val="0"/>
      <w:divBdr>
        <w:top w:val="none" w:sz="0" w:space="0" w:color="auto"/>
        <w:left w:val="none" w:sz="0" w:space="0" w:color="auto"/>
        <w:bottom w:val="none" w:sz="0" w:space="0" w:color="auto"/>
        <w:right w:val="none" w:sz="0" w:space="0" w:color="auto"/>
      </w:divBdr>
    </w:div>
    <w:div w:id="1375882687">
      <w:bodyDiv w:val="1"/>
      <w:marLeft w:val="0"/>
      <w:marRight w:val="0"/>
      <w:marTop w:val="0"/>
      <w:marBottom w:val="0"/>
      <w:divBdr>
        <w:top w:val="none" w:sz="0" w:space="0" w:color="auto"/>
        <w:left w:val="none" w:sz="0" w:space="0" w:color="auto"/>
        <w:bottom w:val="none" w:sz="0" w:space="0" w:color="auto"/>
        <w:right w:val="none" w:sz="0" w:space="0" w:color="auto"/>
      </w:divBdr>
    </w:div>
    <w:div w:id="1397315117">
      <w:bodyDiv w:val="1"/>
      <w:marLeft w:val="0"/>
      <w:marRight w:val="0"/>
      <w:marTop w:val="0"/>
      <w:marBottom w:val="0"/>
      <w:divBdr>
        <w:top w:val="none" w:sz="0" w:space="0" w:color="auto"/>
        <w:left w:val="none" w:sz="0" w:space="0" w:color="auto"/>
        <w:bottom w:val="none" w:sz="0" w:space="0" w:color="auto"/>
        <w:right w:val="none" w:sz="0" w:space="0" w:color="auto"/>
      </w:divBdr>
    </w:div>
    <w:div w:id="1500191624">
      <w:bodyDiv w:val="1"/>
      <w:marLeft w:val="0"/>
      <w:marRight w:val="0"/>
      <w:marTop w:val="0"/>
      <w:marBottom w:val="0"/>
      <w:divBdr>
        <w:top w:val="none" w:sz="0" w:space="0" w:color="auto"/>
        <w:left w:val="none" w:sz="0" w:space="0" w:color="auto"/>
        <w:bottom w:val="none" w:sz="0" w:space="0" w:color="auto"/>
        <w:right w:val="none" w:sz="0" w:space="0" w:color="auto"/>
      </w:divBdr>
    </w:div>
    <w:div w:id="1622178802">
      <w:bodyDiv w:val="1"/>
      <w:marLeft w:val="0"/>
      <w:marRight w:val="0"/>
      <w:marTop w:val="0"/>
      <w:marBottom w:val="0"/>
      <w:divBdr>
        <w:top w:val="none" w:sz="0" w:space="0" w:color="auto"/>
        <w:left w:val="none" w:sz="0" w:space="0" w:color="auto"/>
        <w:bottom w:val="none" w:sz="0" w:space="0" w:color="auto"/>
        <w:right w:val="none" w:sz="0" w:space="0" w:color="auto"/>
      </w:divBdr>
    </w:div>
    <w:div w:id="1683974784">
      <w:bodyDiv w:val="1"/>
      <w:marLeft w:val="0"/>
      <w:marRight w:val="0"/>
      <w:marTop w:val="0"/>
      <w:marBottom w:val="0"/>
      <w:divBdr>
        <w:top w:val="none" w:sz="0" w:space="0" w:color="auto"/>
        <w:left w:val="none" w:sz="0" w:space="0" w:color="auto"/>
        <w:bottom w:val="none" w:sz="0" w:space="0" w:color="auto"/>
        <w:right w:val="none" w:sz="0" w:space="0" w:color="auto"/>
      </w:divBdr>
    </w:div>
    <w:div w:id="1717319407">
      <w:bodyDiv w:val="1"/>
      <w:marLeft w:val="0"/>
      <w:marRight w:val="0"/>
      <w:marTop w:val="0"/>
      <w:marBottom w:val="0"/>
      <w:divBdr>
        <w:top w:val="none" w:sz="0" w:space="0" w:color="auto"/>
        <w:left w:val="none" w:sz="0" w:space="0" w:color="auto"/>
        <w:bottom w:val="none" w:sz="0" w:space="0" w:color="auto"/>
        <w:right w:val="none" w:sz="0" w:space="0" w:color="auto"/>
      </w:divBdr>
    </w:div>
    <w:div w:id="1739471428">
      <w:bodyDiv w:val="1"/>
      <w:marLeft w:val="0"/>
      <w:marRight w:val="0"/>
      <w:marTop w:val="0"/>
      <w:marBottom w:val="0"/>
      <w:divBdr>
        <w:top w:val="none" w:sz="0" w:space="0" w:color="auto"/>
        <w:left w:val="none" w:sz="0" w:space="0" w:color="auto"/>
        <w:bottom w:val="none" w:sz="0" w:space="0" w:color="auto"/>
        <w:right w:val="none" w:sz="0" w:space="0" w:color="auto"/>
      </w:divBdr>
    </w:div>
    <w:div w:id="1752462479">
      <w:bodyDiv w:val="1"/>
      <w:marLeft w:val="0"/>
      <w:marRight w:val="0"/>
      <w:marTop w:val="0"/>
      <w:marBottom w:val="0"/>
      <w:divBdr>
        <w:top w:val="none" w:sz="0" w:space="0" w:color="auto"/>
        <w:left w:val="none" w:sz="0" w:space="0" w:color="auto"/>
        <w:bottom w:val="none" w:sz="0" w:space="0" w:color="auto"/>
        <w:right w:val="none" w:sz="0" w:space="0" w:color="auto"/>
      </w:divBdr>
    </w:div>
    <w:div w:id="1781609529">
      <w:bodyDiv w:val="1"/>
      <w:marLeft w:val="0"/>
      <w:marRight w:val="0"/>
      <w:marTop w:val="0"/>
      <w:marBottom w:val="0"/>
      <w:divBdr>
        <w:top w:val="none" w:sz="0" w:space="0" w:color="auto"/>
        <w:left w:val="none" w:sz="0" w:space="0" w:color="auto"/>
        <w:bottom w:val="none" w:sz="0" w:space="0" w:color="auto"/>
        <w:right w:val="none" w:sz="0" w:space="0" w:color="auto"/>
      </w:divBdr>
    </w:div>
    <w:div w:id="1942372777">
      <w:bodyDiv w:val="1"/>
      <w:marLeft w:val="0"/>
      <w:marRight w:val="0"/>
      <w:marTop w:val="0"/>
      <w:marBottom w:val="0"/>
      <w:divBdr>
        <w:top w:val="none" w:sz="0" w:space="0" w:color="auto"/>
        <w:left w:val="none" w:sz="0" w:space="0" w:color="auto"/>
        <w:bottom w:val="none" w:sz="0" w:space="0" w:color="auto"/>
        <w:right w:val="none" w:sz="0" w:space="0" w:color="auto"/>
      </w:divBdr>
      <w:divsChild>
        <w:div w:id="1225917914">
          <w:marLeft w:val="0"/>
          <w:marRight w:val="0"/>
          <w:marTop w:val="0"/>
          <w:marBottom w:val="0"/>
          <w:divBdr>
            <w:top w:val="none" w:sz="0" w:space="0" w:color="auto"/>
            <w:left w:val="none" w:sz="0" w:space="0" w:color="auto"/>
            <w:bottom w:val="none" w:sz="0" w:space="0" w:color="auto"/>
            <w:right w:val="none" w:sz="0" w:space="0" w:color="auto"/>
          </w:divBdr>
          <w:divsChild>
            <w:div w:id="144976165">
              <w:marLeft w:val="0"/>
              <w:marRight w:val="0"/>
              <w:marTop w:val="0"/>
              <w:marBottom w:val="0"/>
              <w:divBdr>
                <w:top w:val="none" w:sz="0" w:space="0" w:color="auto"/>
                <w:left w:val="none" w:sz="0" w:space="0" w:color="auto"/>
                <w:bottom w:val="none" w:sz="0" w:space="0" w:color="auto"/>
                <w:right w:val="none" w:sz="0" w:space="0" w:color="auto"/>
              </w:divBdr>
            </w:div>
            <w:div w:id="248928911">
              <w:marLeft w:val="0"/>
              <w:marRight w:val="0"/>
              <w:marTop w:val="0"/>
              <w:marBottom w:val="0"/>
              <w:divBdr>
                <w:top w:val="none" w:sz="0" w:space="0" w:color="auto"/>
                <w:left w:val="none" w:sz="0" w:space="0" w:color="auto"/>
                <w:bottom w:val="none" w:sz="0" w:space="0" w:color="auto"/>
                <w:right w:val="none" w:sz="0" w:space="0" w:color="auto"/>
              </w:divBdr>
            </w:div>
            <w:div w:id="273683239">
              <w:marLeft w:val="0"/>
              <w:marRight w:val="0"/>
              <w:marTop w:val="0"/>
              <w:marBottom w:val="0"/>
              <w:divBdr>
                <w:top w:val="none" w:sz="0" w:space="0" w:color="auto"/>
                <w:left w:val="none" w:sz="0" w:space="0" w:color="auto"/>
                <w:bottom w:val="none" w:sz="0" w:space="0" w:color="auto"/>
                <w:right w:val="none" w:sz="0" w:space="0" w:color="auto"/>
              </w:divBdr>
            </w:div>
            <w:div w:id="762994156">
              <w:marLeft w:val="0"/>
              <w:marRight w:val="0"/>
              <w:marTop w:val="0"/>
              <w:marBottom w:val="0"/>
              <w:divBdr>
                <w:top w:val="none" w:sz="0" w:space="0" w:color="auto"/>
                <w:left w:val="none" w:sz="0" w:space="0" w:color="auto"/>
                <w:bottom w:val="none" w:sz="0" w:space="0" w:color="auto"/>
                <w:right w:val="none" w:sz="0" w:space="0" w:color="auto"/>
              </w:divBdr>
            </w:div>
            <w:div w:id="764035691">
              <w:marLeft w:val="0"/>
              <w:marRight w:val="0"/>
              <w:marTop w:val="0"/>
              <w:marBottom w:val="0"/>
              <w:divBdr>
                <w:top w:val="none" w:sz="0" w:space="0" w:color="auto"/>
                <w:left w:val="none" w:sz="0" w:space="0" w:color="auto"/>
                <w:bottom w:val="none" w:sz="0" w:space="0" w:color="auto"/>
                <w:right w:val="none" w:sz="0" w:space="0" w:color="auto"/>
              </w:divBdr>
            </w:div>
            <w:div w:id="826822917">
              <w:marLeft w:val="0"/>
              <w:marRight w:val="0"/>
              <w:marTop w:val="0"/>
              <w:marBottom w:val="0"/>
              <w:divBdr>
                <w:top w:val="none" w:sz="0" w:space="0" w:color="auto"/>
                <w:left w:val="none" w:sz="0" w:space="0" w:color="auto"/>
                <w:bottom w:val="none" w:sz="0" w:space="0" w:color="auto"/>
                <w:right w:val="none" w:sz="0" w:space="0" w:color="auto"/>
              </w:divBdr>
            </w:div>
            <w:div w:id="1370565519">
              <w:marLeft w:val="0"/>
              <w:marRight w:val="0"/>
              <w:marTop w:val="0"/>
              <w:marBottom w:val="0"/>
              <w:divBdr>
                <w:top w:val="none" w:sz="0" w:space="0" w:color="auto"/>
                <w:left w:val="none" w:sz="0" w:space="0" w:color="auto"/>
                <w:bottom w:val="none" w:sz="0" w:space="0" w:color="auto"/>
                <w:right w:val="none" w:sz="0" w:space="0" w:color="auto"/>
              </w:divBdr>
            </w:div>
            <w:div w:id="1374114180">
              <w:marLeft w:val="0"/>
              <w:marRight w:val="0"/>
              <w:marTop w:val="0"/>
              <w:marBottom w:val="0"/>
              <w:divBdr>
                <w:top w:val="none" w:sz="0" w:space="0" w:color="auto"/>
                <w:left w:val="none" w:sz="0" w:space="0" w:color="auto"/>
                <w:bottom w:val="none" w:sz="0" w:space="0" w:color="auto"/>
                <w:right w:val="none" w:sz="0" w:space="0" w:color="auto"/>
              </w:divBdr>
            </w:div>
            <w:div w:id="1528062022">
              <w:marLeft w:val="0"/>
              <w:marRight w:val="0"/>
              <w:marTop w:val="0"/>
              <w:marBottom w:val="0"/>
              <w:divBdr>
                <w:top w:val="none" w:sz="0" w:space="0" w:color="auto"/>
                <w:left w:val="none" w:sz="0" w:space="0" w:color="auto"/>
                <w:bottom w:val="none" w:sz="0" w:space="0" w:color="auto"/>
                <w:right w:val="none" w:sz="0" w:space="0" w:color="auto"/>
              </w:divBdr>
            </w:div>
            <w:div w:id="1549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088">
      <w:bodyDiv w:val="1"/>
      <w:marLeft w:val="0"/>
      <w:marRight w:val="0"/>
      <w:marTop w:val="0"/>
      <w:marBottom w:val="0"/>
      <w:divBdr>
        <w:top w:val="none" w:sz="0" w:space="0" w:color="auto"/>
        <w:left w:val="none" w:sz="0" w:space="0" w:color="auto"/>
        <w:bottom w:val="none" w:sz="0" w:space="0" w:color="auto"/>
        <w:right w:val="none" w:sz="0" w:space="0" w:color="auto"/>
      </w:divBdr>
    </w:div>
    <w:div w:id="2029523529">
      <w:bodyDiv w:val="1"/>
      <w:marLeft w:val="0"/>
      <w:marRight w:val="0"/>
      <w:marTop w:val="0"/>
      <w:marBottom w:val="0"/>
      <w:divBdr>
        <w:top w:val="none" w:sz="0" w:space="0" w:color="auto"/>
        <w:left w:val="none" w:sz="0" w:space="0" w:color="auto"/>
        <w:bottom w:val="none" w:sz="0" w:space="0" w:color="auto"/>
        <w:right w:val="none" w:sz="0" w:space="0" w:color="auto"/>
      </w:divBdr>
    </w:div>
    <w:div w:id="205897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8" Type="http://schemas.openxmlformats.org/officeDocument/2006/relationships/hyperlink" Target="https://us-cert.cisa.gov/ncas/alerts/aa19-339a" TargetMode="External"/><Relationship Id="rId13" Type="http://schemas.openxmlformats.org/officeDocument/2006/relationships/hyperlink" Target="https://www.sec.gov/sec-coronavirus-covid-19-response" TargetMode="External"/><Relationship Id="rId18" Type="http://schemas.openxmlformats.org/officeDocument/2006/relationships/hyperlink" Target="https://www.sec.gov/files/OCIE%20Risk%20Alert%20-%20Supervision%20Initiative.pdf" TargetMode="External"/><Relationship Id="rId3" Type="http://schemas.openxmlformats.org/officeDocument/2006/relationships/hyperlink" Target="https://www.sec.gov/files/Risk%20Alert%20IA%20Compliance%20Programs_0.pdf" TargetMode="External"/><Relationship Id="rId7" Type="http://schemas.openxmlformats.org/officeDocument/2006/relationships/hyperlink" Target="https://www.sec.gov/files/Risk%20Alert%20-%20Ransomware.pdf" TargetMode="External"/><Relationship Id="rId12" Type="http://schemas.openxmlformats.org/officeDocument/2006/relationships/hyperlink" Target="https://www.sec.gov/files/Risk%20Alert%20-%20OCIE%20LIBOR%20Initiative.pdf" TargetMode="External"/><Relationship Id="rId17" Type="http://schemas.openxmlformats.org/officeDocument/2006/relationships/hyperlink" Target="https://www.sec.gov/rules/interp/2019/ia-5325.pdf" TargetMode="External"/><Relationship Id="rId2" Type="http://schemas.openxmlformats.org/officeDocument/2006/relationships/hyperlink" Target="https://www.sec.gov/files/Risk%20Alert%20-%20Large%20Trader%2013h.pdf" TargetMode="External"/><Relationship Id="rId16" Type="http://schemas.openxmlformats.org/officeDocument/2006/relationships/hyperlink" Target="https://www.sec.gov/files/OCIE%20Risk%20Alert%20-%20Principal%20and%20Agency%20Cross%20Trading.pdf" TargetMode="External"/><Relationship Id="rId1" Type="http://schemas.openxmlformats.org/officeDocument/2006/relationships/hyperlink" Target="https://www.sec.gov/about/offices/ocie/national-examination-program-priorities-2020.pdf" TargetMode="External"/><Relationship Id="rId6" Type="http://schemas.openxmlformats.org/officeDocument/2006/relationships/hyperlink" Target="https://www.sec.gov/rules/policy/2020/ia-5547.pdf" TargetMode="External"/><Relationship Id="rId11" Type="http://schemas.openxmlformats.org/officeDocument/2006/relationships/hyperlink" Target="https://www.sec.gov/files/Private%20Fund%20Risk%20Alert_0.pdf" TargetMode="External"/><Relationship Id="rId5" Type="http://schemas.openxmlformats.org/officeDocument/2006/relationships/hyperlink" Target="https://www.sec.gov/files/Risk%20Alert%20-%20Credential%20Compromise.pdf" TargetMode="External"/><Relationship Id="rId15" Type="http://schemas.openxmlformats.org/officeDocument/2006/relationships/hyperlink" Target="https://www.sec.gov/files/OCIE%20Cybersecurity%20and%20Resiliency%20Observations.pdf" TargetMode="External"/><Relationship Id="rId10" Type="http://schemas.openxmlformats.org/officeDocument/2006/relationships/hyperlink" Target="https://www.sec.gov/files/Risk%20Alert%20-%20Form%20CRS%20Exams.pdf" TargetMode="External"/><Relationship Id="rId4" Type="http://schemas.openxmlformats.org/officeDocument/2006/relationships/hyperlink" Target="https://www.sec.gov/files/Risk%20Alert%20-%20Multi-Branch%20Risk%20Alert.pdf" TargetMode="External"/><Relationship Id="rId9" Type="http://schemas.openxmlformats.org/officeDocument/2006/relationships/hyperlink" Target="https://www.sec.gov/rules/final/2019/34-86032.pdf" TargetMode="External"/><Relationship Id="rId14" Type="http://schemas.openxmlformats.org/officeDocument/2006/relationships/hyperlink" Target="https://www.sec.gov/files/Risk%20Alert%20-%20COVID-19%20Complianc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35EF8E7CC447889839D4D03776C03A"/>
        <w:category>
          <w:name w:val="General"/>
          <w:gallery w:val="placeholder"/>
        </w:category>
        <w:types>
          <w:type w:val="bbPlcHdr"/>
        </w:types>
        <w:behaviors>
          <w:behavior w:val="content"/>
        </w:behaviors>
        <w:guid w:val="{C8886410-A6C9-4D1E-8E00-3F6DDC60428C}"/>
      </w:docPartPr>
      <w:docPartBody>
        <w:p w:rsidR="00861A3E" w:rsidRDefault="00A7303B" w:rsidP="00A7303B">
          <w:pPr>
            <w:pStyle w:val="2435EF8E7CC447889839D4D03776C03A"/>
          </w:pPr>
          <w:r w:rsidRPr="00B04475">
            <w:rPr>
              <w:rStyle w:val="PlaceholderText"/>
            </w:rPr>
            <w:t>Click or tap here to enter text.</w:t>
          </w:r>
        </w:p>
      </w:docPartBody>
    </w:docPart>
    <w:docPart>
      <w:docPartPr>
        <w:name w:val="40D8C8283FBD450B9D185EC8250BC911"/>
        <w:category>
          <w:name w:val="General"/>
          <w:gallery w:val="placeholder"/>
        </w:category>
        <w:types>
          <w:type w:val="bbPlcHdr"/>
        </w:types>
        <w:behaviors>
          <w:behavior w:val="content"/>
        </w:behaviors>
        <w:guid w:val="{70F68DA2-9A18-40FE-8143-C4AC2F1355A0}"/>
      </w:docPartPr>
      <w:docPartBody>
        <w:p w:rsidR="00861A3E" w:rsidRDefault="00A7303B" w:rsidP="00A7303B">
          <w:pPr>
            <w:pStyle w:val="40D8C8283FBD450B9D185EC8250BC911"/>
          </w:pPr>
          <w:r w:rsidRPr="00B04475">
            <w:rPr>
              <w:rStyle w:val="PlaceholderText"/>
            </w:rPr>
            <w:t>Click or tap here to enter text.</w:t>
          </w:r>
        </w:p>
      </w:docPartBody>
    </w:docPart>
    <w:docPart>
      <w:docPartPr>
        <w:name w:val="4CEC7ED18BF247929BD4F553C506A5C6"/>
        <w:category>
          <w:name w:val="General"/>
          <w:gallery w:val="placeholder"/>
        </w:category>
        <w:types>
          <w:type w:val="bbPlcHdr"/>
        </w:types>
        <w:behaviors>
          <w:behavior w:val="content"/>
        </w:behaviors>
        <w:guid w:val="{1D2641D9-D085-4441-BF6F-D4F0BD1BF594}"/>
      </w:docPartPr>
      <w:docPartBody>
        <w:p w:rsidR="00861A3E" w:rsidRDefault="00A7303B" w:rsidP="00A7303B">
          <w:pPr>
            <w:pStyle w:val="4CEC7ED18BF247929BD4F553C506A5C6"/>
          </w:pPr>
          <w:r w:rsidRPr="00B04475">
            <w:rPr>
              <w:rStyle w:val="PlaceholderText"/>
            </w:rPr>
            <w:t>Click or tap here to enter text.</w:t>
          </w:r>
        </w:p>
      </w:docPartBody>
    </w:docPart>
    <w:docPart>
      <w:docPartPr>
        <w:name w:val="6C4745EB282B46119F8816958148C8DB"/>
        <w:category>
          <w:name w:val="General"/>
          <w:gallery w:val="placeholder"/>
        </w:category>
        <w:types>
          <w:type w:val="bbPlcHdr"/>
        </w:types>
        <w:behaviors>
          <w:behavior w:val="content"/>
        </w:behaviors>
        <w:guid w:val="{E34C07CB-7E0A-441D-9985-9F452794BA04}"/>
      </w:docPartPr>
      <w:docPartBody>
        <w:p w:rsidR="00861A3E" w:rsidRDefault="00A7303B" w:rsidP="00A7303B">
          <w:pPr>
            <w:pStyle w:val="6C4745EB282B46119F8816958148C8DB"/>
          </w:pPr>
          <w:r w:rsidRPr="00B04475">
            <w:rPr>
              <w:rStyle w:val="PlaceholderText"/>
            </w:rPr>
            <w:t>Click or tap here to enter text.</w:t>
          </w:r>
        </w:p>
      </w:docPartBody>
    </w:docPart>
    <w:docPart>
      <w:docPartPr>
        <w:name w:val="650DB36598234D02943F2D7A1D8C8606"/>
        <w:category>
          <w:name w:val="General"/>
          <w:gallery w:val="placeholder"/>
        </w:category>
        <w:types>
          <w:type w:val="bbPlcHdr"/>
        </w:types>
        <w:behaviors>
          <w:behavior w:val="content"/>
        </w:behaviors>
        <w:guid w:val="{9E1A6C32-17AC-4A18-929B-44173EEB1F28}"/>
      </w:docPartPr>
      <w:docPartBody>
        <w:p w:rsidR="00861A3E" w:rsidRDefault="00A7303B" w:rsidP="00A7303B">
          <w:pPr>
            <w:pStyle w:val="650DB36598234D02943F2D7A1D8C8606"/>
          </w:pPr>
          <w:r w:rsidRPr="00B04475">
            <w:rPr>
              <w:rStyle w:val="PlaceholderText"/>
            </w:rPr>
            <w:t>Click or tap here to enter text.</w:t>
          </w:r>
        </w:p>
      </w:docPartBody>
    </w:docPart>
    <w:docPart>
      <w:docPartPr>
        <w:name w:val="1D5EBADEB2FF41968E8D8383A889A318"/>
        <w:category>
          <w:name w:val="General"/>
          <w:gallery w:val="placeholder"/>
        </w:category>
        <w:types>
          <w:type w:val="bbPlcHdr"/>
        </w:types>
        <w:behaviors>
          <w:behavior w:val="content"/>
        </w:behaviors>
        <w:guid w:val="{AB347E02-619B-4699-AEE5-23AD90A01EC9}"/>
      </w:docPartPr>
      <w:docPartBody>
        <w:p w:rsidR="00861A3E" w:rsidRDefault="00A7303B" w:rsidP="00A7303B">
          <w:pPr>
            <w:pStyle w:val="1D5EBADEB2FF41968E8D8383A889A318"/>
          </w:pPr>
          <w:r w:rsidRPr="00B04475">
            <w:rPr>
              <w:rStyle w:val="PlaceholderText"/>
            </w:rPr>
            <w:t>Click or tap here to enter text.</w:t>
          </w:r>
        </w:p>
      </w:docPartBody>
    </w:docPart>
    <w:docPart>
      <w:docPartPr>
        <w:name w:val="6B382C8559E04E7B9413CD7C47C9905B"/>
        <w:category>
          <w:name w:val="General"/>
          <w:gallery w:val="placeholder"/>
        </w:category>
        <w:types>
          <w:type w:val="bbPlcHdr"/>
        </w:types>
        <w:behaviors>
          <w:behavior w:val="content"/>
        </w:behaviors>
        <w:guid w:val="{44A3AE07-24D2-4FFF-BC7F-E8A947DD29AB}"/>
      </w:docPartPr>
      <w:docPartBody>
        <w:p w:rsidR="00861A3E" w:rsidRDefault="00A7303B" w:rsidP="00A7303B">
          <w:pPr>
            <w:pStyle w:val="6B382C8559E04E7B9413CD7C47C9905B"/>
          </w:pPr>
          <w:r w:rsidRPr="00B0447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BC235EB-605F-4391-8509-3ED80A5CC528}"/>
      </w:docPartPr>
      <w:docPartBody>
        <w:p w:rsidR="00861A3E" w:rsidRDefault="00A7303B">
          <w:r w:rsidRPr="00A158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ZapfHumnst BT">
    <w:altName w:val="Lucida Sans Unicode"/>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3B"/>
    <w:rsid w:val="00746487"/>
    <w:rsid w:val="00861A3E"/>
    <w:rsid w:val="00964ECB"/>
    <w:rsid w:val="00972BAA"/>
    <w:rsid w:val="00A73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03B"/>
    <w:rPr>
      <w:color w:val="808080"/>
    </w:rPr>
  </w:style>
  <w:style w:type="paragraph" w:customStyle="1" w:styleId="2435EF8E7CC447889839D4D03776C03A">
    <w:name w:val="2435EF8E7CC447889839D4D03776C03A"/>
    <w:rsid w:val="00A7303B"/>
  </w:style>
  <w:style w:type="paragraph" w:customStyle="1" w:styleId="40D8C8283FBD450B9D185EC8250BC911">
    <w:name w:val="40D8C8283FBD450B9D185EC8250BC911"/>
    <w:rsid w:val="00A7303B"/>
  </w:style>
  <w:style w:type="paragraph" w:customStyle="1" w:styleId="4CEC7ED18BF247929BD4F553C506A5C6">
    <w:name w:val="4CEC7ED18BF247929BD4F553C506A5C6"/>
    <w:rsid w:val="00A7303B"/>
  </w:style>
  <w:style w:type="paragraph" w:customStyle="1" w:styleId="6C4745EB282B46119F8816958148C8DB">
    <w:name w:val="6C4745EB282B46119F8816958148C8DB"/>
    <w:rsid w:val="00A7303B"/>
  </w:style>
  <w:style w:type="paragraph" w:customStyle="1" w:styleId="650DB36598234D02943F2D7A1D8C8606">
    <w:name w:val="650DB36598234D02943F2D7A1D8C8606"/>
    <w:rsid w:val="00A7303B"/>
  </w:style>
  <w:style w:type="paragraph" w:customStyle="1" w:styleId="1D5EBADEB2FF41968E8D8383A889A318">
    <w:name w:val="1D5EBADEB2FF41968E8D8383A889A318"/>
    <w:rsid w:val="00A7303B"/>
  </w:style>
  <w:style w:type="paragraph" w:customStyle="1" w:styleId="6B382C8559E04E7B9413CD7C47C9905B">
    <w:name w:val="6B382C8559E04E7B9413CD7C47C9905B"/>
    <w:rsid w:val="00A73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CA Group">
      <a:dk1>
        <a:sysClr val="windowText" lastClr="000000"/>
      </a:dk1>
      <a:lt1>
        <a:sysClr val="window" lastClr="FFFFFF"/>
      </a:lt1>
      <a:dk2>
        <a:srgbClr val="00325D"/>
      </a:dk2>
      <a:lt2>
        <a:srgbClr val="E7E6E6"/>
      </a:lt2>
      <a:accent1>
        <a:srgbClr val="006CA9"/>
      </a:accent1>
      <a:accent2>
        <a:srgbClr val="78BF26"/>
      </a:accent2>
      <a:accent3>
        <a:srgbClr val="545860"/>
      </a:accent3>
      <a:accent4>
        <a:srgbClr val="F0B52B"/>
      </a:accent4>
      <a:accent5>
        <a:srgbClr val="00A9EB"/>
      </a:accent5>
      <a:accent6>
        <a:srgbClr val="CE491C"/>
      </a:accent6>
      <a:hlink>
        <a:srgbClr val="00325D"/>
      </a:hlink>
      <a:folHlink>
        <a:srgbClr val="712F1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Id2" /></Relationships>
</file>

<file path=word/webextensions/taskpanes.xml><?xml version="1.0" encoding="utf-8"?>
<wetp:taskpanes xmlns:r="http://schemas.openxmlformats.org/officeDocument/2006/relationships" xmlns:wetp="http://schemas.microsoft.com/office/webextensions/taskpanes/2010/11">
  <wetp:taskpane dockstate="right" visibility="1" width="450" row="4">
    <wetp:webextensionref xmlns:r="http://schemas.openxmlformats.org/officeDocument/2006/relationships" r:id="rId2"/>
  </wetp:taskpane>
</wetp:taskpanes>
</file>

<file path=word/webextensions/webextension.xml><?xml version="1.0" encoding="utf-8"?>
<we:webextension xmlns:r="http://schemas.openxmlformats.org/officeDocument/2006/relationships" xmlns:we="http://schemas.microsoft.com/office/webextensions/webextension/2010/11" id="{635BF0CD-42CC-4174-B8D2-6D375C9A759E}">
  <we:reference id="e48a3d94-bb23-4ee6-8549-5f2d5090f935" version="1.1.0.0" store="EXCatalog" storeType="EXCatalog"/>
  <we:alternateReferences/>
  <we:properties>
    <we:property name="Office.AutoShowTaskpaneWithDocument" value="false"/>
    <we:property name="ClientId" value="5439"/>
    <we:property name="TemplateId" value="1"/>
    <we:property name="ReportIdentifier" value="{&quot;type&quot;:&quot;gist&quot;,&quot;id&quot;:&quot;10dfec8b-19ec-49e0-8577-a5b6a933d278&quot;}"/>
    <we:property name="EngagementId" value="3886"/>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D6B40783A314549967D87E0860CD77A" ma:contentTypeVersion="6" ma:contentTypeDescription="Create a new document." ma:contentTypeScope="" ma:versionID="22f6e1e93a991747614ccfabe23fc219">
  <xsd:schema xmlns:xsd="http://www.w3.org/2001/XMLSchema" xmlns:xs="http://www.w3.org/2001/XMLSchema" xmlns:p="http://schemas.microsoft.com/office/2006/metadata/properties" xmlns:ns2="a4286945-ec46-4f31-859a-5030397bfcd8" xmlns:ns3="c4663ff4-e45a-4a91-9fca-5d36aa30681f" targetNamespace="http://schemas.microsoft.com/office/2006/metadata/properties" ma:root="true" ma:fieldsID="0d4f380729b61a67429dfbfa61ad6b15" ns2:_="" ns3:_="">
    <xsd:import namespace="a4286945-ec46-4f31-859a-5030397bfcd8"/>
    <xsd:import namespace="c4663ff4-e45a-4a91-9fca-5d36aa3068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86945-ec46-4f31-859a-5030397bfc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63ff4-e45a-4a91-9fca-5d36aa3068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39FAB-FE4D-4CCC-8127-EAEB281C6A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EDCFE4-411D-49A6-9A46-A61394613746}">
  <ds:schemaRefs>
    <ds:schemaRef ds:uri="http://schemas.openxmlformats.org/officeDocument/2006/bibliography"/>
  </ds:schemaRefs>
</ds:datastoreItem>
</file>

<file path=customXml/itemProps3.xml><?xml version="1.0" encoding="utf-8"?>
<ds:datastoreItem xmlns:ds="http://schemas.openxmlformats.org/officeDocument/2006/customXml" ds:itemID="{37CD8A49-CF27-41FF-98C2-3CE1E8F8023B}"/>
</file>

<file path=customXml/itemProps4.xml><?xml version="1.0" encoding="utf-8"?>
<ds:datastoreItem xmlns:ds="http://schemas.openxmlformats.org/officeDocument/2006/customXml" ds:itemID="{2CA8AB51-505E-4385-BD2A-89EC696C0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12730</Words>
  <Characters>72561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85121</CharactersWithSpaces>
  <SharedDoc>false</SharedDoc>
  <HLinks>
    <vt:vector size="186" baseType="variant">
      <vt:variant>
        <vt:i4>1703996</vt:i4>
      </vt:variant>
      <vt:variant>
        <vt:i4>74</vt:i4>
      </vt:variant>
      <vt:variant>
        <vt:i4>0</vt:i4>
      </vt:variant>
      <vt:variant>
        <vt:i4>5</vt:i4>
      </vt:variant>
      <vt:variant>
        <vt:lpwstr/>
      </vt:variant>
      <vt:variant>
        <vt:lpwstr>_Toc32384681</vt:lpwstr>
      </vt:variant>
      <vt:variant>
        <vt:i4>1769532</vt:i4>
      </vt:variant>
      <vt:variant>
        <vt:i4>68</vt:i4>
      </vt:variant>
      <vt:variant>
        <vt:i4>0</vt:i4>
      </vt:variant>
      <vt:variant>
        <vt:i4>5</vt:i4>
      </vt:variant>
      <vt:variant>
        <vt:lpwstr/>
      </vt:variant>
      <vt:variant>
        <vt:lpwstr>_Toc32384680</vt:lpwstr>
      </vt:variant>
      <vt:variant>
        <vt:i4>1179699</vt:i4>
      </vt:variant>
      <vt:variant>
        <vt:i4>62</vt:i4>
      </vt:variant>
      <vt:variant>
        <vt:i4>0</vt:i4>
      </vt:variant>
      <vt:variant>
        <vt:i4>5</vt:i4>
      </vt:variant>
      <vt:variant>
        <vt:lpwstr/>
      </vt:variant>
      <vt:variant>
        <vt:lpwstr>_Toc32384679</vt:lpwstr>
      </vt:variant>
      <vt:variant>
        <vt:i4>1245235</vt:i4>
      </vt:variant>
      <vt:variant>
        <vt:i4>56</vt:i4>
      </vt:variant>
      <vt:variant>
        <vt:i4>0</vt:i4>
      </vt:variant>
      <vt:variant>
        <vt:i4>5</vt:i4>
      </vt:variant>
      <vt:variant>
        <vt:lpwstr/>
      </vt:variant>
      <vt:variant>
        <vt:lpwstr>_Toc32384678</vt:lpwstr>
      </vt:variant>
      <vt:variant>
        <vt:i4>1835059</vt:i4>
      </vt:variant>
      <vt:variant>
        <vt:i4>50</vt:i4>
      </vt:variant>
      <vt:variant>
        <vt:i4>0</vt:i4>
      </vt:variant>
      <vt:variant>
        <vt:i4>5</vt:i4>
      </vt:variant>
      <vt:variant>
        <vt:lpwstr/>
      </vt:variant>
      <vt:variant>
        <vt:lpwstr>_Toc32384677</vt:lpwstr>
      </vt:variant>
      <vt:variant>
        <vt:i4>1900595</vt:i4>
      </vt:variant>
      <vt:variant>
        <vt:i4>44</vt:i4>
      </vt:variant>
      <vt:variant>
        <vt:i4>0</vt:i4>
      </vt:variant>
      <vt:variant>
        <vt:i4>5</vt:i4>
      </vt:variant>
      <vt:variant>
        <vt:lpwstr/>
      </vt:variant>
      <vt:variant>
        <vt:lpwstr>_Toc32384676</vt:lpwstr>
      </vt:variant>
      <vt:variant>
        <vt:i4>1966131</vt:i4>
      </vt:variant>
      <vt:variant>
        <vt:i4>38</vt:i4>
      </vt:variant>
      <vt:variant>
        <vt:i4>0</vt:i4>
      </vt:variant>
      <vt:variant>
        <vt:i4>5</vt:i4>
      </vt:variant>
      <vt:variant>
        <vt:lpwstr/>
      </vt:variant>
      <vt:variant>
        <vt:lpwstr>_Toc32384675</vt:lpwstr>
      </vt:variant>
      <vt:variant>
        <vt:i4>2031667</vt:i4>
      </vt:variant>
      <vt:variant>
        <vt:i4>32</vt:i4>
      </vt:variant>
      <vt:variant>
        <vt:i4>0</vt:i4>
      </vt:variant>
      <vt:variant>
        <vt:i4>5</vt:i4>
      </vt:variant>
      <vt:variant>
        <vt:lpwstr/>
      </vt:variant>
      <vt:variant>
        <vt:lpwstr>_Toc32384674</vt:lpwstr>
      </vt:variant>
      <vt:variant>
        <vt:i4>1572915</vt:i4>
      </vt:variant>
      <vt:variant>
        <vt:i4>26</vt:i4>
      </vt:variant>
      <vt:variant>
        <vt:i4>0</vt:i4>
      </vt:variant>
      <vt:variant>
        <vt:i4>5</vt:i4>
      </vt:variant>
      <vt:variant>
        <vt:lpwstr/>
      </vt:variant>
      <vt:variant>
        <vt:lpwstr>_Toc32384673</vt:lpwstr>
      </vt:variant>
      <vt:variant>
        <vt:i4>1638451</vt:i4>
      </vt:variant>
      <vt:variant>
        <vt:i4>20</vt:i4>
      </vt:variant>
      <vt:variant>
        <vt:i4>0</vt:i4>
      </vt:variant>
      <vt:variant>
        <vt:i4>5</vt:i4>
      </vt:variant>
      <vt:variant>
        <vt:lpwstr/>
      </vt:variant>
      <vt:variant>
        <vt:lpwstr>_Toc32384672</vt:lpwstr>
      </vt:variant>
      <vt:variant>
        <vt:i4>1703987</vt:i4>
      </vt:variant>
      <vt:variant>
        <vt:i4>14</vt:i4>
      </vt:variant>
      <vt:variant>
        <vt:i4>0</vt:i4>
      </vt:variant>
      <vt:variant>
        <vt:i4>5</vt:i4>
      </vt:variant>
      <vt:variant>
        <vt:lpwstr/>
      </vt:variant>
      <vt:variant>
        <vt:lpwstr>_Toc32384671</vt:lpwstr>
      </vt:variant>
      <vt:variant>
        <vt:i4>1769523</vt:i4>
      </vt:variant>
      <vt:variant>
        <vt:i4>8</vt:i4>
      </vt:variant>
      <vt:variant>
        <vt:i4>0</vt:i4>
      </vt:variant>
      <vt:variant>
        <vt:i4>5</vt:i4>
      </vt:variant>
      <vt:variant>
        <vt:lpwstr/>
      </vt:variant>
      <vt:variant>
        <vt:lpwstr>_Toc32384670</vt:lpwstr>
      </vt:variant>
      <vt:variant>
        <vt:i4>1179698</vt:i4>
      </vt:variant>
      <vt:variant>
        <vt:i4>2</vt:i4>
      </vt:variant>
      <vt:variant>
        <vt:i4>0</vt:i4>
      </vt:variant>
      <vt:variant>
        <vt:i4>5</vt:i4>
      </vt:variant>
      <vt:variant>
        <vt:lpwstr/>
      </vt:variant>
      <vt:variant>
        <vt:lpwstr>_Toc32384669</vt:lpwstr>
      </vt:variant>
      <vt:variant>
        <vt:i4>6422655</vt:i4>
      </vt:variant>
      <vt:variant>
        <vt:i4>51</vt:i4>
      </vt:variant>
      <vt:variant>
        <vt:i4>0</vt:i4>
      </vt:variant>
      <vt:variant>
        <vt:i4>5</vt:i4>
      </vt:variant>
      <vt:variant>
        <vt:lpwstr>https://www.sec.gov/files/OCIE Risk Alert - Supervision Initiative.pdf</vt:lpwstr>
      </vt:variant>
      <vt:variant>
        <vt:lpwstr/>
      </vt:variant>
      <vt:variant>
        <vt:i4>458839</vt:i4>
      </vt:variant>
      <vt:variant>
        <vt:i4>48</vt:i4>
      </vt:variant>
      <vt:variant>
        <vt:i4>0</vt:i4>
      </vt:variant>
      <vt:variant>
        <vt:i4>5</vt:i4>
      </vt:variant>
      <vt:variant>
        <vt:lpwstr>https://www.sec.gov/rules/interp/2019/ia-5325.pdf</vt:lpwstr>
      </vt:variant>
      <vt:variant>
        <vt:lpwstr/>
      </vt:variant>
      <vt:variant>
        <vt:i4>2162806</vt:i4>
      </vt:variant>
      <vt:variant>
        <vt:i4>45</vt:i4>
      </vt:variant>
      <vt:variant>
        <vt:i4>0</vt:i4>
      </vt:variant>
      <vt:variant>
        <vt:i4>5</vt:i4>
      </vt:variant>
      <vt:variant>
        <vt:lpwstr>https://www.sec.gov/files/OCIE Risk Alert - Principal and Agency Cross Trading.pdf</vt:lpwstr>
      </vt:variant>
      <vt:variant>
        <vt:lpwstr/>
      </vt:variant>
      <vt:variant>
        <vt:i4>5505098</vt:i4>
      </vt:variant>
      <vt:variant>
        <vt:i4>42</vt:i4>
      </vt:variant>
      <vt:variant>
        <vt:i4>0</vt:i4>
      </vt:variant>
      <vt:variant>
        <vt:i4>5</vt:i4>
      </vt:variant>
      <vt:variant>
        <vt:lpwstr>https://www.sec.gov/files/OCIE Cybersecurity and Resiliency Observations.pdf</vt:lpwstr>
      </vt:variant>
      <vt:variant>
        <vt:lpwstr/>
      </vt:variant>
      <vt:variant>
        <vt:i4>3407935</vt:i4>
      </vt:variant>
      <vt:variant>
        <vt:i4>39</vt:i4>
      </vt:variant>
      <vt:variant>
        <vt:i4>0</vt:i4>
      </vt:variant>
      <vt:variant>
        <vt:i4>5</vt:i4>
      </vt:variant>
      <vt:variant>
        <vt:lpwstr>https://www.sec.gov/files/Risk Alert - COVID-19 Compliance.pdf</vt:lpwstr>
      </vt:variant>
      <vt:variant>
        <vt:lpwstr/>
      </vt:variant>
      <vt:variant>
        <vt:i4>5505103</vt:i4>
      </vt:variant>
      <vt:variant>
        <vt:i4>36</vt:i4>
      </vt:variant>
      <vt:variant>
        <vt:i4>0</vt:i4>
      </vt:variant>
      <vt:variant>
        <vt:i4>5</vt:i4>
      </vt:variant>
      <vt:variant>
        <vt:lpwstr>https://www.sec.gov/sec-coronavirus-covid-19-response</vt:lpwstr>
      </vt:variant>
      <vt:variant>
        <vt:lpwstr/>
      </vt:variant>
      <vt:variant>
        <vt:i4>6160476</vt:i4>
      </vt:variant>
      <vt:variant>
        <vt:i4>33</vt:i4>
      </vt:variant>
      <vt:variant>
        <vt:i4>0</vt:i4>
      </vt:variant>
      <vt:variant>
        <vt:i4>5</vt:i4>
      </vt:variant>
      <vt:variant>
        <vt:lpwstr>https://www.sec.gov/files/Risk Alert - OCIE LIBOR Initiative.pdf</vt:lpwstr>
      </vt:variant>
      <vt:variant>
        <vt:lpwstr/>
      </vt:variant>
      <vt:variant>
        <vt:i4>720959</vt:i4>
      </vt:variant>
      <vt:variant>
        <vt:i4>30</vt:i4>
      </vt:variant>
      <vt:variant>
        <vt:i4>0</vt:i4>
      </vt:variant>
      <vt:variant>
        <vt:i4>5</vt:i4>
      </vt:variant>
      <vt:variant>
        <vt:lpwstr>https://www.sec.gov/files/Private Fund Risk Alert_0.pdf</vt:lpwstr>
      </vt:variant>
      <vt:variant>
        <vt:lpwstr/>
      </vt:variant>
      <vt:variant>
        <vt:i4>393234</vt:i4>
      </vt:variant>
      <vt:variant>
        <vt:i4>27</vt:i4>
      </vt:variant>
      <vt:variant>
        <vt:i4>0</vt:i4>
      </vt:variant>
      <vt:variant>
        <vt:i4>5</vt:i4>
      </vt:variant>
      <vt:variant>
        <vt:lpwstr>https://www.sec.gov/files/Risk Alert - Form CRS Exams.pdf</vt:lpwstr>
      </vt:variant>
      <vt:variant>
        <vt:lpwstr/>
      </vt:variant>
      <vt:variant>
        <vt:i4>196634</vt:i4>
      </vt:variant>
      <vt:variant>
        <vt:i4>24</vt:i4>
      </vt:variant>
      <vt:variant>
        <vt:i4>0</vt:i4>
      </vt:variant>
      <vt:variant>
        <vt:i4>5</vt:i4>
      </vt:variant>
      <vt:variant>
        <vt:lpwstr>https://www.sec.gov/rules/final/2019/34-86032.pdf</vt:lpwstr>
      </vt:variant>
      <vt:variant>
        <vt:lpwstr/>
      </vt:variant>
      <vt:variant>
        <vt:i4>2490474</vt:i4>
      </vt:variant>
      <vt:variant>
        <vt:i4>21</vt:i4>
      </vt:variant>
      <vt:variant>
        <vt:i4>0</vt:i4>
      </vt:variant>
      <vt:variant>
        <vt:i4>5</vt:i4>
      </vt:variant>
      <vt:variant>
        <vt:lpwstr>https://us-cert.cisa.gov/ncas/alerts/aa19-339a</vt:lpwstr>
      </vt:variant>
      <vt:variant>
        <vt:lpwstr/>
      </vt:variant>
      <vt:variant>
        <vt:i4>196620</vt:i4>
      </vt:variant>
      <vt:variant>
        <vt:i4>18</vt:i4>
      </vt:variant>
      <vt:variant>
        <vt:i4>0</vt:i4>
      </vt:variant>
      <vt:variant>
        <vt:i4>5</vt:i4>
      </vt:variant>
      <vt:variant>
        <vt:lpwstr>https://www.sec.gov/files/Risk Alert - Ransomware.pdf</vt:lpwstr>
      </vt:variant>
      <vt:variant>
        <vt:lpwstr/>
      </vt:variant>
      <vt:variant>
        <vt:i4>393290</vt:i4>
      </vt:variant>
      <vt:variant>
        <vt:i4>15</vt:i4>
      </vt:variant>
      <vt:variant>
        <vt:i4>0</vt:i4>
      </vt:variant>
      <vt:variant>
        <vt:i4>5</vt:i4>
      </vt:variant>
      <vt:variant>
        <vt:lpwstr>https://www.sec.gov/rules/policy/2020/ia-5547.pdf</vt:lpwstr>
      </vt:variant>
      <vt:variant>
        <vt:lpwstr/>
      </vt:variant>
      <vt:variant>
        <vt:i4>196690</vt:i4>
      </vt:variant>
      <vt:variant>
        <vt:i4>12</vt:i4>
      </vt:variant>
      <vt:variant>
        <vt:i4>0</vt:i4>
      </vt:variant>
      <vt:variant>
        <vt:i4>5</vt:i4>
      </vt:variant>
      <vt:variant>
        <vt:lpwstr>https://www.sec.gov/files/Risk Alert - Credential Compromise.pdf</vt:lpwstr>
      </vt:variant>
      <vt:variant>
        <vt:lpwstr/>
      </vt:variant>
      <vt:variant>
        <vt:i4>7536682</vt:i4>
      </vt:variant>
      <vt:variant>
        <vt:i4>9</vt:i4>
      </vt:variant>
      <vt:variant>
        <vt:i4>0</vt:i4>
      </vt:variant>
      <vt:variant>
        <vt:i4>5</vt:i4>
      </vt:variant>
      <vt:variant>
        <vt:lpwstr>https://www.sec.gov/files/Risk Alert - Multi-Branch Risk Alert.pdf</vt:lpwstr>
      </vt:variant>
      <vt:variant>
        <vt:lpwstr/>
      </vt:variant>
      <vt:variant>
        <vt:i4>3342401</vt:i4>
      </vt:variant>
      <vt:variant>
        <vt:i4>6</vt:i4>
      </vt:variant>
      <vt:variant>
        <vt:i4>0</vt:i4>
      </vt:variant>
      <vt:variant>
        <vt:i4>5</vt:i4>
      </vt:variant>
      <vt:variant>
        <vt:lpwstr>https://www.sec.gov/files/Risk Alert IA Compliance Programs_0.pdf</vt:lpwstr>
      </vt:variant>
      <vt:variant>
        <vt:lpwstr/>
      </vt:variant>
      <vt:variant>
        <vt:i4>7143532</vt:i4>
      </vt:variant>
      <vt:variant>
        <vt:i4>3</vt:i4>
      </vt:variant>
      <vt:variant>
        <vt:i4>0</vt:i4>
      </vt:variant>
      <vt:variant>
        <vt:i4>5</vt:i4>
      </vt:variant>
      <vt:variant>
        <vt:lpwstr>https://www.sec.gov/files/Risk Alert - Large Trader 13h.pdf</vt:lpwstr>
      </vt:variant>
      <vt:variant>
        <vt:lpwstr/>
      </vt:variant>
      <vt:variant>
        <vt:i4>3211309</vt:i4>
      </vt:variant>
      <vt:variant>
        <vt:i4>0</vt:i4>
      </vt:variant>
      <vt:variant>
        <vt:i4>0</vt:i4>
      </vt:variant>
      <vt:variant>
        <vt:i4>5</vt:i4>
      </vt:variant>
      <vt:variant>
        <vt:lpwstr>https://www.sec.gov/about/offices/ocie/national-examination-program-priorities-2020.pdf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ACA Compliance Group</dc:creator>
  <cp:lastModifiedBy>Christian Casal</cp:lastModifiedBy>
  <cp:revision>8</cp:revision>
  <cp:lastPrinted>2021-04-27T16:14:00Z</cp:lastPrinted>
  <dcterms:created xsi:type="dcterms:W3CDTF">2021-04-06T12:48:00Z</dcterms:created>
  <dcterms:modified xsi:type="dcterms:W3CDTF">2021-04-27T16:19:00Z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Base Target">
    <vt:lpwstr>_blank</vt:lpwstr>
  </property>
  <property fmtid="{D5CDD505-2E9C-101B-9397-08002B2CF9AE}" pid="4" name="ContentTypeId">
    <vt:lpwstr>0x0101006D6B40783A314549967D87E0860CD77A</vt:lpwstr>
  </property>
</Properties>
</file>