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المرجع</w:t>
      </w:r>
      <w:r>
        <w:rPr>
          <w:rtl/>
        </w:rPr>
        <w:t xml:space="preserve"> </w:t>
      </w:r>
      <w:r>
        <w:rPr>
          <w:rtl/>
        </w:rPr>
        <w:t xml:space="preserve">السريع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إنهاء</w:t>
      </w:r>
      <w:r>
        <w:rPr>
          <w:rtl/>
        </w:rPr>
        <w:t xml:space="preserve"> </w:t>
      </w:r>
      <w:r>
        <w:rPr>
          <w:rtl/>
        </w:rPr>
        <w:t xml:space="preserve">عقد</w:t>
      </w:r>
      <w:r>
        <w:rPr>
          <w:rtl/>
        </w:rPr>
        <w:t xml:space="preserve"> </w:t>
      </w:r>
      <w:r>
        <w:rPr>
          <w:rtl/>
        </w:rPr>
        <w:t xml:space="preserve">الإيجار</w:t>
      </w:r>
      <w:r>
        <w:rPr>
          <w:rtl/>
        </w:rPr>
        <w:t xml:space="preserve"> </w:t>
      </w:r>
      <w:r>
        <w:rPr>
          <w:rtl/>
        </w:rPr>
        <w:t xml:space="preserve">والإخطارات</w:t>
      </w:r>
    </w:p>
    <w:p>
      <w:pPr>
        <w:pStyle w:val="Subtitle"/>
        <w:bidi/>
      </w:pPr>
      <w:r>
        <w:rPr>
          <w:rtl/>
        </w:rPr>
        <w:t xml:space="preserve">المحور</w:t>
      </w:r>
      <w:r>
        <w:rPr>
          <w:rtl/>
        </w:rPr>
        <w:t xml:space="preserve"> </w:t>
      </w:r>
      <w:r>
        <w:rPr>
          <w:rtl/>
        </w:rPr>
        <w:t xml:space="preserve">الثالث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دائرة</w:t>
      </w:r>
      <w:r>
        <w:rPr>
          <w:rtl/>
        </w:rPr>
        <w:t xml:space="preserve"> </w:t>
      </w:r>
      <w:r>
        <w:rPr>
          <w:rtl/>
        </w:rPr>
        <w:t xml:space="preserve">الشؤون</w:t>
      </w:r>
      <w:r>
        <w:rPr>
          <w:rtl/>
        </w:rPr>
        <w:t xml:space="preserve"> </w:t>
      </w:r>
      <w:r>
        <w:rPr>
          <w:rtl/>
        </w:rPr>
        <w:t xml:space="preserve">القانونية</w:t>
      </w:r>
    </w:p>
    <w:bookmarkStart w:id="20" w:name="القاعدة-التجديد-التلقائي-المادة-6"/>
    <w:p>
      <w:pPr>
        <w:pStyle w:val="Heading2"/>
        <w:bidi/>
      </w:pPr>
      <w:r>
        <w:rPr>
          <w:rtl/>
        </w:rPr>
        <w:t xml:space="preserve">القاعدة: التجديد التلقائي (المادة 6)</w:t>
      </w:r>
    </w:p>
    <w:p>
      <w:pPr>
        <w:bidi/>
      </w:pPr>
      <w:r>
        <w:rPr>
          <w:rtl/>
        </w:rPr>
        <w:t xml:space="preserve">انتهت المدة + بقي المستأجر + لا اعتراض من المؤجر = يتجدد العقد لمدة مماثلة أو سنة (أيهما أقل) بذات الشروط.</w:t>
      </w:r>
    </w:p>
    <w:bookmarkEnd w:id="20"/>
    <w:bookmarkStart w:id="21" w:name="الإخطارات"/>
    <w:p>
      <w:pPr>
        <w:pStyle w:val="Heading2"/>
        <w:bidi/>
      </w:pPr>
      <w:r>
        <w:rPr>
          <w:rtl/>
        </w:rPr>
        <w:t xml:space="preserve">الإخطارات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المسار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الوسيلة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الموعد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تعديل الشروط/البدل عند التجديد (م. 13–14)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كاتب عدل / بريد مسجل / تسليم باليد / وسيلة تقنية معتمدة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قبل 90 يومًا على الأقل من الانتهاء (ما لم يُتفق على خلافه)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الإخلاء قبل الانتهاء (م. 25/1)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كاتب عدل أو بريد مسجل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30 يومًا من الإخطار للسداد أو لتنفيذ الالتزام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الإخلاء عند الانتهاء (م. 25/2)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كاتب عدل أو بريد مسجل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قبل 12 شهرًا على الأقل من تاريخ الإخلاء، مع بيان الأسباب</w:t>
            </w:r>
          </w:p>
        </w:tc>
      </w:tr>
    </w:tbl>
    <w:bookmarkEnd w:id="21"/>
    <w:bookmarkStart w:id="22" w:name="الإخلاء-قبل-انتهاء-العقد-حصرا-م.-251"/>
    <w:p>
      <w:pPr>
        <w:pStyle w:val="Heading2"/>
        <w:bidi/>
      </w:pPr>
      <w:r>
        <w:rPr>
          <w:rtl/>
        </w:rPr>
        <w:t xml:space="preserve">الإخلاء قبل انتهاء العقد — حصرًا (م. 25/1)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عدم السداد خلال 30 يومًا من الإخطار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تأجير من الباطن دون موافقة خطية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استعمال غير مشروع أو مخالف للنظام العام أو الآداب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ترك محل تجاري 30 يومًا متصلة أو 90 متقطعة في السنة دون سبب مشروع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تغيير يؤثر على السلامة أو إضرار متعمّد أو بإهمال جسيم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استعمال لغير الغرض أو مخالف لأنظمة التخطيط والبناء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آيل للسقوط — تقرير بلدية دبي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مخالفة أي التزام قانوني أو تعاقدي خلال 30 يومًا من الإخطار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☐ متطلبات التنمية العمرانية</w:t>
      </w:r>
    </w:p>
    <w:bookmarkEnd w:id="22"/>
    <w:bookmarkStart w:id="23" w:name="الإخلاء-عند-انتهاء-العقد-حصرا-م.-252"/>
    <w:p>
      <w:pPr>
        <w:pStyle w:val="Heading2"/>
        <w:bidi/>
      </w:pPr>
      <w:r>
        <w:rPr>
          <w:rtl/>
        </w:rPr>
        <w:t xml:space="preserve">الإخلاء عند انتهاء العقد — حصرًا (م. 25/2)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الهدم لإعادة البناء أو إضافة مبانٍ — مع التراخيص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الترميم أو الصيانة الشاملة — تقرير بلدية دبي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الاستعمال الشخصي أو لقريب درجة أولى — إثبات عدم ملكية البديل المناسب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☐ البيع</w:t>
      </w:r>
    </w:p>
    <w:bookmarkEnd w:id="23"/>
    <w:bookmarkStart w:id="24" w:name="تذكر"/>
    <w:p>
      <w:pPr>
        <w:pStyle w:val="Heading2"/>
        <w:bidi/>
      </w:pPr>
      <w:r>
        <w:rPr>
          <w:rtl/>
        </w:rPr>
        <w:t xml:space="preserve">تذكّر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رفع دعوى الإخلاء لا يعفي من الأجرة حتى تنفيذ الحكم (م. 31).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احتفظ بدليل تاريخ الإخطار (إفادة الكاتب العدل / إيصال البريد المسجل).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المرجع السريع — إنهاء عقد الإيجار والإخطارات</dc:title>
  <dc:creator/>
  <dc:language>ar</dc:language>
  <cp:keywords/>
  <dcterms:created xsi:type="dcterms:W3CDTF">2026-10-07T08:06:59Z</dcterms:created>
  <dcterms:modified xsi:type="dcterms:W3CDTF">2026-10-07T08:06:59Z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المحور الثالث — دائرة الشؤون القانونية</vt:lpwstr>
  </property>
</Properties>
</file>