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قائمة</w:t>
      </w:r>
      <w:r>
        <w:rPr>
          <w:rtl/>
        </w:rPr>
        <w:t xml:space="preserve"> </w:t>
      </w:r>
      <w:r>
        <w:rPr>
          <w:rtl/>
        </w:rPr>
        <w:t xml:space="preserve">التحقق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حماية</w:t>
      </w:r>
      <w:r>
        <w:rPr>
          <w:rtl/>
        </w:rPr>
        <w:t xml:space="preserve"> </w:t>
      </w:r>
      <w:r>
        <w:rPr>
          <w:rtl/>
        </w:rPr>
        <w:t xml:space="preserve">حقوق</w:t>
      </w:r>
      <w:r>
        <w:rPr>
          <w:rtl/>
        </w:rPr>
        <w:t xml:space="preserve"> </w:t>
      </w:r>
      <w:r>
        <w:rPr>
          <w:rtl/>
        </w:rPr>
        <w:t xml:space="preserve">الجهة</w:t>
      </w:r>
      <w:r>
        <w:rPr>
          <w:rtl/>
        </w:rPr>
        <w:t xml:space="preserve"> </w:t>
      </w:r>
      <w:r>
        <w:rPr>
          <w:rtl/>
        </w:rPr>
        <w:t xml:space="preserve">الحكومية</w:t>
      </w:r>
      <w:r>
        <w:rPr>
          <w:rtl/>
        </w:rPr>
        <w:t xml:space="preserve"> </w:t>
      </w:r>
      <w:r>
        <w:rPr>
          <w:rtl/>
        </w:rPr>
        <w:t xml:space="preserve">المؤجرة</w:t>
      </w:r>
    </w:p>
    <w:p>
      <w:pPr>
        <w:pStyle w:val="Subtitle"/>
        <w:bidi/>
      </w:pPr>
      <w:r>
        <w:rPr>
          <w:rtl/>
        </w:rPr>
        <w:t xml:space="preserve">المحور</w:t>
      </w:r>
      <w:r>
        <w:rPr>
          <w:rtl/>
        </w:rPr>
        <w:t xml:space="preserve"> </w:t>
      </w:r>
      <w:r>
        <w:rPr>
          <w:rtl/>
        </w:rPr>
        <w:t xml:space="preserve">الرابع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دائرة</w:t>
      </w:r>
      <w:r>
        <w:rPr>
          <w:rtl/>
        </w:rPr>
        <w:t xml:space="preserve"> </w:t>
      </w:r>
      <w:r>
        <w:rPr>
          <w:rtl/>
        </w:rPr>
        <w:t xml:space="preserve">الشؤون</w:t>
      </w:r>
      <w:r>
        <w:rPr>
          <w:rtl/>
        </w:rPr>
        <w:t xml:space="preserve"> </w:t>
      </w:r>
      <w:r>
        <w:rPr>
          <w:rtl/>
        </w:rPr>
        <w:t xml:space="preserve">القانونية</w:t>
      </w:r>
    </w:p>
    <w:p>
      <w:pPr>
        <w:bidi/>
      </w:pPr>
      <w:r>
        <w:rPr>
          <w:rtl/>
        </w:rPr>
        <w:t xml:space="preserve">العقد / المستأجر: …………………………………….. التاريخ: ………………..</w:t>
      </w:r>
    </w:p>
    <w:bookmarkStart w:id="20" w:name="قبل-إبرام-العقد"/>
    <w:p>
      <w:pPr>
        <w:pStyle w:val="Heading2"/>
        <w:bidi/>
      </w:pPr>
      <w:r>
        <w:rPr>
          <w:rtl/>
        </w:rPr>
        <w:t xml:space="preserve">قبل إبرام العقد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(1) التحقق من الملاءة المالية للمستأجر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(6) إلزام الشخص المعنوي بتقديم ما يفيد سريان الرخصة دوريًا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(7) إلزامه بتحديث بيانات التواصل — البريد الإلكتروني والهاتف المتحرك</w:t>
      </w:r>
    </w:p>
    <w:bookmarkEnd w:id="20"/>
    <w:bookmarkStart w:id="21" w:name="أثناء-سريان-العقد"/>
    <w:p>
      <w:pPr>
        <w:pStyle w:val="Heading2"/>
        <w:bidi/>
      </w:pPr>
      <w:r>
        <w:rPr>
          <w:rtl/>
        </w:rPr>
        <w:t xml:space="preserve">أثناء سريان العقد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☐ (2) متابعة دورية دقيقة للعقد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☐ (3) معاينة دورية: وجود المستأجر / استمرار النشاط التجاري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☐ (4) مراجعة شاملة إذا مضى على العقد أكثر من سنتين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☐ (5) مؤشر تحذير قبل تجديد عقد متعثر</w:t>
      </w:r>
    </w:p>
    <w:bookmarkEnd w:id="21"/>
    <w:bookmarkStart w:id="22" w:name="عند-التقاعس"/>
    <w:p>
      <w:pPr>
        <w:pStyle w:val="Heading2"/>
        <w:bidi/>
      </w:pPr>
      <w:r>
        <w:rPr>
          <w:rtl/>
        </w:rPr>
        <w:t xml:space="preserve">عند التقاعس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☐ (8) إجراء كتابي خلال وقت معقول: بريد مسجل / بريد إلكتروني / رسالة نصية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☐ (9) بريد إلكتروني للحث على التسوية وإثبات واقعة الامتناع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☐ (10) إثبات الترك أو توقف النشاط: 30 يومًا متصلة أو 90 متقطعة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☐ (11) إخطار دائرة الشؤون القانونية: استمرار الامتناع / عدم الالتزام بالأجل / عدم الاستجابة</w:t>
      </w:r>
    </w:p>
    <w:bookmarkEnd w:id="22"/>
    <w:bookmarkStart w:id="23" w:name="تذكر"/>
    <w:p>
      <w:pPr>
        <w:pStyle w:val="Heading2"/>
        <w:bidi/>
      </w:pPr>
      <w:r>
        <w:rPr>
          <w:rtl/>
        </w:rPr>
        <w:t xml:space="preserve">تذكّر</w:t>
      </w:r>
    </w:p>
    <w:p>
      <w:pPr>
        <w:bidi/>
      </w:pPr>
      <w:r>
        <w:rPr>
          <w:rtl/>
        </w:rPr>
        <w:t xml:space="preserve">إخطار الإخلاء بموجب المادة (25) يكون بالكاتب العدل أو البريد المسجل. والأجرة تظل مستحقة حتى تنفيذ الحكم (م. 31).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قائمة التحقق — حماية حقوق الجهة الحكومية المؤجرة</dc:title>
  <dc:creator/>
  <dc:language>ar</dc:language>
  <cp:keywords/>
  <dcterms:created xsi:type="dcterms:W3CDTF">2026-10-07T08:06:59Z</dcterms:created>
  <dcterms:modified xsi:type="dcterms:W3CDTF">2026-10-07T08:06:59Z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المحور الرابع — دائرة الشؤون القانونية</vt:lpwstr>
  </property>
</Properties>
</file>