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bidi/>
        <w:jc w:val="right"/>
      </w:pPr>
      <w:r>
        <w:rPr>
          <w:rFonts w:ascii="Dubai" w:hAnsi="Dubai" w:cs="Dubai" w:eastAsia="Dubai"/>
          <w:b/>
          <w:bCs/>
          <w:color w:val="1A171C"/>
          <w:sz w:val="52"/>
          <w:rtl/>
          <w:szCs w:val="52"/>
        </w:rPr>
        <w:t xml:space="preserve">التأديب</w:t>
      </w:r>
      <w:r>
        <w:rPr>
          <w:rFonts w:ascii="Dubai" w:hAnsi="Dubai" w:cs="Dubai" w:eastAsia="Dubai"/>
          <w:b/>
          <w:bCs/>
          <w:color w:val="1A171C"/>
          <w:sz w:val="52"/>
          <w:rtl/>
          <w:szCs w:val="52"/>
        </w:rPr>
        <w:t xml:space="preserve"> </w:t>
      </w:r>
      <w:r>
        <w:rPr>
          <w:rFonts w:ascii="Dubai" w:hAnsi="Dubai" w:cs="Dubai" w:eastAsia="Dubai"/>
          <w:b/>
          <w:bCs/>
          <w:color w:val="1A171C"/>
          <w:sz w:val="52"/>
          <w:rtl/>
          <w:szCs w:val="52"/>
        </w:rPr>
        <w:t xml:space="preserve">في</w:t>
      </w:r>
      <w:r>
        <w:rPr>
          <w:rFonts w:ascii="Dubai" w:hAnsi="Dubai" w:cs="Dubai" w:eastAsia="Dubai"/>
          <w:b/>
          <w:bCs/>
          <w:color w:val="1A171C"/>
          <w:sz w:val="52"/>
          <w:rtl/>
          <w:szCs w:val="52"/>
        </w:rPr>
        <w:t xml:space="preserve"> </w:t>
      </w:r>
      <w:r>
        <w:rPr>
          <w:rFonts w:ascii="Dubai" w:hAnsi="Dubai" w:cs="Dubai" w:eastAsia="Dubai"/>
          <w:b/>
          <w:bCs/>
          <w:color w:val="1A171C"/>
          <w:sz w:val="52"/>
          <w:rtl/>
          <w:szCs w:val="52"/>
        </w:rPr>
        <w:t xml:space="preserve">مهنة</w:t>
      </w:r>
      <w:r>
        <w:rPr>
          <w:rFonts w:ascii="Dubai" w:hAnsi="Dubai" w:cs="Dubai" w:eastAsia="Dubai"/>
          <w:b/>
          <w:bCs/>
          <w:color w:val="1A171C"/>
          <w:sz w:val="52"/>
          <w:rtl/>
          <w:szCs w:val="52"/>
        </w:rPr>
        <w:t xml:space="preserve"> </w:t>
      </w:r>
      <w:r>
        <w:rPr>
          <w:rFonts w:ascii="Dubai" w:hAnsi="Dubai" w:cs="Dubai" w:eastAsia="Dubai"/>
          <w:b/>
          <w:bCs/>
          <w:color w:val="1A171C"/>
          <w:sz w:val="52"/>
          <w:rtl/>
          <w:szCs w:val="52"/>
        </w:rPr>
        <w:t xml:space="preserve">المستشار</w:t>
      </w:r>
      <w:r>
        <w:rPr>
          <w:rFonts w:ascii="Dubai" w:hAnsi="Dubai" w:cs="Dubai" w:eastAsia="Dubai"/>
          <w:b/>
          <w:bCs/>
          <w:color w:val="1A171C"/>
          <w:sz w:val="52"/>
          <w:rtl/>
          <w:szCs w:val="52"/>
        </w:rPr>
        <w:t xml:space="preserve"> </w:t>
      </w:r>
      <w:r>
        <w:rPr>
          <w:rFonts w:ascii="Dubai" w:hAnsi="Dubai" w:cs="Dubai" w:eastAsia="Dubai"/>
          <w:b/>
          <w:bCs/>
          <w:color w:val="1A171C"/>
          <w:sz w:val="52"/>
          <w:rtl/>
          <w:szCs w:val="52"/>
        </w:rPr>
        <w:t xml:space="preserve">القانوني</w:t>
      </w:r>
      <w:r>
        <w:rPr>
          <w:rFonts w:ascii="Dubai" w:hAnsi="Dubai" w:cs="Dubai" w:eastAsia="Dubai"/>
          <w:b/>
          <w:bCs/>
          <w:color w:val="1A171C"/>
          <w:sz w:val="52"/>
          <w:rtl/>
          <w:szCs w:val="52"/>
        </w:rPr>
        <w:t xml:space="preserve"> </w:t>
      </w:r>
      <w:r>
        <w:rPr>
          <w:rFonts w:ascii="Dubai" w:hAnsi="Dubai" w:cs="Dubai" w:eastAsia="Dubai"/>
          <w:b/>
          <w:bCs/>
          <w:color w:val="1A171C"/>
          <w:sz w:val="52"/>
          <w:rtl/>
          <w:szCs w:val="52"/>
        </w:rPr>
        <w:t xml:space="preserve">المستقل:</w:t>
      </w:r>
      <w:r>
        <w:rPr>
          <w:rFonts w:ascii="Dubai" w:hAnsi="Dubai" w:cs="Dubai" w:eastAsia="Dubai"/>
          <w:b/>
          <w:bCs/>
          <w:color w:val="1A171C"/>
          <w:sz w:val="52"/>
          <w:rtl/>
          <w:szCs w:val="52"/>
        </w:rPr>
        <w:t xml:space="preserve"> </w:t>
      </w:r>
      <w:r>
        <w:rPr>
          <w:rFonts w:ascii="Dubai" w:hAnsi="Dubai" w:cs="Dubai" w:eastAsia="Dubai"/>
          <w:b/>
          <w:bCs/>
          <w:color w:val="1A171C"/>
          <w:sz w:val="52"/>
          <w:rtl/>
          <w:szCs w:val="52"/>
        </w:rPr>
        <w:t xml:space="preserve">بين</w:t>
      </w:r>
      <w:r>
        <w:rPr>
          <w:rFonts w:ascii="Dubai" w:hAnsi="Dubai" w:cs="Dubai" w:eastAsia="Dubai"/>
          <w:b/>
          <w:bCs/>
          <w:color w:val="1A171C"/>
          <w:sz w:val="52"/>
          <w:rtl/>
          <w:szCs w:val="52"/>
        </w:rPr>
        <w:t xml:space="preserve"> </w:t>
      </w:r>
      <w:r>
        <w:rPr>
          <w:rFonts w:ascii="Dubai" w:hAnsi="Dubai" w:cs="Dubai" w:eastAsia="Dubai"/>
          <w:b/>
          <w:bCs/>
          <w:color w:val="1A171C"/>
          <w:sz w:val="52"/>
          <w:rtl/>
          <w:szCs w:val="52"/>
        </w:rPr>
        <w:t xml:space="preserve">الإجراء</w:t>
      </w:r>
      <w:r>
        <w:rPr>
          <w:rFonts w:ascii="Dubai" w:hAnsi="Dubai" w:cs="Dubai" w:eastAsia="Dubai"/>
          <w:b/>
          <w:bCs/>
          <w:color w:val="1A171C"/>
          <w:sz w:val="52"/>
          <w:rtl/>
          <w:szCs w:val="52"/>
        </w:rPr>
        <w:t xml:space="preserve"> </w:t>
      </w:r>
      <w:r>
        <w:rPr>
          <w:rFonts w:ascii="Dubai" w:hAnsi="Dubai" w:cs="Dubai" w:eastAsia="Dubai"/>
          <w:b/>
          <w:bCs/>
          <w:color w:val="1A171C"/>
          <w:sz w:val="52"/>
          <w:rtl/>
          <w:szCs w:val="52"/>
        </w:rPr>
        <w:t xml:space="preserve">والموضوع</w:t>
      </w:r>
    </w:p>
    <w:p>
      <w:pPr>
        <w:pStyle w:val="Subtitle"/>
        <w:bidi/>
        <w:jc w:val="right"/>
      </w:pPr>
      <w:r>
        <w:rPr>
          <w:rFonts w:ascii="Dubai" w:hAnsi="Dubai" w:cs="Dubai" w:eastAsia="Dubai"/>
          <w:color w:val="575757"/>
          <w:sz w:val="28"/>
          <w:rtl/>
          <w:szCs w:val="28"/>
        </w:rPr>
        <w:t xml:space="preserve">المقرر</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3</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قصة</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مصوّرة</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(Storyboard)</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لبناء</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المقرر</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في</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Articulate</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Rise</w:t>
      </w:r>
      <w:r>
        <w:rPr>
          <w:rFonts w:ascii="Dubai" w:hAnsi="Dubai" w:cs="Dubai" w:eastAsia="Dubai"/>
          <w:color w:val="575757"/>
          <w:sz w:val="28"/>
          <w:rtl/>
          <w:szCs w:val="28"/>
        </w:rPr>
        <w:t xml:space="preserve"> </w:t>
      </w:r>
      <w:r>
        <w:rPr>
          <w:rFonts w:ascii="Dubai" w:hAnsi="Dubai" w:cs="Dubai" w:eastAsia="Dubai"/>
          <w:color w:val="575757"/>
          <w:sz w:val="28"/>
          <w:rtl/>
          <w:szCs w:val="28"/>
        </w:rPr>
        <w:t xml:space="preserve">360</w:t>
      </w:r>
    </w:p>
    <w:bookmarkStart w:id="22" w:name="بطاقة-المقرر"/>
    <w:p>
      <w:pPr>
        <w:pStyle w:val="Heading1"/>
        <w:bidi/>
        <w:jc w:val="right"/>
      </w:pPr>
      <w:r>
        <w:rPr>
          <w:rFonts w:ascii="Dubai" w:hAnsi="Dubai" w:cs="Dubai" w:eastAsia="Dubai"/>
          <w:b/>
          <w:bCs/>
          <w:color w:val="1A171C"/>
          <w:sz w:val="40"/>
          <w:rtl/>
          <w:szCs w:val="40"/>
        </w:rPr>
        <w:t xml:space="preserve">بطاقة المقرر</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البند</w:t>
            </w:r>
          </w:p>
        </w:tc>
        <w:tc>
          <w:tcPr>
            <w:shd w:val="clear" w:fill="1A171C"/>
          </w:tcPr>
          <w:p>
            <w:pPr>
              <w:pStyle w:val="Compact"/>
              <w:bidi/>
              <w:jc w:val="right"/>
            </w:pPr>
            <w:r>
              <w:rPr>
                <w:rFonts w:ascii="Dubai" w:hAnsi="Dubai" w:cs="Dubai" w:eastAsia="Dubai"/>
                <w:b/>
                <w:bCs/>
                <w:color w:val="FFFFFF"/>
                <w:sz w:val="22"/>
                <w:rtl/>
                <w:szCs w:val="22"/>
              </w:rPr>
              <w:t xml:space="preserve">التفاصيل</w:t>
            </w:r>
          </w:p>
        </w:tc>
      </w:tr>
      <w:tr>
        <w:tc>
          <w:tcPr/>
          <w:p>
            <w:pPr>
              <w:pStyle w:val="Compact"/>
              <w:bidi/>
              <w:jc w:val="right"/>
            </w:pPr>
            <w:r>
              <w:rPr>
                <w:rFonts w:ascii="Dubai" w:hAnsi="Dubai" w:cs="Dubai" w:eastAsia="Dubai"/>
                <w:color w:val="1A171C"/>
                <w:sz w:val="22"/>
                <w:rtl/>
                <w:szCs w:val="22"/>
              </w:rPr>
              <w:t xml:space="preserve">الجهة</w:t>
            </w:r>
          </w:p>
        </w:tc>
        <w:tc>
          <w:tcPr/>
          <w:p>
            <w:pPr>
              <w:pStyle w:val="Compact"/>
              <w:bidi/>
              <w:jc w:val="right"/>
            </w:pPr>
            <w:r>
              <w:rPr>
                <w:rFonts w:ascii="Dubai" w:hAnsi="Dubai" w:cs="Dubai" w:eastAsia="Dubai"/>
                <w:color w:val="1A171C"/>
                <w:sz w:val="22"/>
                <w:rtl/>
                <w:szCs w:val="22"/>
              </w:rPr>
              <w:t xml:space="preserve">دائرة الشؤون القانونية لحكومة دبي</w:t>
            </w:r>
          </w:p>
        </w:tc>
      </w:tr>
      <w:tr>
        <w:tc>
          <w:tcPr/>
          <w:p>
            <w:pPr>
              <w:pStyle w:val="Compact"/>
              <w:bidi/>
              <w:jc w:val="right"/>
            </w:pPr>
            <w:r>
              <w:rPr>
                <w:rFonts w:ascii="Dubai" w:hAnsi="Dubai" w:cs="Dubai" w:eastAsia="Dubai"/>
                <w:color w:val="1A171C"/>
                <w:sz w:val="22"/>
                <w:rtl/>
                <w:szCs w:val="22"/>
              </w:rPr>
              <w:t xml:space="preserve">الفئة المستهدفة</w:t>
            </w:r>
          </w:p>
        </w:tc>
        <w:tc>
          <w:tcPr/>
          <w:p>
            <w:pPr>
              <w:pStyle w:val="Compact"/>
              <w:bidi/>
              <w:jc w:val="right"/>
            </w:pPr>
            <w:r>
              <w:rPr>
                <w:rFonts w:ascii="Dubai" w:hAnsi="Dubai" w:cs="Dubai" w:eastAsia="Dubai"/>
                <w:color w:val="1A171C"/>
                <w:sz w:val="22"/>
                <w:rtl/>
                <w:szCs w:val="22"/>
              </w:rPr>
              <w:t xml:space="preserve">المستشارون القانونيون المستقلون والمتقدمون للتصريح (مواطنون إماراتيون بخبرة قانونية لا تقل عن عامين)</w:t>
            </w:r>
          </w:p>
        </w:tc>
      </w:tr>
      <w:tr>
        <w:tc>
          <w:tcPr/>
          <w:p>
            <w:pPr>
              <w:pStyle w:val="Compact"/>
              <w:bidi/>
              <w:jc w:val="right"/>
            </w:pPr>
            <w:r>
              <w:rPr>
                <w:rFonts w:ascii="Dubai" w:hAnsi="Dubai" w:cs="Dubai" w:eastAsia="Dubai"/>
                <w:color w:val="1A171C"/>
                <w:sz w:val="22"/>
                <w:rtl/>
                <w:szCs w:val="22"/>
              </w:rPr>
              <w:t xml:space="preserve">نمط التقديم</w:t>
            </w:r>
          </w:p>
        </w:tc>
        <w:tc>
          <w:tcPr/>
          <w:p>
            <w:pPr>
              <w:pStyle w:val="Compact"/>
              <w:bidi/>
              <w:jc w:val="right"/>
            </w:pPr>
            <w:r>
              <w:rPr>
                <w:rFonts w:ascii="Dubai" w:hAnsi="Dubai" w:cs="Dubai" w:eastAsia="Dubai"/>
                <w:color w:val="1A171C"/>
                <w:sz w:val="22"/>
                <w:rtl/>
                <w:szCs w:val="22"/>
              </w:rPr>
              <w:t xml:space="preserve">تعلّم ذاتي عبر الإنترنت (Rise 360)، ويصلح مرجعًا مساندًا للجلسة الحضورية</w:t>
            </w:r>
          </w:p>
        </w:tc>
      </w:tr>
      <w:tr>
        <w:tc>
          <w:tcPr/>
          <w:p>
            <w:pPr>
              <w:pStyle w:val="Compact"/>
              <w:bidi/>
              <w:jc w:val="right"/>
            </w:pPr>
            <w:r>
              <w:rPr>
                <w:rFonts w:ascii="Dubai" w:hAnsi="Dubai" w:cs="Dubai" w:eastAsia="Dubai"/>
                <w:color w:val="1A171C"/>
                <w:sz w:val="22"/>
                <w:rtl/>
                <w:szCs w:val="22"/>
              </w:rPr>
              <w:t xml:space="preserve">المدة التقديرية</w:t>
            </w:r>
          </w:p>
        </w:tc>
        <w:tc>
          <w:tcPr/>
          <w:p>
            <w:pPr>
              <w:pStyle w:val="Compact"/>
              <w:bidi/>
              <w:jc w:val="right"/>
            </w:pPr>
            <w:r>
              <w:rPr>
                <w:rFonts w:ascii="Dubai" w:hAnsi="Dubai" w:cs="Dubai" w:eastAsia="Dubai"/>
                <w:color w:val="1A171C"/>
                <w:sz w:val="22"/>
                <w:rtl/>
                <w:szCs w:val="22"/>
              </w:rPr>
              <w:t xml:space="preserve">60 دقيقة تقريبًا (11 درسًا تعليميًا + اختبار نهائي)</w:t>
            </w:r>
          </w:p>
        </w:tc>
      </w:tr>
      <w:tr>
        <w:tc>
          <w:tcPr/>
          <w:p>
            <w:pPr>
              <w:pStyle w:val="Compact"/>
              <w:bidi/>
              <w:jc w:val="right"/>
            </w:pPr>
            <w:r>
              <w:rPr>
                <w:rFonts w:ascii="Dubai" w:hAnsi="Dubai" w:cs="Dubai" w:eastAsia="Dubai"/>
                <w:color w:val="1A171C"/>
                <w:sz w:val="22"/>
                <w:rtl/>
                <w:szCs w:val="22"/>
              </w:rPr>
              <w:t xml:space="preserve">التقييم</w:t>
            </w:r>
          </w:p>
        </w:tc>
        <w:tc>
          <w:tcPr/>
          <w:p>
            <w:pPr>
              <w:pStyle w:val="Compact"/>
              <w:bidi/>
              <w:jc w:val="right"/>
            </w:pPr>
            <w:r>
              <w:rPr>
                <w:rFonts w:ascii="Dubai" w:hAnsi="Dubai" w:cs="Dubai" w:eastAsia="Dubai"/>
                <w:color w:val="1A171C"/>
                <w:sz w:val="22"/>
                <w:rtl/>
                <w:szCs w:val="22"/>
              </w:rPr>
              <w:t xml:space="preserve">اختبار نهائي من 10 أسئلة، درجة النجاح 80%، مع إمكانية إعادة المحاولة</w:t>
            </w:r>
          </w:p>
        </w:tc>
      </w:tr>
      <w:tr>
        <w:tc>
          <w:tcPr/>
          <w:p>
            <w:pPr>
              <w:pStyle w:val="Compact"/>
              <w:bidi/>
              <w:jc w:val="right"/>
            </w:pPr>
            <w:r>
              <w:rPr>
                <w:rFonts w:ascii="Dubai" w:hAnsi="Dubai" w:cs="Dubai" w:eastAsia="Dubai"/>
                <w:color w:val="1A171C"/>
                <w:sz w:val="22"/>
                <w:rtl/>
                <w:szCs w:val="22"/>
              </w:rPr>
              <w:t xml:space="preserve">المصدر</w:t>
            </w:r>
          </w:p>
        </w:tc>
        <w:tc>
          <w:tcPr/>
          <w:p>
            <w:pPr>
              <w:pStyle w:val="Compact"/>
              <w:bidi/>
              <w:jc w:val="right"/>
            </w:pPr>
            <w:r>
              <w:rPr>
                <w:rFonts w:ascii="Dubai" w:hAnsi="Dubai" w:cs="Dubai" w:eastAsia="Dubai"/>
                <w:color w:val="1A171C"/>
                <w:sz w:val="22"/>
                <w:rtl/>
                <w:szCs w:val="22"/>
              </w:rPr>
              <w:t xml:space="preserve">المادة العلمية «التأديب في مهنة المستشار القانوني المستقل ما بين الإجراء والموضوع»</w:t>
            </w:r>
          </w:p>
        </w:tc>
      </w:tr>
    </w:tbl>
    <w:bookmarkStart w:id="20" w:name="نواتج-التعلم"/>
    <w:p>
      <w:pPr>
        <w:pStyle w:val="Heading2"/>
        <w:bidi/>
        <w:jc w:val="right"/>
      </w:pPr>
      <w:r>
        <w:rPr>
          <w:rFonts w:ascii="Dubai" w:hAnsi="Dubai" w:cs="Dubai" w:eastAsia="Dubai"/>
          <w:b/>
          <w:bCs/>
          <w:color w:val="9C771F"/>
          <w:sz w:val="30"/>
          <w:rtl/>
          <w:szCs w:val="30"/>
        </w:rPr>
        <w:t xml:space="preserve">نواتج التعلّم</w:t>
      </w:r>
    </w:p>
    <w:p>
      <w:pPr>
        <w:bidi/>
        <w:jc w:val="both"/>
      </w:pPr>
      <w:r>
        <w:rPr>
          <w:rFonts w:ascii="Dubai" w:hAnsi="Dubai" w:cs="Dubai" w:eastAsia="Dubai"/>
          <w:color w:val="1A171C"/>
          <w:sz w:val="24"/>
          <w:rtl/>
          <w:szCs w:val="24"/>
        </w:rPr>
        <w:t xml:space="preserve">بنهاية هذا المقرر يكون المتعلّم قادرًا على أن:</w:t>
      </w:r>
    </w:p>
    <w:p>
      <w:pPr>
        <w:numPr>
          <w:ilvl w:val="0"/>
          <w:numId w:val="1001"/>
        </w:numPr>
        <w:pStyle w:val="Compact"/>
        <w:bidi/>
        <w:jc w:val="both"/>
      </w:pPr>
      <w:r>
        <w:rPr>
          <w:rFonts w:ascii="Dubai" w:hAnsi="Dubai" w:cs="Dubai" w:eastAsia="Dubai"/>
          <w:color w:val="1A171C"/>
          <w:sz w:val="24"/>
          <w:rtl/>
          <w:szCs w:val="24"/>
        </w:rPr>
        <w:t xml:space="preserve">يحدد نطاق صلاحيات المستشار القانوني المستقل وما يخرج عنها.</w:t>
      </w:r>
    </w:p>
    <w:p>
      <w:pPr>
        <w:numPr>
          <w:ilvl w:val="0"/>
          <w:numId w:val="1001"/>
        </w:numPr>
        <w:pStyle w:val="Compact"/>
        <w:bidi/>
        <w:jc w:val="both"/>
      </w:pPr>
      <w:r>
        <w:rPr>
          <w:rFonts w:ascii="Dubai" w:hAnsi="Dubai" w:cs="Dubai" w:eastAsia="Dubai"/>
          <w:color w:val="1A171C"/>
          <w:sz w:val="24"/>
          <w:rtl/>
          <w:szCs w:val="24"/>
        </w:rPr>
        <w:t xml:space="preserve">يميّز المخالفة المسلكية من المخالفة المهنية، ويصنّف وقائع عملية تحت كل منهما.</w:t>
      </w:r>
    </w:p>
    <w:p>
      <w:pPr>
        <w:numPr>
          <w:ilvl w:val="0"/>
          <w:numId w:val="1001"/>
        </w:numPr>
        <w:pStyle w:val="Compact"/>
        <w:bidi/>
        <w:jc w:val="both"/>
      </w:pPr>
      <w:r>
        <w:rPr>
          <w:rFonts w:ascii="Dubai" w:hAnsi="Dubai" w:cs="Dubai" w:eastAsia="Dubai"/>
          <w:color w:val="1A171C"/>
          <w:sz w:val="24"/>
          <w:rtl/>
          <w:szCs w:val="24"/>
        </w:rPr>
        <w:t xml:space="preserve">يتتبّع مراحل الشكوى التأديبية وفق القرار الإداري رقم (54) لسنة 2022، من الرصد حتى التنفيذ والتظلم.</w:t>
      </w:r>
    </w:p>
    <w:p>
      <w:pPr>
        <w:numPr>
          <w:ilvl w:val="0"/>
          <w:numId w:val="1001"/>
        </w:numPr>
        <w:pStyle w:val="Compact"/>
        <w:bidi/>
        <w:jc w:val="both"/>
      </w:pPr>
      <w:r>
        <w:rPr>
          <w:rFonts w:ascii="Dubai" w:hAnsi="Dubai" w:cs="Dubai" w:eastAsia="Dubai"/>
          <w:color w:val="1A171C"/>
          <w:sz w:val="24"/>
          <w:rtl/>
          <w:szCs w:val="24"/>
        </w:rPr>
        <w:t xml:space="preserve">يفرّق بين نهائية القرار التأديبي وتحصّنه، ويحدد ما يقبل الطعن من القرارات وما لا يقبله.</w:t>
      </w:r>
    </w:p>
    <w:p>
      <w:pPr>
        <w:numPr>
          <w:ilvl w:val="0"/>
          <w:numId w:val="1001"/>
        </w:numPr>
        <w:pStyle w:val="Compact"/>
        <w:bidi/>
        <w:jc w:val="both"/>
      </w:pPr>
      <w:r>
        <w:rPr>
          <w:rFonts w:ascii="Dubai" w:hAnsi="Dubai" w:cs="Dubai" w:eastAsia="Dubai"/>
          <w:color w:val="1A171C"/>
          <w:sz w:val="24"/>
          <w:rtl/>
          <w:szCs w:val="24"/>
        </w:rPr>
        <w:t xml:space="preserve">يميّز المسؤولية التأديبية من المسؤوليتين الجزائية والمدنية، ويطبّق قاعدة السريان الزماني للتشريعات.</w:t>
      </w:r>
    </w:p>
    <w:p>
      <w:pPr>
        <w:numPr>
          <w:ilvl w:val="0"/>
          <w:numId w:val="1001"/>
        </w:numPr>
        <w:pStyle w:val="Compact"/>
        <w:bidi/>
        <w:jc w:val="both"/>
      </w:pPr>
      <w:r>
        <w:rPr>
          <w:rFonts w:ascii="Dubai" w:hAnsi="Dubai" w:cs="Dubai" w:eastAsia="Dubai"/>
          <w:color w:val="1A171C"/>
          <w:sz w:val="24"/>
          <w:rtl/>
          <w:szCs w:val="24"/>
        </w:rPr>
        <w:t xml:space="preserve">يتعرّف المخالفات التأديبية الأكثر تكرارًا ويتخذ القرار المهني الصحيح لتفاديها.</w:t>
      </w:r>
    </w:p>
    <w:bookmarkEnd w:id="20"/>
    <w:bookmarkStart w:id="21" w:name="خريطة-المقرر"/>
    <w:p>
      <w:pPr>
        <w:pStyle w:val="Heading2"/>
        <w:bidi/>
        <w:jc w:val="right"/>
      </w:pPr>
      <w:r>
        <w:rPr>
          <w:rFonts w:ascii="Dubai" w:hAnsi="Dubai" w:cs="Dubai" w:eastAsia="Dubai"/>
          <w:b/>
          <w:bCs/>
          <w:color w:val="9C771F"/>
          <w:sz w:val="30"/>
          <w:rtl/>
          <w:szCs w:val="30"/>
        </w:rPr>
        <w:t xml:space="preserve">خريطة المقرر</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1584"/>
        <w:gridCol w:w="1584"/>
        <w:gridCol w:w="1584"/>
        <w:gridCol w:w="1584"/>
        <w:gridCol w:w="1584"/>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w:t>
            </w:r>
          </w:p>
        </w:tc>
        <w:tc>
          <w:tcPr>
            <w:shd w:val="clear" w:fill="1A171C"/>
          </w:tcPr>
          <w:p>
            <w:pPr>
              <w:pStyle w:val="Compact"/>
              <w:bidi/>
              <w:jc w:val="right"/>
            </w:pPr>
            <w:r>
              <w:rPr>
                <w:rFonts w:ascii="Dubai" w:hAnsi="Dubai" w:cs="Dubai" w:eastAsia="Dubai"/>
                <w:b/>
                <w:bCs/>
                <w:color w:val="FFFFFF"/>
                <w:sz w:val="22"/>
                <w:rtl/>
                <w:szCs w:val="22"/>
              </w:rPr>
              <w:t xml:space="preserve">القسم / الدرس</w:t>
            </w:r>
          </w:p>
        </w:tc>
        <w:tc>
          <w:tcPr>
            <w:shd w:val="clear" w:fill="1A171C"/>
          </w:tcPr>
          <w:p>
            <w:pPr>
              <w:pStyle w:val="Compact"/>
              <w:bidi/>
              <w:jc w:val="right"/>
            </w:pPr>
            <w:r>
              <w:rPr>
                <w:rFonts w:ascii="Dubai" w:hAnsi="Dubai" w:cs="Dubai" w:eastAsia="Dubai"/>
                <w:b/>
                <w:bCs/>
                <w:color w:val="FFFFFF"/>
                <w:sz w:val="22"/>
                <w:rtl/>
                <w:szCs w:val="22"/>
              </w:rPr>
              <w:t xml:space="preserve">النوع</w:t>
            </w:r>
          </w:p>
        </w:tc>
        <w:tc>
          <w:tcPr>
            <w:shd w:val="clear" w:fill="1A171C"/>
          </w:tcPr>
          <w:p>
            <w:pPr>
              <w:pStyle w:val="Compact"/>
              <w:bidi/>
              <w:jc w:val="right"/>
            </w:pPr>
            <w:r>
              <w:rPr>
                <w:rFonts w:ascii="Dubai" w:hAnsi="Dubai" w:cs="Dubai" w:eastAsia="Dubai"/>
                <w:b/>
                <w:bCs/>
                <w:color w:val="FFFFFF"/>
                <w:sz w:val="22"/>
                <w:rtl/>
                <w:szCs w:val="22"/>
              </w:rPr>
              <w:t xml:space="preserve">الكتل</w:t>
            </w:r>
          </w:p>
        </w:tc>
        <w:tc>
          <w:tcPr>
            <w:shd w:val="clear" w:fill="1A171C"/>
          </w:tcPr>
          <w:p>
            <w:pPr>
              <w:pStyle w:val="Compact"/>
              <w:bidi/>
              <w:jc w:val="right"/>
            </w:pPr>
            <w:r>
              <w:rPr>
                <w:rFonts w:ascii="Dubai" w:hAnsi="Dubai" w:cs="Dubai" w:eastAsia="Dubai"/>
                <w:b/>
                <w:bCs/>
                <w:color w:val="FFFFFF"/>
                <w:sz w:val="22"/>
                <w:rtl/>
                <w:szCs w:val="22"/>
              </w:rPr>
              <w:t xml:space="preserve">الوقت</w:t>
            </w:r>
          </w:p>
        </w:tc>
      </w:tr>
      <w:tr>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bCs/>
                <w:b/>
                <w:szCs w:val="22"/>
              </w:rPr>
              <w:t xml:space="preserve">القسم الأول: المدخل</w:t>
            </w:r>
          </w:p>
        </w:tc>
        <w:tc>
          <w:tcPr/>
          <w:p>
            <w:pPr>
              <w:pStyle w:val="Compact"/>
              <w:bidi/>
              <w:jc w:val="right"/>
            </w:pPr>
            <w:r>
              <w:rPr>
                <w:rFonts w:ascii="Dubai" w:hAnsi="Dubai" w:cs="Dubai" w:eastAsia="Dubai"/>
                <w:color w:val="1A171C"/>
                <w:sz w:val="22"/>
                <w:rtl/>
                <w:szCs w:val="22"/>
              </w:rPr>
              <w:t xml:space="preserve">قسم</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w:t>
            </w:r>
          </w:p>
        </w:tc>
      </w:tr>
      <w:tr>
        <w:tc>
          <w:tcPr/>
          <w:p>
            <w:pPr>
              <w:pStyle w:val="Compact"/>
              <w:bidi/>
              <w:jc w:val="right"/>
            </w:pPr>
            <w:r>
              <w:rPr>
                <w:rFonts w:ascii="Dubai" w:hAnsi="Dubai" w:cs="Dubai" w:eastAsia="Dubai"/>
                <w:color w:val="1A171C"/>
                <w:sz w:val="22"/>
                <w:rtl/>
                <w:szCs w:val="22"/>
              </w:rPr>
              <w:t xml:space="preserve">1</w:t>
            </w:r>
          </w:p>
        </w:tc>
        <w:tc>
          <w:tcPr/>
          <w:p>
            <w:pPr>
              <w:pStyle w:val="Compact"/>
              <w:bidi/>
              <w:jc w:val="right"/>
            </w:pPr>
            <w:r>
              <w:rPr>
                <w:rFonts w:ascii="Dubai" w:hAnsi="Dubai" w:cs="Dubai" w:eastAsia="Dubai"/>
                <w:color w:val="1A171C"/>
                <w:sz w:val="22"/>
                <w:rtl/>
                <w:szCs w:val="22"/>
              </w:rPr>
              <w:t xml:space="preserve">مرحبًا: لماذا يعنيك التأديب؟</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8</w:t>
            </w:r>
          </w:p>
        </w:tc>
        <w:tc>
          <w:tcPr/>
          <w:p>
            <w:pPr>
              <w:pStyle w:val="Compact"/>
              <w:bidi/>
              <w:jc w:val="right"/>
            </w:pPr>
            <w:r>
              <w:rPr>
                <w:rFonts w:ascii="Dubai" w:hAnsi="Dubai" w:cs="Dubai" w:eastAsia="Dubai"/>
                <w:color w:val="1A171C"/>
                <w:sz w:val="22"/>
                <w:rtl/>
                <w:szCs w:val="22"/>
              </w:rPr>
              <w:t xml:space="preserve">5 د</w:t>
            </w:r>
          </w:p>
        </w:tc>
      </w:tr>
      <w:tr>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bCs/>
                <w:b/>
                <w:szCs w:val="22"/>
              </w:rPr>
              <w:t xml:space="preserve">القسم الثاني: المحور الأول — نظام المساءلة التأديبية (الإجراء)</w:t>
            </w:r>
          </w:p>
        </w:tc>
        <w:tc>
          <w:tcPr/>
          <w:p>
            <w:pPr>
              <w:pStyle w:val="Compact"/>
              <w:bidi/>
              <w:jc w:val="right"/>
            </w:pPr>
            <w:r>
              <w:rPr>
                <w:rFonts w:ascii="Dubai" w:hAnsi="Dubai" w:cs="Dubai" w:eastAsia="Dubai"/>
                <w:color w:val="1A171C"/>
                <w:sz w:val="22"/>
                <w:rtl/>
                <w:szCs w:val="22"/>
              </w:rPr>
              <w:t xml:space="preserve">قسم</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w:t>
            </w:r>
          </w:p>
        </w:tc>
      </w:tr>
      <w:tr>
        <w:tc>
          <w:tcPr/>
          <w:p>
            <w:pPr>
              <w:pStyle w:val="Compact"/>
              <w:bidi/>
              <w:jc w:val="right"/>
            </w:pPr>
            <w:r>
              <w:rPr>
                <w:rFonts w:ascii="Dubai" w:hAnsi="Dubai" w:cs="Dubai" w:eastAsia="Dubai"/>
                <w:color w:val="1A171C"/>
                <w:sz w:val="22"/>
                <w:rtl/>
                <w:szCs w:val="22"/>
              </w:rPr>
              <w:t xml:space="preserve">2</w:t>
            </w:r>
          </w:p>
        </w:tc>
        <w:tc>
          <w:tcPr/>
          <w:p>
            <w:pPr>
              <w:pStyle w:val="Compact"/>
              <w:bidi/>
              <w:jc w:val="right"/>
            </w:pPr>
            <w:r>
              <w:rPr>
                <w:rFonts w:ascii="Dubai" w:hAnsi="Dubai" w:cs="Dubai" w:eastAsia="Dubai"/>
                <w:color w:val="1A171C"/>
                <w:sz w:val="22"/>
                <w:rtl/>
                <w:szCs w:val="22"/>
              </w:rPr>
              <w:t xml:space="preserve">الإطار التشريعي لنظام المساءلة التأديبية</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9</w:t>
            </w:r>
          </w:p>
        </w:tc>
        <w:tc>
          <w:tcPr/>
          <w:p>
            <w:pPr>
              <w:pStyle w:val="Compact"/>
              <w:bidi/>
              <w:jc w:val="right"/>
            </w:pPr>
            <w:r>
              <w:rPr>
                <w:rFonts w:ascii="Dubai" w:hAnsi="Dubai" w:cs="Dubai" w:eastAsia="Dubai"/>
                <w:color w:val="1A171C"/>
                <w:sz w:val="22"/>
                <w:rtl/>
                <w:szCs w:val="22"/>
              </w:rPr>
              <w:t xml:space="preserve">6 د</w:t>
            </w:r>
          </w:p>
        </w:tc>
      </w:tr>
      <w:tr>
        <w:tc>
          <w:tcPr/>
          <w:p>
            <w:pPr>
              <w:pStyle w:val="Compact"/>
              <w:bidi/>
              <w:jc w:val="right"/>
            </w:pPr>
            <w:r>
              <w:rPr>
                <w:rFonts w:ascii="Dubai" w:hAnsi="Dubai" w:cs="Dubai" w:eastAsia="Dubai"/>
                <w:color w:val="1A171C"/>
                <w:sz w:val="22"/>
                <w:rtl/>
                <w:szCs w:val="22"/>
              </w:rPr>
              <w:t xml:space="preserve">3</w:t>
            </w:r>
          </w:p>
        </w:tc>
        <w:tc>
          <w:tcPr/>
          <w:p>
            <w:pPr>
              <w:pStyle w:val="Compact"/>
              <w:bidi/>
              <w:jc w:val="right"/>
            </w:pPr>
            <w:r>
              <w:rPr>
                <w:rFonts w:ascii="Dubai" w:hAnsi="Dubai" w:cs="Dubai" w:eastAsia="Dubai"/>
                <w:color w:val="1A171C"/>
                <w:sz w:val="22"/>
                <w:rtl/>
                <w:szCs w:val="22"/>
              </w:rPr>
              <w:t xml:space="preserve">رحلة الشكوى: من الرصد إلى الإحالة</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9</w:t>
            </w:r>
          </w:p>
        </w:tc>
        <w:tc>
          <w:tcPr/>
          <w:p>
            <w:pPr>
              <w:pStyle w:val="Compact"/>
              <w:bidi/>
              <w:jc w:val="right"/>
            </w:pPr>
            <w:r>
              <w:rPr>
                <w:rFonts w:ascii="Dubai" w:hAnsi="Dubai" w:cs="Dubai" w:eastAsia="Dubai"/>
                <w:color w:val="1A171C"/>
                <w:sz w:val="22"/>
                <w:rtl/>
                <w:szCs w:val="22"/>
              </w:rPr>
              <w:t xml:space="preserve">6 د</w:t>
            </w:r>
          </w:p>
        </w:tc>
      </w:tr>
      <w:tr>
        <w:tc>
          <w:tcPr/>
          <w:p>
            <w:pPr>
              <w:pStyle w:val="Compact"/>
              <w:bidi/>
              <w:jc w:val="right"/>
            </w:pPr>
            <w:r>
              <w:rPr>
                <w:rFonts w:ascii="Dubai" w:hAnsi="Dubai" w:cs="Dubai" w:eastAsia="Dubai"/>
                <w:color w:val="1A171C"/>
                <w:sz w:val="22"/>
                <w:rtl/>
                <w:szCs w:val="22"/>
              </w:rPr>
              <w:t xml:space="preserve">4</w:t>
            </w:r>
          </w:p>
        </w:tc>
        <w:tc>
          <w:tcPr/>
          <w:p>
            <w:pPr>
              <w:pStyle w:val="Compact"/>
              <w:bidi/>
              <w:jc w:val="right"/>
            </w:pPr>
            <w:r>
              <w:rPr>
                <w:rFonts w:ascii="Dubai" w:hAnsi="Dubai" w:cs="Dubai" w:eastAsia="Dubai"/>
                <w:color w:val="1A171C"/>
                <w:sz w:val="22"/>
                <w:rtl/>
                <w:szCs w:val="22"/>
              </w:rPr>
              <w:t xml:space="preserve">لجنة السلوك المهني ولجنة التظلمات</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9</w:t>
            </w:r>
          </w:p>
        </w:tc>
        <w:tc>
          <w:tcPr/>
          <w:p>
            <w:pPr>
              <w:pStyle w:val="Compact"/>
              <w:bidi/>
              <w:jc w:val="right"/>
            </w:pPr>
            <w:r>
              <w:rPr>
                <w:rFonts w:ascii="Dubai" w:hAnsi="Dubai" w:cs="Dubai" w:eastAsia="Dubai"/>
                <w:color w:val="1A171C"/>
                <w:sz w:val="22"/>
                <w:rtl/>
                <w:szCs w:val="22"/>
              </w:rPr>
              <w:t xml:space="preserve">6 د</w:t>
            </w:r>
          </w:p>
        </w:tc>
      </w:tr>
      <w:tr>
        <w:tc>
          <w:tcPr/>
          <w:p>
            <w:pPr>
              <w:pStyle w:val="Compact"/>
              <w:bidi/>
              <w:jc w:val="right"/>
            </w:pPr>
            <w:r>
              <w:rPr>
                <w:rFonts w:ascii="Dubai" w:hAnsi="Dubai" w:cs="Dubai" w:eastAsia="Dubai"/>
                <w:color w:val="1A171C"/>
                <w:sz w:val="22"/>
                <w:rtl/>
                <w:szCs w:val="22"/>
              </w:rPr>
              <w:t xml:space="preserve">5</w:t>
            </w:r>
          </w:p>
        </w:tc>
        <w:tc>
          <w:tcPr/>
          <w:p>
            <w:pPr>
              <w:pStyle w:val="Compact"/>
              <w:bidi/>
              <w:jc w:val="right"/>
            </w:pPr>
            <w:r>
              <w:rPr>
                <w:rFonts w:ascii="Dubai" w:hAnsi="Dubai" w:cs="Dubai" w:eastAsia="Dubai"/>
                <w:color w:val="1A171C"/>
                <w:sz w:val="22"/>
                <w:rtl/>
                <w:szCs w:val="22"/>
              </w:rPr>
              <w:t xml:space="preserve">الطبيعة القانونية للقرارات التأديبية</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7</w:t>
            </w:r>
          </w:p>
        </w:tc>
        <w:tc>
          <w:tcPr/>
          <w:p>
            <w:pPr>
              <w:pStyle w:val="Compact"/>
              <w:bidi/>
              <w:jc w:val="right"/>
            </w:pPr>
            <w:r>
              <w:rPr>
                <w:rFonts w:ascii="Dubai" w:hAnsi="Dubai" w:cs="Dubai" w:eastAsia="Dubai"/>
                <w:color w:val="1A171C"/>
                <w:sz w:val="22"/>
                <w:rtl/>
                <w:szCs w:val="22"/>
              </w:rPr>
              <w:t xml:space="preserve">4 د</w:t>
            </w:r>
          </w:p>
        </w:tc>
      </w:tr>
      <w:tr>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bCs/>
                <w:b/>
                <w:szCs w:val="22"/>
              </w:rPr>
              <w:t xml:space="preserve">القسم الثالث: المحور الثاني — المسؤولية التأديبية (الموضوع)</w:t>
            </w:r>
          </w:p>
        </w:tc>
        <w:tc>
          <w:tcPr/>
          <w:p>
            <w:pPr>
              <w:pStyle w:val="Compact"/>
              <w:bidi/>
              <w:jc w:val="right"/>
            </w:pPr>
            <w:r>
              <w:rPr>
                <w:rFonts w:ascii="Dubai" w:hAnsi="Dubai" w:cs="Dubai" w:eastAsia="Dubai"/>
                <w:color w:val="1A171C"/>
                <w:sz w:val="22"/>
                <w:rtl/>
                <w:szCs w:val="22"/>
              </w:rPr>
              <w:t xml:space="preserve">قسم</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w:t>
            </w:r>
          </w:p>
        </w:tc>
      </w:tr>
      <w:tr>
        <w:tc>
          <w:tcPr/>
          <w:p>
            <w:pPr>
              <w:pStyle w:val="Compact"/>
              <w:bidi/>
              <w:jc w:val="right"/>
            </w:pPr>
            <w:r>
              <w:rPr>
                <w:rFonts w:ascii="Dubai" w:hAnsi="Dubai" w:cs="Dubai" w:eastAsia="Dubai"/>
                <w:color w:val="1A171C"/>
                <w:sz w:val="22"/>
                <w:rtl/>
                <w:szCs w:val="22"/>
              </w:rPr>
              <w:t xml:space="preserve">6</w:t>
            </w:r>
          </w:p>
        </w:tc>
        <w:tc>
          <w:tcPr/>
          <w:p>
            <w:pPr>
              <w:pStyle w:val="Compact"/>
              <w:bidi/>
              <w:jc w:val="right"/>
            </w:pPr>
            <w:r>
              <w:rPr>
                <w:rFonts w:ascii="Dubai" w:hAnsi="Dubai" w:cs="Dubai" w:eastAsia="Dubai"/>
                <w:color w:val="1A171C"/>
                <w:sz w:val="22"/>
                <w:rtl/>
                <w:szCs w:val="22"/>
              </w:rPr>
              <w:t xml:space="preserve">المسؤولية التأديبية وما يميّزها</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9</w:t>
            </w:r>
          </w:p>
        </w:tc>
        <w:tc>
          <w:tcPr/>
          <w:p>
            <w:pPr>
              <w:pStyle w:val="Compact"/>
              <w:bidi/>
              <w:jc w:val="right"/>
            </w:pPr>
            <w:r>
              <w:rPr>
                <w:rFonts w:ascii="Dubai" w:hAnsi="Dubai" w:cs="Dubai" w:eastAsia="Dubai"/>
                <w:color w:val="1A171C"/>
                <w:sz w:val="22"/>
                <w:rtl/>
                <w:szCs w:val="22"/>
              </w:rPr>
              <w:t xml:space="preserve">6 د</w:t>
            </w:r>
          </w:p>
        </w:tc>
      </w:tr>
      <w:tr>
        <w:tc>
          <w:tcPr/>
          <w:p>
            <w:pPr>
              <w:pStyle w:val="Compact"/>
              <w:bidi/>
              <w:jc w:val="right"/>
            </w:pPr>
            <w:r>
              <w:rPr>
                <w:rFonts w:ascii="Dubai" w:hAnsi="Dubai" w:cs="Dubai" w:eastAsia="Dubai"/>
                <w:color w:val="1A171C"/>
                <w:sz w:val="22"/>
                <w:rtl/>
                <w:szCs w:val="22"/>
              </w:rPr>
              <w:t xml:space="preserve">7</w:t>
            </w:r>
          </w:p>
        </w:tc>
        <w:tc>
          <w:tcPr/>
          <w:p>
            <w:pPr>
              <w:pStyle w:val="Compact"/>
              <w:bidi/>
              <w:jc w:val="right"/>
            </w:pPr>
            <w:r>
              <w:rPr>
                <w:rFonts w:ascii="Dubai" w:hAnsi="Dubai" w:cs="Dubai" w:eastAsia="Dubai"/>
                <w:color w:val="1A171C"/>
                <w:sz w:val="22"/>
                <w:rtl/>
                <w:szCs w:val="22"/>
              </w:rPr>
              <w:t xml:space="preserve">مصادر الالتزامات والسريان الزماني</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7</w:t>
            </w:r>
          </w:p>
        </w:tc>
        <w:tc>
          <w:tcPr/>
          <w:p>
            <w:pPr>
              <w:pStyle w:val="Compact"/>
              <w:bidi/>
              <w:jc w:val="right"/>
            </w:pPr>
            <w:r>
              <w:rPr>
                <w:rFonts w:ascii="Dubai" w:hAnsi="Dubai" w:cs="Dubai" w:eastAsia="Dubai"/>
                <w:color w:val="1A171C"/>
                <w:sz w:val="22"/>
                <w:rtl/>
                <w:szCs w:val="22"/>
              </w:rPr>
              <w:t xml:space="preserve">4 د</w:t>
            </w:r>
          </w:p>
        </w:tc>
      </w:tr>
      <w:tr>
        <w:tc>
          <w:tcPr/>
          <w:p>
            <w:pPr>
              <w:pStyle w:val="Compact"/>
              <w:bidi/>
              <w:jc w:val="right"/>
            </w:pPr>
            <w:r>
              <w:rPr>
                <w:rFonts w:ascii="Dubai" w:hAnsi="Dubai" w:cs="Dubai" w:eastAsia="Dubai"/>
                <w:color w:val="1A171C"/>
                <w:sz w:val="22"/>
                <w:rtl/>
                <w:szCs w:val="22"/>
              </w:rPr>
              <w:t xml:space="preserve">8</w:t>
            </w:r>
          </w:p>
        </w:tc>
        <w:tc>
          <w:tcPr/>
          <w:p>
            <w:pPr>
              <w:pStyle w:val="Compact"/>
              <w:bidi/>
              <w:jc w:val="right"/>
            </w:pPr>
            <w:r>
              <w:rPr>
                <w:rFonts w:ascii="Dubai" w:hAnsi="Dubai" w:cs="Dubai" w:eastAsia="Dubai"/>
                <w:color w:val="1A171C"/>
                <w:sz w:val="22"/>
                <w:rtl/>
                <w:szCs w:val="22"/>
              </w:rPr>
              <w:t xml:space="preserve">مخالفات شائعة (1): العلاقة مع العملاء</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8</w:t>
            </w:r>
          </w:p>
        </w:tc>
        <w:tc>
          <w:tcPr/>
          <w:p>
            <w:pPr>
              <w:pStyle w:val="Compact"/>
              <w:bidi/>
              <w:jc w:val="right"/>
            </w:pPr>
            <w:r>
              <w:rPr>
                <w:rFonts w:ascii="Dubai" w:hAnsi="Dubai" w:cs="Dubai" w:eastAsia="Dubai"/>
                <w:color w:val="1A171C"/>
                <w:sz w:val="22"/>
                <w:rtl/>
                <w:szCs w:val="22"/>
              </w:rPr>
              <w:t xml:space="preserve">6 د</w:t>
            </w:r>
          </w:p>
        </w:tc>
      </w:tr>
      <w:tr>
        <w:tc>
          <w:tcPr/>
          <w:p>
            <w:pPr>
              <w:pStyle w:val="Compact"/>
              <w:bidi/>
              <w:jc w:val="right"/>
            </w:pPr>
            <w:r>
              <w:rPr>
                <w:rFonts w:ascii="Dubai" w:hAnsi="Dubai" w:cs="Dubai" w:eastAsia="Dubai"/>
                <w:color w:val="1A171C"/>
                <w:sz w:val="22"/>
                <w:rtl/>
                <w:szCs w:val="22"/>
              </w:rPr>
              <w:t xml:space="preserve">9</w:t>
            </w:r>
          </w:p>
        </w:tc>
        <w:tc>
          <w:tcPr/>
          <w:p>
            <w:pPr>
              <w:pStyle w:val="Compact"/>
              <w:bidi/>
              <w:jc w:val="right"/>
            </w:pPr>
            <w:r>
              <w:rPr>
                <w:rFonts w:ascii="Dubai" w:hAnsi="Dubai" w:cs="Dubai" w:eastAsia="Dubai"/>
                <w:color w:val="1A171C"/>
                <w:sz w:val="22"/>
                <w:rtl/>
                <w:szCs w:val="22"/>
              </w:rPr>
              <w:t xml:space="preserve">مخالفات شائعة (2): القضاء والزملاء</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6</w:t>
            </w:r>
          </w:p>
        </w:tc>
        <w:tc>
          <w:tcPr/>
          <w:p>
            <w:pPr>
              <w:pStyle w:val="Compact"/>
              <w:bidi/>
              <w:jc w:val="right"/>
            </w:pPr>
            <w:r>
              <w:rPr>
                <w:rFonts w:ascii="Dubai" w:hAnsi="Dubai" w:cs="Dubai" w:eastAsia="Dubai"/>
                <w:color w:val="1A171C"/>
                <w:sz w:val="22"/>
                <w:rtl/>
                <w:szCs w:val="22"/>
              </w:rPr>
              <w:t xml:space="preserve">4 د</w:t>
            </w:r>
          </w:p>
        </w:tc>
      </w:tr>
      <w:tr>
        <w:tc>
          <w:tcPr/>
          <w:p>
            <w:pPr>
              <w:pStyle w:val="Compact"/>
              <w:bidi/>
              <w:jc w:val="right"/>
            </w:pPr>
            <w:r>
              <w:rPr>
                <w:rFonts w:ascii="Dubai" w:hAnsi="Dubai" w:cs="Dubai" w:eastAsia="Dubai"/>
                <w:color w:val="1A171C"/>
                <w:sz w:val="22"/>
                <w:rtl/>
                <w:szCs w:val="22"/>
              </w:rPr>
              <w:t xml:space="preserve">10</w:t>
            </w:r>
          </w:p>
        </w:tc>
        <w:tc>
          <w:tcPr/>
          <w:p>
            <w:pPr>
              <w:pStyle w:val="Compact"/>
              <w:bidi/>
              <w:jc w:val="right"/>
            </w:pPr>
            <w:r>
              <w:rPr>
                <w:rFonts w:ascii="Dubai" w:hAnsi="Dubai" w:cs="Dubai" w:eastAsia="Dubai"/>
                <w:color w:val="1A171C"/>
                <w:sz w:val="22"/>
                <w:rtl/>
                <w:szCs w:val="22"/>
              </w:rPr>
              <w:t xml:space="preserve">مخالفات شائعة (3): المكتب المرخّص والالتزامات العامة</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7</w:t>
            </w:r>
          </w:p>
        </w:tc>
        <w:tc>
          <w:tcPr/>
          <w:p>
            <w:pPr>
              <w:pStyle w:val="Compact"/>
              <w:bidi/>
              <w:jc w:val="right"/>
            </w:pPr>
            <w:r>
              <w:rPr>
                <w:rFonts w:ascii="Dubai" w:hAnsi="Dubai" w:cs="Dubai" w:eastAsia="Dubai"/>
                <w:color w:val="1A171C"/>
                <w:sz w:val="22"/>
                <w:rtl/>
                <w:szCs w:val="22"/>
              </w:rPr>
              <w:t xml:space="preserve">5 د</w:t>
            </w:r>
          </w:p>
        </w:tc>
      </w:tr>
      <w:tr>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bCs/>
                <w:b/>
                <w:szCs w:val="22"/>
              </w:rPr>
              <w:t xml:space="preserve">القسم الرابع: التطبيق والختام</w:t>
            </w:r>
          </w:p>
        </w:tc>
        <w:tc>
          <w:tcPr/>
          <w:p>
            <w:pPr>
              <w:pStyle w:val="Compact"/>
              <w:bidi/>
              <w:jc w:val="right"/>
            </w:pPr>
            <w:r>
              <w:rPr>
                <w:rFonts w:ascii="Dubai" w:hAnsi="Dubai" w:cs="Dubai" w:eastAsia="Dubai"/>
                <w:color w:val="1A171C"/>
                <w:sz w:val="22"/>
                <w:rtl/>
                <w:szCs w:val="22"/>
              </w:rPr>
              <w:t xml:space="preserve">قسم</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w:t>
            </w:r>
          </w:p>
        </w:tc>
      </w:tr>
      <w:tr>
        <w:tc>
          <w:tcPr/>
          <w:p>
            <w:pPr>
              <w:pStyle w:val="Compact"/>
              <w:bidi/>
              <w:jc w:val="right"/>
            </w:pPr>
            <w:r>
              <w:rPr>
                <w:rFonts w:ascii="Dubai" w:hAnsi="Dubai" w:cs="Dubai" w:eastAsia="Dubai"/>
                <w:color w:val="1A171C"/>
                <w:sz w:val="22"/>
                <w:rtl/>
                <w:szCs w:val="22"/>
              </w:rPr>
              <w:t xml:space="preserve">11</w:t>
            </w:r>
          </w:p>
        </w:tc>
        <w:tc>
          <w:tcPr/>
          <w:p>
            <w:pPr>
              <w:pStyle w:val="Compact"/>
              <w:bidi/>
              <w:jc w:val="right"/>
            </w:pPr>
            <w:r>
              <w:rPr>
                <w:rFonts w:ascii="Dubai" w:hAnsi="Dubai" w:cs="Dubai" w:eastAsia="Dubai"/>
                <w:color w:val="1A171C"/>
                <w:sz w:val="22"/>
                <w:rtl/>
                <w:szCs w:val="22"/>
              </w:rPr>
              <w:t xml:space="preserve">طبّق: حالة المستشار سالم</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8</w:t>
            </w:r>
          </w:p>
        </w:tc>
        <w:tc>
          <w:tcPr/>
          <w:p>
            <w:pPr>
              <w:pStyle w:val="Compact"/>
              <w:bidi/>
              <w:jc w:val="right"/>
            </w:pPr>
            <w:r>
              <w:rPr>
                <w:rFonts w:ascii="Dubai" w:hAnsi="Dubai" w:cs="Dubai" w:eastAsia="Dubai"/>
                <w:color w:val="1A171C"/>
                <w:sz w:val="22"/>
                <w:rtl/>
                <w:szCs w:val="22"/>
              </w:rPr>
              <w:t xml:space="preserve">5 د</w:t>
            </w:r>
          </w:p>
        </w:tc>
      </w:tr>
      <w:tr>
        <w:tc>
          <w:tcPr/>
          <w:p>
            <w:pPr>
              <w:pStyle w:val="Compact"/>
              <w:bidi/>
              <w:jc w:val="right"/>
            </w:pPr>
            <w:r>
              <w:rPr>
                <w:rFonts w:ascii="Dubai" w:hAnsi="Dubai" w:cs="Dubai" w:eastAsia="Dubai"/>
                <w:color w:val="1A171C"/>
                <w:sz w:val="22"/>
                <w:rtl/>
                <w:szCs w:val="22"/>
              </w:rPr>
              <w:t xml:space="preserve">12</w:t>
            </w:r>
          </w:p>
        </w:tc>
        <w:tc>
          <w:tcPr/>
          <w:p>
            <w:pPr>
              <w:pStyle w:val="Compact"/>
              <w:bidi/>
              <w:jc w:val="right"/>
            </w:pPr>
            <w:r>
              <w:rPr>
                <w:rFonts w:ascii="Dubai" w:hAnsi="Dubai" w:cs="Dubai" w:eastAsia="Dubai"/>
                <w:color w:val="1A171C"/>
                <w:sz w:val="22"/>
                <w:rtl/>
                <w:szCs w:val="22"/>
              </w:rPr>
              <w:t xml:space="preserve">الخلاصة والتزامك المهني</w:t>
            </w:r>
          </w:p>
        </w:tc>
        <w:tc>
          <w:tcPr/>
          <w:p>
            <w:pPr>
              <w:pStyle w:val="Compact"/>
              <w:bidi/>
              <w:jc w:val="right"/>
            </w:pPr>
            <w:r>
              <w:rPr>
                <w:rFonts w:ascii="Dubai" w:hAnsi="Dubai" w:cs="Dubai" w:eastAsia="Dubai"/>
                <w:color w:val="1A171C"/>
                <w:sz w:val="22"/>
                <w:rtl/>
                <w:szCs w:val="22"/>
              </w:rPr>
              <w:t xml:space="preserve">درس</w:t>
            </w:r>
          </w:p>
        </w:tc>
        <w:tc>
          <w:tcPr/>
          <w:p>
            <w:pPr>
              <w:pStyle w:val="Compact"/>
              <w:bidi/>
              <w:jc w:val="right"/>
            </w:pPr>
            <w:r>
              <w:rPr>
                <w:rFonts w:ascii="Dubai" w:hAnsi="Dubai" w:cs="Dubai" w:eastAsia="Dubai"/>
                <w:color w:val="1A171C"/>
                <w:sz w:val="22"/>
                <w:rtl/>
                <w:szCs w:val="22"/>
              </w:rPr>
              <w:t xml:space="preserve">6</w:t>
            </w:r>
          </w:p>
        </w:tc>
        <w:tc>
          <w:tcPr/>
          <w:p>
            <w:pPr>
              <w:pStyle w:val="Compact"/>
              <w:bidi/>
              <w:jc w:val="right"/>
            </w:pPr>
            <w:r>
              <w:rPr>
                <w:rFonts w:ascii="Dubai" w:hAnsi="Dubai" w:cs="Dubai" w:eastAsia="Dubai"/>
                <w:color w:val="1A171C"/>
                <w:sz w:val="22"/>
                <w:rtl/>
                <w:szCs w:val="22"/>
              </w:rPr>
              <w:t xml:space="preserve">3 د</w:t>
            </w:r>
          </w:p>
        </w:tc>
      </w:tr>
      <w:tr>
        <w:tc>
          <w:tcPr/>
          <w:p>
            <w:pPr>
              <w:pStyle w:val="Compact"/>
              <w:bidi/>
              <w:jc w:val="right"/>
            </w:pPr>
            <w:r>
              <w:rPr>
                <w:rFonts w:ascii="Dubai" w:hAnsi="Dubai" w:cs="Dubai" w:eastAsia="Dubai"/>
                <w:color w:val="1A171C"/>
                <w:sz w:val="22"/>
                <w:rtl/>
                <w:szCs w:val="22"/>
              </w:rPr>
              <w:t xml:space="preserve">13</w:t>
            </w:r>
          </w:p>
        </w:tc>
        <w:tc>
          <w:tcPr/>
          <w:p>
            <w:pPr>
              <w:pStyle w:val="Compact"/>
              <w:bidi/>
              <w:jc w:val="right"/>
            </w:pPr>
            <w:r>
              <w:rPr>
                <w:rFonts w:ascii="Dubai" w:hAnsi="Dubai" w:cs="Dubai" w:eastAsia="Dubai"/>
                <w:color w:val="1A171C"/>
                <w:sz w:val="22"/>
                <w:rtl/>
                <w:szCs w:val="22"/>
              </w:rPr>
              <w:t xml:space="preserve">الاختبار النهائي</w:t>
            </w:r>
          </w:p>
        </w:tc>
        <w:tc>
          <w:tcPr/>
          <w:p>
            <w:pPr>
              <w:pStyle w:val="Compact"/>
              <w:bidi/>
              <w:jc w:val="right"/>
            </w:pPr>
            <w:r>
              <w:rPr>
                <w:rFonts w:ascii="Dubai" w:hAnsi="Dubai" w:cs="Dubai" w:eastAsia="Dubai"/>
                <w:color w:val="1A171C"/>
                <w:sz w:val="22"/>
                <w:rtl/>
                <w:szCs w:val="22"/>
              </w:rPr>
              <w:t xml:space="preserve">اختبار</w:t>
            </w:r>
          </w:p>
        </w:tc>
        <w:tc>
          <w:tcPr/>
          <w:p>
            <w:pPr>
              <w:pStyle w:val="Compact"/>
              <w:bidi/>
              <w:jc w:val="right"/>
            </w:pPr>
            <w:r>
              <w:rPr>
                <w:rFonts w:ascii="Dubai" w:hAnsi="Dubai" w:cs="Dubai" w:eastAsia="Dubai"/>
                <w:color w:val="1A171C"/>
                <w:sz w:val="22"/>
                <w:rtl/>
                <w:szCs w:val="22"/>
              </w:rPr>
              <w:t xml:space="preserve">10 أسئلة</w:t>
            </w:r>
          </w:p>
        </w:tc>
        <w:tc>
          <w:tcPr/>
          <w:p>
            <w:pPr>
              <w:pStyle w:val="Compact"/>
              <w:bidi/>
              <w:jc w:val="right"/>
            </w:pPr>
            <w:r>
              <w:rPr>
                <w:rFonts w:ascii="Dubai" w:hAnsi="Dubai" w:cs="Dubai" w:eastAsia="Dubai"/>
                <w:color w:val="1A171C"/>
                <w:sz w:val="22"/>
                <w:rtl/>
                <w:szCs w:val="22"/>
              </w:rPr>
              <w:t xml:space="preserve">8 د</w:t>
            </w:r>
          </w:p>
        </w:tc>
      </w:tr>
    </w:tbl>
    <w:p>
      <w:pPr>
        <w:pStyle w:val="BlockText"/>
        <w:bidi/>
        <w:jc w:val="both"/>
      </w:pPr>
      <w:r>
        <w:rPr>
          <w:rFonts w:ascii="Dubai" w:hAnsi="Dubai" w:cs="Dubai" w:eastAsia="Dubai"/>
          <w:color w:val="1A171C"/>
          <w:sz w:val="24"/>
          <w:rtl/>
          <w:bCs/>
          <w:b/>
          <w:szCs w:val="24"/>
        </w:rPr>
        <w:t xml:space="preserve">تعليمات الاستيراد:</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كل عنوان من المستوى الأول أدناه يمثّل درسًا مستقلًا في Rise. العناوين من المستوى الثاني تمثّل الكتل داخل الدرس، ويرد نوع الكتلة بين قوسين معقوفين، مثل</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[تفاعلي › أكورديون]</w:t>
      </w:r>
      <w:r>
        <w:rPr>
          <w:rFonts w:ascii="Dubai" w:hAnsi="Dubai" w:cs="Dubai" w:eastAsia="Dubai"/>
          <w:color w:val="1A171C"/>
          <w:sz w:val="24"/>
          <w:rtl/>
          <w:szCs w:val="24"/>
        </w:rPr>
        <w:t xml:space="preserve">. أسئلة «تحقق من فهمك» كتل غير محتسبة داخل الدروس، أما الدرس 13 فهو درس اختبار (Quiz) محتسب.</w:t>
      </w:r>
    </w:p>
    <w:bookmarkEnd w:id="21"/>
    <w:bookmarkEnd w:id="22"/>
    <w:bookmarkStart w:id="30" w:name="الدرس-1-مرحبا-لماذا-يعنيك-التأديب"/>
    <w:p>
      <w:pPr>
        <w:pStyle w:val="Heading1"/>
        <w:bidi/>
        <w:jc w:val="right"/>
      </w:pPr>
      <w:r>
        <w:rPr>
          <w:rFonts w:ascii="Dubai" w:hAnsi="Dubai" w:cs="Dubai" w:eastAsia="Dubai"/>
          <w:b/>
          <w:bCs/>
          <w:color w:val="1A171C"/>
          <w:sz w:val="40"/>
          <w:rtl/>
          <w:szCs w:val="40"/>
        </w:rPr>
        <w:t xml:space="preserve">الدرس 1: مرحبًا — لماذا يعنيك التأديب؟</w:t>
      </w:r>
    </w:p>
    <w:bookmarkStart w:id="23" w:name="نص-عنوان-وفقرة-قبل-أن-تبدأ"/>
    <w:p>
      <w:pPr>
        <w:pStyle w:val="Heading2"/>
        <w:bidi/>
        <w:jc w:val="right"/>
      </w:pPr>
      <w:r>
        <w:rPr>
          <w:rFonts w:ascii="Dubai" w:hAnsi="Dubai" w:cs="Dubai" w:eastAsia="Dubai"/>
          <w:b/>
          <w:bCs/>
          <w:color w:val="9C771F"/>
          <w:sz w:val="30"/>
          <w:rtl/>
          <w:szCs w:val="30"/>
        </w:rPr>
        <w:t xml:space="preserve">[نص › عنوان وفقرة] قبل أن تبدأ</w:t>
      </w:r>
    </w:p>
    <w:p>
      <w:pPr>
        <w:bidi/>
        <w:jc w:val="both"/>
      </w:pPr>
      <w:r>
        <w:rPr>
          <w:rFonts w:ascii="Dubai" w:hAnsi="Dubai" w:cs="Dubai" w:eastAsia="Dubai"/>
          <w:color w:val="1A171C"/>
          <w:sz w:val="24"/>
          <w:rtl/>
          <w:szCs w:val="24"/>
        </w:rPr>
        <w:t xml:space="preserve">تخيّل أنك مستشار قانوني مستقل، صاغ عقدًا عقاريًا لعميل قبل ستة أشهر. اليوم تصلك رسالة من إدارة شؤون المحامين والمستشارين القانونيين: «وردت شكوى بحقك، ويُطلب ردّك الخطي خلال المدة المحددة».</w:t>
      </w:r>
    </w:p>
    <w:p>
      <w:pPr>
        <w:bidi/>
        <w:jc w:val="both"/>
      </w:pPr>
      <w:r>
        <w:rPr>
          <w:rFonts w:ascii="Dubai" w:hAnsi="Dubai" w:cs="Dubai" w:eastAsia="Dubai"/>
          <w:color w:val="1A171C"/>
          <w:sz w:val="24"/>
          <w:rtl/>
          <w:szCs w:val="24"/>
        </w:rPr>
        <w:t xml:space="preserve">ما الذي سيحدث بعد ذلك؟ من سينظر الشكوى؟ وهل تنتهي إذا تصالحت مع العميل؟ وما الجزاءات المحتملة؟</w:t>
      </w:r>
    </w:p>
    <w:p>
      <w:pPr>
        <w:bidi/>
        <w:jc w:val="both"/>
      </w:pPr>
      <w:r>
        <w:rPr>
          <w:rFonts w:ascii="Dubai" w:hAnsi="Dubai" w:cs="Dubai" w:eastAsia="Dubai"/>
          <w:color w:val="1A171C"/>
          <w:sz w:val="24"/>
          <w:rtl/>
          <w:szCs w:val="24"/>
        </w:rPr>
        <w:t xml:space="preserve">هذا المقرر يجيب عن هذه الأسئلة، ويمنحك ما تحتاجه لتمارس مهنتك بثقة، وتتجنّب المخالفات قبل وقوعها.</w:t>
      </w:r>
    </w:p>
    <w:bookmarkEnd w:id="23"/>
    <w:bookmarkStart w:id="24" w:name="X23b0eaba2c6c1aa73a565b2bb5010a5dfd67acf"/>
    <w:p>
      <w:pPr>
        <w:pStyle w:val="Heading2"/>
        <w:bidi/>
        <w:jc w:val="right"/>
      </w:pPr>
      <w:r>
        <w:rPr>
          <w:rFonts w:ascii="Dubai" w:hAnsi="Dubai" w:cs="Dubai" w:eastAsia="Dubai"/>
          <w:b/>
          <w:bCs/>
          <w:color w:val="9C771F"/>
          <w:sz w:val="30"/>
          <w:rtl/>
          <w:szCs w:val="30"/>
        </w:rPr>
        <w:t xml:space="preserve">[تفاعلي › أكورديون] المستشار القانوني المستقل في سطور</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العنوان</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ما هو مشروع المستشار القانوني المستقل؟</w:t>
            </w:r>
          </w:p>
        </w:tc>
        <w:tc>
          <w:tcPr/>
          <w:p>
            <w:pPr>
              <w:pStyle w:val="Compact"/>
              <w:bidi/>
              <w:jc w:val="right"/>
            </w:pPr>
            <w:r>
              <w:rPr>
                <w:rFonts w:ascii="Dubai" w:hAnsi="Dubai" w:cs="Dubai" w:eastAsia="Dubai"/>
                <w:color w:val="1A171C"/>
                <w:sz w:val="22"/>
                <w:rtl/>
                <w:szCs w:val="22"/>
              </w:rPr>
              <w:t xml:space="preserve">مبادرة أطلقتها حكومة دبي لتمكين المواطنين الإماراتيين من تقديم الخدمات القانونية بدوام مرن داخل الإمارة، دون الحاجة إلى الشكل التقليدي لمكاتب المحاماة والاستشارات القانونية وما يرافقه من أعباء مالية وإدارية، بما يسهم في إتاحة الخدمات القانونية للمواطنين والمقيمين بتعرفة مناسبة.</w:t>
            </w:r>
          </w:p>
        </w:tc>
      </w:tr>
      <w:tr>
        <w:tc>
          <w:tcPr/>
          <w:p>
            <w:pPr>
              <w:pStyle w:val="Compact"/>
              <w:bidi/>
              <w:jc w:val="right"/>
            </w:pPr>
            <w:r>
              <w:rPr>
                <w:rFonts w:ascii="Dubai" w:hAnsi="Dubai" w:cs="Dubai" w:eastAsia="Dubai"/>
                <w:color w:val="1A171C"/>
                <w:sz w:val="22"/>
                <w:rtl/>
                <w:szCs w:val="22"/>
              </w:rPr>
              <w:t xml:space="preserve">ما المصرّح لك به؟</w:t>
            </w:r>
          </w:p>
        </w:tc>
        <w:tc>
          <w:tcPr/>
          <w:p>
            <w:pPr>
              <w:pStyle w:val="Compact"/>
              <w:bidi/>
              <w:jc w:val="right"/>
            </w:pPr>
            <w:r>
              <w:rPr>
                <w:rFonts w:ascii="Dubai" w:hAnsi="Dubai" w:cs="Dubai" w:eastAsia="Dubai"/>
                <w:color w:val="1A171C"/>
                <w:sz w:val="22"/>
                <w:rtl/>
                <w:szCs w:val="22"/>
              </w:rPr>
              <w:t xml:space="preserve">تقديم الاستشارات القانونية في فروع محددة، وهي حاليًا الأحوال الشخصية والقوانين العقارية. ويشمل ذلك — دون حصر — إبداء الرأي القانوني للعملاء، وصياغة العقود ومراجعتها، ومراجعة المذكرات القانونية.</w:t>
            </w:r>
          </w:p>
        </w:tc>
      </w:tr>
      <w:tr>
        <w:tc>
          <w:tcPr/>
          <w:p>
            <w:pPr>
              <w:pStyle w:val="Compact"/>
              <w:bidi/>
              <w:jc w:val="right"/>
            </w:pPr>
            <w:r>
              <w:rPr>
                <w:rFonts w:ascii="Dubai" w:hAnsi="Dubai" w:cs="Dubai" w:eastAsia="Dubai"/>
                <w:color w:val="1A171C"/>
                <w:sz w:val="22"/>
                <w:rtl/>
                <w:szCs w:val="22"/>
              </w:rPr>
              <w:t xml:space="preserve">ما الذي يخرج عن صلاحياتك؟</w:t>
            </w:r>
          </w:p>
        </w:tc>
        <w:tc>
          <w:tcPr/>
          <w:p>
            <w:pPr>
              <w:pStyle w:val="Compact"/>
              <w:bidi/>
              <w:jc w:val="right"/>
            </w:pPr>
            <w:r>
              <w:rPr>
                <w:rFonts w:ascii="Dubai" w:hAnsi="Dubai" w:cs="Dubai" w:eastAsia="Dubai"/>
                <w:color w:val="1A171C"/>
                <w:sz w:val="22"/>
                <w:rtl/>
                <w:szCs w:val="22"/>
              </w:rPr>
              <w:t xml:space="preserve">المرافعة أمام محاكم دبي والجهات القضائية الأخرى في الإمارة، بما فيها المناطق الحرة ومحاكم مركز دبي المالي العالمي، سواء كانت ادعاءً أو دفاعًا، شفويًا أو مكتوبًا؛ فالمرافعة شأن لصيق بمهنة المحاماة وحدها. ويمتنع عليك كذلك تقديم أي خدمة خارج فروع القانون المحددة في تصريحك.</w:t>
            </w:r>
          </w:p>
        </w:tc>
      </w:tr>
      <w:tr>
        <w:tc>
          <w:tcPr/>
          <w:p>
            <w:pPr>
              <w:pStyle w:val="Compact"/>
              <w:bidi/>
              <w:jc w:val="right"/>
            </w:pPr>
            <w:r>
              <w:rPr>
                <w:rFonts w:ascii="Dubai" w:hAnsi="Dubai" w:cs="Dubai" w:eastAsia="Dubai"/>
                <w:color w:val="1A171C"/>
                <w:sz w:val="22"/>
                <w:rtl/>
                <w:szCs w:val="22"/>
              </w:rPr>
              <w:t xml:space="preserve">ما متطلبات التصريح؟</w:t>
            </w:r>
          </w:p>
        </w:tc>
        <w:tc>
          <w:tcPr/>
          <w:p>
            <w:pPr>
              <w:pStyle w:val="Compact"/>
              <w:bidi/>
              <w:jc w:val="right"/>
            </w:pPr>
            <w:r>
              <w:rPr>
                <w:rFonts w:ascii="Dubai" w:hAnsi="Dubai" w:cs="Dubai" w:eastAsia="Dubai"/>
                <w:color w:val="1A171C"/>
                <w:sz w:val="22"/>
                <w:rtl/>
                <w:szCs w:val="22"/>
              </w:rPr>
              <w:t xml:space="preserve">خبرة عملية في المجال القانوني لا تقل عن عامين، واجتياز التقييمات والاختبارات التأهيلية في التخصصات القانونية المحددة.</w:t>
            </w:r>
          </w:p>
        </w:tc>
      </w:tr>
    </w:tbl>
    <w:bookmarkEnd w:id="24"/>
    <w:bookmarkStart w:id="25" w:name="قائمة-مرقمة-ماذا-ستتعلم-في-هذا-المقرر"/>
    <w:p>
      <w:pPr>
        <w:pStyle w:val="Heading2"/>
        <w:bidi/>
        <w:jc w:val="right"/>
      </w:pPr>
      <w:r>
        <w:rPr>
          <w:rFonts w:ascii="Dubai" w:hAnsi="Dubai" w:cs="Dubai" w:eastAsia="Dubai"/>
          <w:b/>
          <w:bCs/>
          <w:color w:val="9C771F"/>
          <w:sz w:val="30"/>
          <w:rtl/>
          <w:szCs w:val="30"/>
        </w:rPr>
        <w:t xml:space="preserve">[قائمة › مرقّمة] ماذا ستتعلّم في هذا المقرر؟</w:t>
      </w:r>
    </w:p>
    <w:p>
      <w:pPr>
        <w:numPr>
          <w:ilvl w:val="0"/>
          <w:numId w:val="1002"/>
        </w:numPr>
        <w:pStyle w:val="Compact"/>
        <w:bidi/>
        <w:jc w:val="both"/>
      </w:pPr>
      <w:r>
        <w:rPr>
          <w:rFonts w:ascii="Dubai" w:hAnsi="Dubai" w:cs="Dubai" w:eastAsia="Dubai"/>
          <w:color w:val="1A171C"/>
          <w:sz w:val="24"/>
          <w:rtl/>
          <w:szCs w:val="24"/>
        </w:rPr>
        <w:t xml:space="preserve">حدود صلاحياتك المهنية وما يخرج عنها.</w:t>
      </w:r>
    </w:p>
    <w:p>
      <w:pPr>
        <w:numPr>
          <w:ilvl w:val="0"/>
          <w:numId w:val="1002"/>
        </w:numPr>
        <w:pStyle w:val="Compact"/>
        <w:bidi/>
        <w:jc w:val="both"/>
      </w:pPr>
      <w:r>
        <w:rPr>
          <w:rFonts w:ascii="Dubai" w:hAnsi="Dubai" w:cs="Dubai" w:eastAsia="Dubai"/>
          <w:color w:val="1A171C"/>
          <w:sz w:val="24"/>
          <w:rtl/>
          <w:szCs w:val="24"/>
        </w:rPr>
        <w:t xml:space="preserve">الفرق بين المخالفة المسلكية والمخالفة المهنية.</w:t>
      </w:r>
    </w:p>
    <w:p>
      <w:pPr>
        <w:numPr>
          <w:ilvl w:val="0"/>
          <w:numId w:val="1002"/>
        </w:numPr>
        <w:pStyle w:val="Compact"/>
        <w:bidi/>
        <w:jc w:val="both"/>
      </w:pPr>
      <w:r>
        <w:rPr>
          <w:rFonts w:ascii="Dubai" w:hAnsi="Dubai" w:cs="Dubai" w:eastAsia="Dubai"/>
          <w:color w:val="1A171C"/>
          <w:sz w:val="24"/>
          <w:rtl/>
          <w:szCs w:val="24"/>
        </w:rPr>
        <w:t xml:space="preserve">مراحل الشكوى التأديبية من الرصد حتى التنفيذ والتظلم.</w:t>
      </w:r>
    </w:p>
    <w:p>
      <w:pPr>
        <w:numPr>
          <w:ilvl w:val="0"/>
          <w:numId w:val="1002"/>
        </w:numPr>
        <w:pStyle w:val="Compact"/>
        <w:bidi/>
        <w:jc w:val="both"/>
      </w:pPr>
      <w:r>
        <w:rPr>
          <w:rFonts w:ascii="Dubai" w:hAnsi="Dubai" w:cs="Dubai" w:eastAsia="Dubai"/>
          <w:color w:val="1A171C"/>
          <w:sz w:val="24"/>
          <w:rtl/>
          <w:szCs w:val="24"/>
        </w:rPr>
        <w:t xml:space="preserve">الطبيعة القانونية للقرارات التأديبية وطرق الطعن فيها.</w:t>
      </w:r>
    </w:p>
    <w:p>
      <w:pPr>
        <w:numPr>
          <w:ilvl w:val="0"/>
          <w:numId w:val="1002"/>
        </w:numPr>
        <w:pStyle w:val="Compact"/>
        <w:bidi/>
        <w:jc w:val="both"/>
      </w:pPr>
      <w:r>
        <w:rPr>
          <w:rFonts w:ascii="Dubai" w:hAnsi="Dubai" w:cs="Dubai" w:eastAsia="Dubai"/>
          <w:color w:val="1A171C"/>
          <w:sz w:val="24"/>
          <w:rtl/>
          <w:szCs w:val="24"/>
        </w:rPr>
        <w:t xml:space="preserve">الفرق بين المسؤولية التأديبية والجزائية والمدنية.</w:t>
      </w:r>
    </w:p>
    <w:p>
      <w:pPr>
        <w:numPr>
          <w:ilvl w:val="0"/>
          <w:numId w:val="1002"/>
        </w:numPr>
        <w:pStyle w:val="Compact"/>
        <w:bidi/>
        <w:jc w:val="both"/>
      </w:pPr>
      <w:r>
        <w:rPr>
          <w:rFonts w:ascii="Dubai" w:hAnsi="Dubai" w:cs="Dubai" w:eastAsia="Dubai"/>
          <w:color w:val="1A171C"/>
          <w:sz w:val="24"/>
          <w:rtl/>
          <w:szCs w:val="24"/>
        </w:rPr>
        <w:t xml:space="preserve">المخالفات الأكثر تكرارًا وكيف تتجنّبها.</w:t>
      </w:r>
    </w:p>
    <w:bookmarkEnd w:id="25"/>
    <w:bookmarkStart w:id="26" w:name="نص-فقرة-محوران-يحكمان-المقرر"/>
    <w:p>
      <w:pPr>
        <w:pStyle w:val="Heading2"/>
        <w:bidi/>
        <w:jc w:val="right"/>
      </w:pPr>
      <w:r>
        <w:rPr>
          <w:rFonts w:ascii="Dubai" w:hAnsi="Dubai" w:cs="Dubai" w:eastAsia="Dubai"/>
          <w:b/>
          <w:bCs/>
          <w:color w:val="9C771F"/>
          <w:sz w:val="30"/>
          <w:rtl/>
          <w:szCs w:val="30"/>
        </w:rPr>
        <w:t xml:space="preserve">[نص › فقرة] محوران يحكمان المقرر</w:t>
      </w:r>
    </w:p>
    <w:p>
      <w:pPr>
        <w:bidi/>
        <w:jc w:val="both"/>
      </w:pPr>
      <w:r>
        <w:rPr>
          <w:rFonts w:ascii="Dubai" w:hAnsi="Dubai" w:cs="Dubai" w:eastAsia="Dubai"/>
          <w:color w:val="1A171C"/>
          <w:sz w:val="24"/>
          <w:rtl/>
          <w:szCs w:val="24"/>
        </w:rPr>
        <w:t xml:space="preserve">يقوم المقرر على محورين:</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نظام المساءلة التأديبية</w:t>
      </w:r>
      <w:r>
        <w:rPr>
          <w:rFonts w:ascii="Dubai" w:hAnsi="Dubai" w:cs="Dubai" w:eastAsia="Dubai"/>
          <w:color w:val="1A171C"/>
          <w:sz w:val="24"/>
          <w:rtl/>
          <w:szCs w:val="24"/>
        </w:rPr>
        <w:t xml:space="preserve">، وهو الجانب الإجرائي الذي يرسم الطريق الذي تسلكه الشكوى؛ و</w:t>
      </w:r>
      <w:r>
        <w:rPr>
          <w:rFonts w:ascii="Dubai" w:hAnsi="Dubai" w:cs="Dubai" w:eastAsia="Dubai"/>
          <w:color w:val="1A171C"/>
          <w:sz w:val="24"/>
          <w:rtl/>
          <w:bCs/>
          <w:b/>
          <w:szCs w:val="24"/>
        </w:rPr>
        <w:t xml:space="preserve">المسؤولية التأديبية</w:t>
      </w:r>
      <w:r>
        <w:rPr>
          <w:rFonts w:ascii="Dubai" w:hAnsi="Dubai" w:cs="Dubai" w:eastAsia="Dubai"/>
          <w:color w:val="1A171C"/>
          <w:sz w:val="24"/>
          <w:rtl/>
          <w:szCs w:val="24"/>
        </w:rPr>
        <w:t xml:space="preserve">، وهي الجانب الموضوعي الذي يحدد متى يُعدّ السلوك مخالفة. الفارق بينهما هو الفارق بين «كيف تُنظر الشكوى» و«ما الذي يُعدّ مخالفة أصلًا».</w:t>
      </w:r>
    </w:p>
    <w:bookmarkEnd w:id="26"/>
    <w:bookmarkStart w:id="27" w:name="عبارة-ملاحظة-تذكر"/>
    <w:p>
      <w:pPr>
        <w:pStyle w:val="Heading2"/>
        <w:bidi/>
        <w:jc w:val="right"/>
      </w:pPr>
      <w:r>
        <w:rPr>
          <w:rFonts w:ascii="Dubai" w:hAnsi="Dubai" w:cs="Dubai" w:eastAsia="Dubai"/>
          <w:b/>
          <w:bCs/>
          <w:color w:val="9C771F"/>
          <w:sz w:val="30"/>
          <w:rtl/>
          <w:szCs w:val="30"/>
        </w:rPr>
        <w:t xml:space="preserve">[عبارة › ملاحظة] تذكّر</w:t>
      </w:r>
    </w:p>
    <w:p>
      <w:pPr>
        <w:bidi/>
        <w:jc w:val="both"/>
      </w:pPr>
      <w:r>
        <w:rPr>
          <w:rFonts w:ascii="Dubai" w:hAnsi="Dubai" w:cs="Dubai" w:eastAsia="Dubai"/>
          <w:color w:val="1A171C"/>
          <w:sz w:val="24"/>
          <w:rtl/>
          <w:szCs w:val="24"/>
        </w:rPr>
        <w:t xml:space="preserve">التأديب لا يستهدف الانتقام من المخالف، بل حماية المهنة والحفاظ على ثقة الجمهور ورفع جودة الخدمة القانونية.</w:t>
      </w:r>
    </w:p>
    <w:bookmarkEnd w:id="27"/>
    <w:bookmarkStart w:id="28" w:name="تحقق-من-فهمك-اختيار-من-متعدد-سؤال-1"/>
    <w:p>
      <w:pPr>
        <w:pStyle w:val="Heading2"/>
        <w:bidi/>
        <w:jc w:val="right"/>
      </w:pPr>
      <w:r>
        <w:rPr>
          <w:rFonts w:ascii="Dubai" w:hAnsi="Dubai" w:cs="Dubai" w:eastAsia="Dubai"/>
          <w:b/>
          <w:bCs/>
          <w:color w:val="9C771F"/>
          <w:sz w:val="30"/>
          <w:rtl/>
          <w:szCs w:val="30"/>
        </w:rPr>
        <w:t xml:space="preserve">[تحقق من فهمك › اختيار من متعدد] سؤال 1</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طلب منك عميل أن تحضر معه جلسة أمام محكمة الأحوال الشخصية في دبي لتقديم دفاعه شفويًا. ما التصرّف الصحيح؟</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أحضر الجلسة لأن الأحوال الشخصية من الفروع المصرّح لي بها.</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التصريح يغطي الاستشارة في الأحوال الشخصية، لا المرافعة فيها. المرافعة شأن لصيق بمهنة المحاماة وحدها.</w:t>
            </w:r>
          </w:p>
        </w:tc>
      </w:tr>
      <w:tr>
        <w:tc>
          <w:tcPr/>
          <w:p>
            <w:pPr>
              <w:pStyle w:val="Compact"/>
              <w:bidi/>
              <w:jc w:val="right"/>
            </w:pPr>
            <w:r>
              <w:rPr>
                <w:rFonts w:ascii="Dubai" w:hAnsi="Dubai" w:cs="Dubai" w:eastAsia="Dubai"/>
                <w:color w:val="1A171C"/>
                <w:sz w:val="22"/>
                <w:rtl/>
                <w:szCs w:val="22"/>
              </w:rPr>
              <w:t xml:space="preserve">أعتذر عن المرافعة، وأقدّم له الاستشارة وأقترح الاستعانة بمحامٍ مقيد للمرافعة.</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المرافعة — شفوية كانت أو مكتوبة — تخرج عن صلاحياتك، ويمكنك أداء دورك الاستشاري ضمن حدود تصريحك.</w:t>
            </w:r>
          </w:p>
        </w:tc>
      </w:tr>
      <w:tr>
        <w:tc>
          <w:tcPr/>
          <w:p>
            <w:pPr>
              <w:pStyle w:val="Compact"/>
              <w:bidi/>
              <w:jc w:val="right"/>
            </w:pPr>
            <w:r>
              <w:rPr>
                <w:rFonts w:ascii="Dubai" w:hAnsi="Dubai" w:cs="Dubai" w:eastAsia="Dubai"/>
                <w:color w:val="1A171C"/>
                <w:sz w:val="22"/>
                <w:rtl/>
                <w:szCs w:val="22"/>
              </w:rPr>
              <w:t xml:space="preserve">أقدّم الدفاع مكتوبًا فقط دون حضور الجلسة.</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الدفاع المكتوب أمام المحكمة مرافعة أيضًا، وهو محظور على المستشار القانوني المستقل.</w:t>
            </w:r>
          </w:p>
        </w:tc>
      </w:tr>
      <w:tr>
        <w:tc>
          <w:tcPr/>
          <w:p>
            <w:pPr>
              <w:pStyle w:val="Compact"/>
              <w:bidi/>
              <w:jc w:val="right"/>
            </w:pPr>
            <w:r>
              <w:rPr>
                <w:rFonts w:ascii="Dubai" w:hAnsi="Dubai" w:cs="Dubai" w:eastAsia="Dubai"/>
                <w:color w:val="1A171C"/>
                <w:sz w:val="22"/>
                <w:rtl/>
                <w:szCs w:val="22"/>
              </w:rPr>
              <w:t xml:space="preserve">أحضر الجلسة إذا كانت الدعوى أمام محاكم مركز دبي المالي العالمي.</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الحظر يشمل محاكم دبي وجميع الجهات القضائية في الإمارة، بما فيها المناطق الحرة ومحاكم مركز دبي المالي العالمي.</w:t>
            </w:r>
          </w:p>
        </w:tc>
      </w:tr>
    </w:tbl>
    <w:bookmarkEnd w:id="28"/>
    <w:bookmarkStart w:id="29" w:name="فاصل-متابعة"/>
    <w:p>
      <w:pPr>
        <w:pStyle w:val="Heading2"/>
        <w:bidi/>
        <w:jc w:val="right"/>
      </w:pPr>
      <w:r>
        <w:rPr>
          <w:rFonts w:ascii="Dubai" w:hAnsi="Dubai" w:cs="Dubai" w:eastAsia="Dubai"/>
          <w:b/>
          <w:bCs/>
          <w:color w:val="9C771F"/>
          <w:sz w:val="30"/>
          <w:rtl/>
          <w:szCs w:val="30"/>
        </w:rPr>
        <w:t xml:space="preserve">[فاصل › متابعة]</w:t>
      </w:r>
    </w:p>
    <w:bookmarkEnd w:id="29"/>
    <w:bookmarkEnd w:id="30"/>
    <w:bookmarkStart w:id="40" w:name="X79ab757bbdd9c3f60a8b3da2f44a591eb9c5b7e"/>
    <w:p>
      <w:pPr>
        <w:pStyle w:val="Heading1"/>
        <w:bidi/>
        <w:jc w:val="right"/>
      </w:pPr>
      <w:r>
        <w:rPr>
          <w:rFonts w:ascii="Dubai" w:hAnsi="Dubai" w:cs="Dubai" w:eastAsia="Dubai"/>
          <w:b/>
          <w:bCs/>
          <w:color w:val="1A171C"/>
          <w:sz w:val="40"/>
          <w:rtl/>
          <w:szCs w:val="40"/>
        </w:rPr>
        <w:t xml:space="preserve">الدرس 2: الإطار التشريعي لنظام المساءلة التأديبية</w:t>
      </w:r>
    </w:p>
    <w:bookmarkStart w:id="31" w:name="X27f9509967cad2065cbc3b4ae942f70f3c65a14"/>
    <w:p>
      <w:pPr>
        <w:pStyle w:val="Heading2"/>
        <w:bidi/>
        <w:jc w:val="right"/>
      </w:pPr>
      <w:r>
        <w:rPr>
          <w:rFonts w:ascii="Dubai" w:hAnsi="Dubai" w:cs="Dubai" w:eastAsia="Dubai"/>
          <w:b/>
          <w:bCs/>
          <w:color w:val="9C771F"/>
          <w:sz w:val="30"/>
          <w:rtl/>
          <w:szCs w:val="30"/>
        </w:rPr>
        <w:t xml:space="preserve">[نص › عنوان وفقرة] ما هو نظام المساءلة التأديبية؟</w:t>
      </w:r>
    </w:p>
    <w:p>
      <w:pPr>
        <w:bidi/>
        <w:jc w:val="both"/>
      </w:pPr>
      <w:r>
        <w:rPr>
          <w:rFonts w:ascii="Dubai" w:hAnsi="Dubai" w:cs="Dubai" w:eastAsia="Dubai"/>
          <w:color w:val="1A171C"/>
          <w:sz w:val="24"/>
          <w:rtl/>
          <w:szCs w:val="24"/>
        </w:rPr>
        <w:t xml:space="preserve">نظام المساءلة التأديبية هو مجموعة الإجراءات والمراحل التي تمر بها الشكوى التأديبية، بدءًا من رصد المخالفة، مرورًا بالتحقيق فيها، وانتهاءً بإصدار القرار النهائي حفظًا أو إدانة.</w:t>
      </w:r>
    </w:p>
    <w:p>
      <w:pPr>
        <w:bidi/>
        <w:jc w:val="both"/>
      </w:pPr>
      <w:r>
        <w:rPr>
          <w:rFonts w:ascii="Dubai" w:hAnsi="Dubai" w:cs="Dubai" w:eastAsia="Dubai"/>
          <w:color w:val="1A171C"/>
          <w:sz w:val="24"/>
          <w:rtl/>
          <w:szCs w:val="24"/>
        </w:rPr>
        <w:t xml:space="preserve">وينظّم هذه الإجراءات في إمارة دبي</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القرار الإداري رقم (54) لسنة 2022 بشأن نظام المساءلة التأديبية للمحامين والمستشارين القانونيين في إمارة دبي</w:t>
      </w:r>
      <w:r>
        <w:rPr>
          <w:rFonts w:ascii="Dubai" w:hAnsi="Dubai" w:cs="Dubai" w:eastAsia="Dubai"/>
          <w:color w:val="1A171C"/>
          <w:sz w:val="24"/>
          <w:rtl/>
          <w:szCs w:val="24"/>
        </w:rPr>
        <w:t xml:space="preserve">، الصادر عن دائرة الشؤون القانونية لحكومة دبي، والمنشور في الجريدة الرسمية بتاريخ 21 ديسمبر 2022.</w:t>
      </w:r>
    </w:p>
    <w:bookmarkEnd w:id="31"/>
    <w:bookmarkStart w:id="32" w:name="عبارة-اقتباس-بارز-أهداف-النظام-المادة-2"/>
    <w:p>
      <w:pPr>
        <w:pStyle w:val="Heading2"/>
        <w:bidi/>
        <w:jc w:val="right"/>
      </w:pPr>
      <w:r>
        <w:rPr>
          <w:rFonts w:ascii="Dubai" w:hAnsi="Dubai" w:cs="Dubai" w:eastAsia="Dubai"/>
          <w:b/>
          <w:bCs/>
          <w:color w:val="9C771F"/>
          <w:sz w:val="30"/>
          <w:rtl/>
          <w:szCs w:val="30"/>
        </w:rPr>
        <w:t xml:space="preserve">[عبارة › اقتباس بارز] أهداف النظام (المادة 2)</w:t>
      </w:r>
    </w:p>
    <w:p>
      <w:pPr>
        <w:bidi/>
        <w:jc w:val="both"/>
      </w:pPr>
      <w:r>
        <w:rPr>
          <w:rFonts w:ascii="Dubai" w:hAnsi="Dubai" w:cs="Dubai" w:eastAsia="Dubai"/>
          <w:color w:val="1A171C"/>
          <w:sz w:val="24"/>
          <w:rtl/>
          <w:szCs w:val="24"/>
        </w:rPr>
        <w:t xml:space="preserve">تنظيم قواعد وإجراءات تلقي الشكاوى، ورصد مخالفات السلوك المهني، والتحقيق فيها، وإيقاع الجزاءات المناسبة، في إطار اختصاص الدائرة بمراقبة أعمال مزاولي المهنة، بما يعزز كفاءة الخدمات القانونية المقدمة في الإمارة.</w:t>
      </w:r>
    </w:p>
    <w:bookmarkEnd w:id="32"/>
    <w:bookmarkStart w:id="33" w:name="نص-فقرة-فلسفة-النظام"/>
    <w:p>
      <w:pPr>
        <w:pStyle w:val="Heading2"/>
        <w:bidi/>
        <w:jc w:val="right"/>
      </w:pPr>
      <w:r>
        <w:rPr>
          <w:rFonts w:ascii="Dubai" w:hAnsi="Dubai" w:cs="Dubai" w:eastAsia="Dubai"/>
          <w:b/>
          <w:bCs/>
          <w:color w:val="9C771F"/>
          <w:sz w:val="30"/>
          <w:rtl/>
          <w:szCs w:val="30"/>
        </w:rPr>
        <w:t xml:space="preserve">[نص › فقرة] فلسفة النظام</w:t>
      </w:r>
    </w:p>
    <w:p>
      <w:pPr>
        <w:bidi/>
        <w:jc w:val="both"/>
      </w:pPr>
      <w:r>
        <w:rPr>
          <w:rFonts w:ascii="Dubai" w:hAnsi="Dubai" w:cs="Dubai" w:eastAsia="Dubai"/>
          <w:color w:val="1A171C"/>
          <w:sz w:val="24"/>
          <w:rtl/>
          <w:szCs w:val="24"/>
        </w:rPr>
        <w:t xml:space="preserve">تتسق أهداف النظام مع الفلسفة الجزائية الحديثة: الإصلاح والحماية والتوجيه عبر الردع العام والخاص. ويراقب النظام سلوك المهني لا داخل العمل القانوني فحسب، بل في حياته العامة وتعاملاته مع الكافة أيضًا؛ فحسن السمعة ونقاء السيرة شرطان لبقاء المهنة محل ثقة الجمهور. كما يراقب الكفاءة المهنية، فلا يجوز أن تقل معرفة المهني القانونية عن الحد الأدنى اللازم لحماية حقوق موكليه.</w:t>
      </w:r>
    </w:p>
    <w:bookmarkEnd w:id="33"/>
    <w:bookmarkStart w:id="34" w:name="X83f3be235b2947d43dd7dfc9b9091b7bb154091"/>
    <w:p>
      <w:pPr>
        <w:pStyle w:val="Heading2"/>
        <w:bidi/>
        <w:jc w:val="right"/>
      </w:pPr>
      <w:r>
        <w:rPr>
          <w:rFonts w:ascii="Dubai" w:hAnsi="Dubai" w:cs="Dubai" w:eastAsia="Dubai"/>
          <w:b/>
          <w:bCs/>
          <w:color w:val="9C771F"/>
          <w:sz w:val="30"/>
          <w:rtl/>
          <w:szCs w:val="30"/>
        </w:rPr>
        <w:t xml:space="preserve">[تفاعلي › عملية] من أين تستمد الدائرة صلاحية إصدار النظام؟</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الخطوة</w:t>
            </w:r>
          </w:p>
        </w:tc>
        <w:tc>
          <w:tcPr>
            <w:shd w:val="clear" w:fill="1A171C"/>
          </w:tcPr>
          <w:p>
            <w:pPr>
              <w:pStyle w:val="Compact"/>
              <w:bidi/>
              <w:jc w:val="right"/>
            </w:pPr>
            <w:r>
              <w:rPr>
                <w:rFonts w:ascii="Dubai" w:hAnsi="Dubai" w:cs="Dubai" w:eastAsia="Dubai"/>
                <w:b/>
                <w:bCs/>
                <w:color w:val="FFFFFF"/>
                <w:sz w:val="22"/>
                <w:rtl/>
                <w:szCs w:val="22"/>
              </w:rPr>
              <w:t xml:space="preserve">العنوان</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1</w:t>
            </w:r>
          </w:p>
        </w:tc>
        <w:tc>
          <w:tcPr/>
          <w:p>
            <w:pPr>
              <w:pStyle w:val="Compact"/>
              <w:bidi/>
              <w:jc w:val="right"/>
            </w:pPr>
            <w:r>
              <w:rPr>
                <w:rFonts w:ascii="Dubai" w:hAnsi="Dubai" w:cs="Dubai" w:eastAsia="Dubai"/>
                <w:color w:val="1A171C"/>
                <w:sz w:val="22"/>
                <w:rtl/>
                <w:szCs w:val="22"/>
              </w:rPr>
              <w:t xml:space="preserve">التفويض الاتحادي</w:t>
            </w:r>
          </w:p>
        </w:tc>
        <w:tc>
          <w:tcPr/>
          <w:p>
            <w:pPr>
              <w:pStyle w:val="Compact"/>
              <w:bidi/>
              <w:jc w:val="right"/>
            </w:pPr>
            <w:r>
              <w:rPr>
                <w:rFonts w:ascii="Dubai" w:hAnsi="Dubai" w:cs="Dubai" w:eastAsia="Dubai"/>
                <w:color w:val="1A171C"/>
                <w:sz w:val="22"/>
                <w:rtl/>
                <w:szCs w:val="22"/>
              </w:rPr>
              <w:t xml:space="preserve">تجيز المادة (3/2) من المرسوم بقانون اتحادي رقم (34) لسنة 2022 بشأن تنظيم مهنتي المحاماة والاستشارات القانونية للإمارات التي لديها سلطات قضائية محلية أن تنظم أعمال المهنتين أمامها بموجب تشريعاتها المحلية.</w:t>
            </w:r>
          </w:p>
        </w:tc>
      </w:tr>
      <w:tr>
        <w:tc>
          <w:tcPr/>
          <w:p>
            <w:pPr>
              <w:pStyle w:val="Compact"/>
              <w:bidi/>
              <w:jc w:val="right"/>
            </w:pPr>
            <w:r>
              <w:rPr>
                <w:rFonts w:ascii="Dubai" w:hAnsi="Dubai" w:cs="Dubai" w:eastAsia="Dubai"/>
                <w:color w:val="1A171C"/>
                <w:sz w:val="22"/>
                <w:rtl/>
                <w:szCs w:val="22"/>
              </w:rPr>
              <w:t xml:space="preserve">2</w:t>
            </w:r>
          </w:p>
        </w:tc>
        <w:tc>
          <w:tcPr/>
          <w:p>
            <w:pPr>
              <w:pStyle w:val="Compact"/>
              <w:bidi/>
              <w:jc w:val="right"/>
            </w:pPr>
            <w:r>
              <w:rPr>
                <w:rFonts w:ascii="Dubai" w:hAnsi="Dubai" w:cs="Dubai" w:eastAsia="Dubai"/>
                <w:color w:val="1A171C"/>
                <w:sz w:val="22"/>
                <w:rtl/>
                <w:szCs w:val="22"/>
              </w:rPr>
              <w:t xml:space="preserve">القضاء المحلي لدبي</w:t>
            </w:r>
          </w:p>
        </w:tc>
        <w:tc>
          <w:tcPr/>
          <w:p>
            <w:pPr>
              <w:pStyle w:val="Compact"/>
              <w:bidi/>
              <w:jc w:val="right"/>
            </w:pPr>
            <w:r>
              <w:rPr>
                <w:rFonts w:ascii="Dubai" w:hAnsi="Dubai" w:cs="Dubai" w:eastAsia="Dubai"/>
                <w:color w:val="1A171C"/>
                <w:sz w:val="22"/>
                <w:rtl/>
                <w:szCs w:val="22"/>
              </w:rPr>
              <w:t xml:space="preserve">تملك إمارة دبي سلطة قضائية محلية مستقلة منظمة بالقانون رقم (13) لسنة 2016 بشأن السلطة القضائية في إمارة دبي.</w:t>
            </w:r>
          </w:p>
        </w:tc>
      </w:tr>
      <w:tr>
        <w:tc>
          <w:tcPr/>
          <w:p>
            <w:pPr>
              <w:pStyle w:val="Compact"/>
              <w:bidi/>
              <w:jc w:val="right"/>
            </w:pPr>
            <w:r>
              <w:rPr>
                <w:rFonts w:ascii="Dubai" w:hAnsi="Dubai" w:cs="Dubai" w:eastAsia="Dubai"/>
                <w:color w:val="1A171C"/>
                <w:sz w:val="22"/>
                <w:rtl/>
                <w:szCs w:val="22"/>
              </w:rPr>
              <w:t xml:space="preserve">3</w:t>
            </w:r>
          </w:p>
        </w:tc>
        <w:tc>
          <w:tcPr/>
          <w:p>
            <w:pPr>
              <w:pStyle w:val="Compact"/>
              <w:bidi/>
              <w:jc w:val="right"/>
            </w:pPr>
            <w:r>
              <w:rPr>
                <w:rFonts w:ascii="Dubai" w:hAnsi="Dubai" w:cs="Dubai" w:eastAsia="Dubai"/>
                <w:color w:val="1A171C"/>
                <w:sz w:val="22"/>
                <w:rtl/>
                <w:szCs w:val="22"/>
              </w:rPr>
              <w:t xml:space="preserve">اختصاص الدائرة</w:t>
            </w:r>
          </w:p>
        </w:tc>
        <w:tc>
          <w:tcPr/>
          <w:p>
            <w:pPr>
              <w:pStyle w:val="Compact"/>
              <w:bidi/>
              <w:jc w:val="right"/>
            </w:pPr>
            <w:r>
              <w:rPr>
                <w:rFonts w:ascii="Dubai" w:hAnsi="Dubai" w:cs="Dubai" w:eastAsia="Dubai"/>
                <w:color w:val="1A171C"/>
                <w:sz w:val="22"/>
                <w:rtl/>
                <w:szCs w:val="22"/>
              </w:rPr>
              <w:t xml:space="preserve">تمنح المادة (5/15) من القانون رقم (32) لسنة 2008 بإنشاء دائرة الشؤون القانونية لحكومة دبي الدائرة صلاحية ترخيص المهنة ومكاتبها ومراقبة أعمالها، وإصدار الأنظمة واللوائح والقرارات اللازمة لذلك.</w:t>
            </w:r>
          </w:p>
        </w:tc>
      </w:tr>
      <w:tr>
        <w:tc>
          <w:tcPr/>
          <w:p>
            <w:pPr>
              <w:pStyle w:val="Compact"/>
              <w:bidi/>
              <w:jc w:val="right"/>
            </w:pPr>
            <w:r>
              <w:rPr>
                <w:rFonts w:ascii="Dubai" w:hAnsi="Dubai" w:cs="Dubai" w:eastAsia="Dubai"/>
                <w:color w:val="1A171C"/>
                <w:sz w:val="22"/>
                <w:rtl/>
                <w:szCs w:val="22"/>
              </w:rPr>
              <w:t xml:space="preserve">4</w:t>
            </w:r>
          </w:p>
        </w:tc>
        <w:tc>
          <w:tcPr/>
          <w:p>
            <w:pPr>
              <w:pStyle w:val="Compact"/>
              <w:bidi/>
              <w:jc w:val="right"/>
            </w:pPr>
            <w:r>
              <w:rPr>
                <w:rFonts w:ascii="Dubai" w:hAnsi="Dubai" w:cs="Dubai" w:eastAsia="Dubai"/>
                <w:color w:val="1A171C"/>
                <w:sz w:val="22"/>
                <w:rtl/>
                <w:szCs w:val="22"/>
              </w:rPr>
              <w:t xml:space="preserve">النتيجة</w:t>
            </w:r>
          </w:p>
        </w:tc>
        <w:tc>
          <w:tcPr/>
          <w:p>
            <w:pPr>
              <w:pStyle w:val="Compact"/>
              <w:bidi/>
              <w:jc w:val="right"/>
            </w:pPr>
            <w:r>
              <w:rPr>
                <w:rFonts w:ascii="Dubai" w:hAnsi="Dubai" w:cs="Dubai" w:eastAsia="Dubai"/>
                <w:color w:val="1A171C"/>
                <w:sz w:val="22"/>
                <w:rtl/>
                <w:szCs w:val="22"/>
              </w:rPr>
              <w:t xml:space="preserve">بتساند هذه النصوص يتحقق ركن الاختصاص للقرار الإداري رقم (54) لسنة 2022، فيبرأ من عيب غصب السلطة.</w:t>
            </w:r>
          </w:p>
        </w:tc>
      </w:tr>
    </w:tbl>
    <w:bookmarkEnd w:id="34"/>
    <w:bookmarkStart w:id="35" w:name="Xa50d930445becf1daf4d01aef7959bdef9cf798"/>
    <w:p>
      <w:pPr>
        <w:pStyle w:val="Heading2"/>
        <w:bidi/>
        <w:jc w:val="right"/>
      </w:pPr>
      <w:r>
        <w:rPr>
          <w:rFonts w:ascii="Dubai" w:hAnsi="Dubai" w:cs="Dubai" w:eastAsia="Dubai"/>
          <w:b/>
          <w:bCs/>
          <w:color w:val="9C771F"/>
          <w:sz w:val="30"/>
          <w:rtl/>
          <w:szCs w:val="30"/>
        </w:rPr>
        <w:t xml:space="preserve">[تفاعلي › تبويبات] على من يُطبّق النظام؟ (المادة 3)</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التبويب</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المعيار الشخصي</w:t>
            </w:r>
          </w:p>
        </w:tc>
        <w:tc>
          <w:tcPr/>
          <w:p>
            <w:pPr>
              <w:pStyle w:val="Compact"/>
              <w:bidi/>
              <w:jc w:val="right"/>
            </w:pPr>
            <w:r>
              <w:rPr>
                <w:rFonts w:ascii="Dubai" w:hAnsi="Dubai" w:cs="Dubai" w:eastAsia="Dubai"/>
                <w:color w:val="1A171C"/>
                <w:sz w:val="22"/>
                <w:rtl/>
                <w:szCs w:val="22"/>
              </w:rPr>
              <w:t xml:space="preserve">يُطبّق النظام على المحامين والمستشارين القانونيين المقيدين في جداول الدائرة، سواء في جدول المشتغلين أو غير المشتغلين؛ فالنص عام ولا يُخصَّص بغير مخصِّص. أما غير المقيد لدى الدائرة — ولو كان مقيدًا لدى وزارة العدل أو في إمارة أخرى — فلا يخاطبه النظام، لكن إن ثبت تقديمه خدمات قانونية في دبي فتُوقّع عليه الغرامة المدنية وفق قرار المجلس التنفيذي رقم (22) لسنة 2011.</w:t>
            </w:r>
          </w:p>
        </w:tc>
      </w:tr>
      <w:tr>
        <w:tc>
          <w:tcPr/>
          <w:p>
            <w:pPr>
              <w:pStyle w:val="Compact"/>
              <w:bidi/>
              <w:jc w:val="right"/>
            </w:pPr>
            <w:r>
              <w:rPr>
                <w:rFonts w:ascii="Dubai" w:hAnsi="Dubai" w:cs="Dubai" w:eastAsia="Dubai"/>
                <w:color w:val="1A171C"/>
                <w:sz w:val="22"/>
                <w:rtl/>
                <w:szCs w:val="22"/>
              </w:rPr>
              <w:t xml:space="preserve">المعيار المكاني</w:t>
            </w:r>
          </w:p>
        </w:tc>
        <w:tc>
          <w:tcPr/>
          <w:p>
            <w:pPr>
              <w:pStyle w:val="Compact"/>
              <w:bidi/>
              <w:jc w:val="right"/>
            </w:pPr>
            <w:r>
              <w:rPr>
                <w:rFonts w:ascii="Dubai" w:hAnsi="Dubai" w:cs="Dubai" w:eastAsia="Dubai"/>
                <w:color w:val="1A171C"/>
                <w:sz w:val="22"/>
                <w:rtl/>
                <w:szCs w:val="22"/>
              </w:rPr>
              <w:t xml:space="preserve">يُطبّق النظام على مكاتب المحاماة والاستشارات القانونية المرخّصة من الدائرة والعاملة في الإمارة، بما فيها المناطق الحرة ومركز دبي المالي العالمي. وإذا قُدّمت خدمات من مكتب غير مرخّص في الإمارة: فالقائم عليه غير المقيد تُوقّع عليه الغرامة المدنية، أما المقيد لدى الدائرة فيخضع للمساءلة التأديبية.</w:t>
            </w:r>
          </w:p>
        </w:tc>
      </w:tr>
    </w:tbl>
    <w:bookmarkEnd w:id="35"/>
    <w:bookmarkStart w:id="36" w:name="Xe93ad70c28d2452cce1b4e1091f006929df81ce"/>
    <w:p>
      <w:pPr>
        <w:pStyle w:val="Heading2"/>
        <w:bidi/>
        <w:jc w:val="right"/>
      </w:pPr>
      <w:r>
        <w:rPr>
          <w:rFonts w:ascii="Dubai" w:hAnsi="Dubai" w:cs="Dubai" w:eastAsia="Dubai"/>
          <w:b/>
          <w:bCs/>
          <w:color w:val="9C771F"/>
          <w:sz w:val="30"/>
          <w:rtl/>
          <w:szCs w:val="30"/>
        </w:rPr>
        <w:t xml:space="preserve">[تفاعلي › بطاقات تعليمية] نوعا المخالفة التأديبية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الوجه الأمامي</w:t>
            </w:r>
          </w:p>
        </w:tc>
        <w:tc>
          <w:tcPr>
            <w:shd w:val="clear" w:fill="1A171C"/>
          </w:tcPr>
          <w:p>
            <w:pPr>
              <w:pStyle w:val="Compact"/>
              <w:bidi/>
              <w:jc w:val="right"/>
            </w:pPr>
            <w:r>
              <w:rPr>
                <w:rFonts w:ascii="Dubai" w:hAnsi="Dubai" w:cs="Dubai" w:eastAsia="Dubai"/>
                <w:b/>
                <w:bCs/>
                <w:color w:val="FFFFFF"/>
                <w:sz w:val="22"/>
                <w:rtl/>
                <w:szCs w:val="22"/>
              </w:rPr>
              <w:t xml:space="preserve">الوجه الخلفي</w:t>
            </w:r>
          </w:p>
        </w:tc>
      </w:tr>
      <w:tr>
        <w:tc>
          <w:tcPr/>
          <w:p>
            <w:pPr>
              <w:pStyle w:val="Compact"/>
              <w:bidi/>
              <w:jc w:val="right"/>
            </w:pPr>
            <w:r>
              <w:rPr>
                <w:rFonts w:ascii="Dubai" w:hAnsi="Dubai" w:cs="Dubai" w:eastAsia="Dubai"/>
                <w:color w:val="1A171C"/>
                <w:sz w:val="22"/>
                <w:rtl/>
                <w:szCs w:val="22"/>
              </w:rPr>
              <w:t xml:space="preserve">المخالفة المسلكية</w:t>
            </w:r>
          </w:p>
        </w:tc>
        <w:tc>
          <w:tcPr/>
          <w:p>
            <w:pPr>
              <w:pStyle w:val="Compact"/>
              <w:bidi/>
              <w:jc w:val="right"/>
            </w:pPr>
            <w:r>
              <w:rPr>
                <w:rFonts w:ascii="Dubai" w:hAnsi="Dubai" w:cs="Dubai" w:eastAsia="Dubai"/>
                <w:color w:val="1A171C"/>
                <w:sz w:val="22"/>
                <w:rtl/>
                <w:szCs w:val="22"/>
              </w:rPr>
              <w:t xml:space="preserve">كل تصرّف من شأنه أن يحطّ من قدر المهنة بما لا يتفق مع كرامتها أو آدابها أو تقاليدها — داخل العمل المهني وفي الحياة العامة.</w:t>
            </w:r>
          </w:p>
        </w:tc>
      </w:tr>
      <w:tr>
        <w:tc>
          <w:tcPr/>
          <w:p>
            <w:pPr>
              <w:pStyle w:val="Compact"/>
              <w:bidi/>
              <w:jc w:val="right"/>
            </w:pPr>
            <w:r>
              <w:rPr>
                <w:rFonts w:ascii="Dubai" w:hAnsi="Dubai" w:cs="Dubai" w:eastAsia="Dubai"/>
                <w:color w:val="1A171C"/>
                <w:sz w:val="22"/>
                <w:rtl/>
                <w:szCs w:val="22"/>
              </w:rPr>
              <w:t xml:space="preserve">المخالفة المهنية</w:t>
            </w:r>
          </w:p>
        </w:tc>
        <w:tc>
          <w:tcPr/>
          <w:p>
            <w:pPr>
              <w:pStyle w:val="Compact"/>
              <w:bidi/>
              <w:jc w:val="right"/>
            </w:pPr>
            <w:r>
              <w:rPr>
                <w:rFonts w:ascii="Dubai" w:hAnsi="Dubai" w:cs="Dubai" w:eastAsia="Dubai"/>
                <w:color w:val="1A171C"/>
                <w:sz w:val="22"/>
                <w:rtl/>
                <w:szCs w:val="22"/>
              </w:rPr>
              <w:t xml:space="preserve">كل خطأ مهني يمثّل انحرافًا عن الحد الأدنى للمبادئ الأساسية في القانون، أو جهلًا بالوقائع المتعلقة بالعمل القانوني. محورها جودة الخدمة وكفاءتها.</w:t>
            </w:r>
          </w:p>
        </w:tc>
      </w:tr>
    </w:tbl>
    <w:bookmarkEnd w:id="36"/>
    <w:bookmarkStart w:id="37" w:name="تحقق-من-فهمك-نشاط-تصنيف-صنف-الواقعة"/>
    <w:p>
      <w:pPr>
        <w:pStyle w:val="Heading2"/>
        <w:bidi/>
        <w:jc w:val="right"/>
      </w:pPr>
      <w:r>
        <w:rPr>
          <w:rFonts w:ascii="Dubai" w:hAnsi="Dubai" w:cs="Dubai" w:eastAsia="Dubai"/>
          <w:b/>
          <w:bCs/>
          <w:color w:val="9C771F"/>
          <w:sz w:val="30"/>
          <w:rtl/>
          <w:szCs w:val="30"/>
        </w:rPr>
        <w:t xml:space="preserve">[تحقق من فهمك › نشاط تصنيف] صنّف الواقعة</w:t>
      </w:r>
    </w:p>
    <w:p>
      <w:pPr>
        <w:bidi/>
        <w:jc w:val="both"/>
      </w:pPr>
      <w:r>
        <w:rPr>
          <w:rFonts w:ascii="Dubai" w:hAnsi="Dubai" w:cs="Dubai" w:eastAsia="Dubai"/>
          <w:color w:val="1A171C"/>
          <w:sz w:val="24"/>
          <w:rtl/>
          <w:szCs w:val="24"/>
        </w:rPr>
        <w:t xml:space="preserve">صنّف كل واقعة تحت نوع المخالفة الأقرب إليها.</w:t>
      </w:r>
    </w:p>
    <w:tbl>
      <w:tblPr>
        <w:tblStyle w:val="Table"/>
        <w:tblW w:type="auto" w:w="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الواقعة</w:t>
            </w:r>
          </w:p>
        </w:tc>
        <w:tc>
          <w:tcPr>
            <w:shd w:val="clear" w:fill="1A171C"/>
          </w:tcPr>
          <w:p>
            <w:pPr>
              <w:pStyle w:val="Compact"/>
              <w:bidi/>
              <w:jc w:val="right"/>
            </w:pPr>
            <w:r>
              <w:rPr>
                <w:rFonts w:ascii="Dubai" w:hAnsi="Dubai" w:cs="Dubai" w:eastAsia="Dubai"/>
                <w:b/>
                <w:bCs/>
                <w:color w:val="FFFFFF"/>
                <w:sz w:val="22"/>
                <w:rtl/>
                <w:szCs w:val="22"/>
              </w:rPr>
              <w:t xml:space="preserve">الفئة</w:t>
            </w:r>
          </w:p>
        </w:tc>
      </w:tr>
      <w:tr>
        <w:tc>
          <w:tcPr/>
          <w:p>
            <w:pPr>
              <w:pStyle w:val="Compact"/>
              <w:bidi/>
              <w:jc w:val="right"/>
            </w:pPr>
            <w:r>
              <w:rPr>
                <w:rFonts w:ascii="Dubai" w:hAnsi="Dubai" w:cs="Dubai" w:eastAsia="Dubai"/>
                <w:color w:val="1A171C"/>
                <w:sz w:val="22"/>
                <w:rtl/>
                <w:szCs w:val="22"/>
              </w:rPr>
              <w:t xml:space="preserve">نشر منشور مسيء بحق زميل على وسائل التواصل الاجتماعي</w:t>
            </w:r>
          </w:p>
        </w:tc>
        <w:tc>
          <w:tcPr/>
          <w:p>
            <w:pPr>
              <w:pStyle w:val="Compact"/>
              <w:bidi/>
              <w:jc w:val="right"/>
            </w:pPr>
            <w:r>
              <w:rPr>
                <w:rFonts w:ascii="Dubai" w:hAnsi="Dubai" w:cs="Dubai" w:eastAsia="Dubai"/>
                <w:color w:val="1A171C"/>
                <w:sz w:val="22"/>
                <w:rtl/>
                <w:szCs w:val="22"/>
              </w:rPr>
              <w:t xml:space="preserve">مخالفة مسلكية</w:t>
            </w:r>
          </w:p>
        </w:tc>
      </w:tr>
      <w:tr>
        <w:tc>
          <w:tcPr/>
          <w:p>
            <w:pPr>
              <w:pStyle w:val="Compact"/>
              <w:bidi/>
              <w:jc w:val="right"/>
            </w:pPr>
            <w:r>
              <w:rPr>
                <w:rFonts w:ascii="Dubai" w:hAnsi="Dubai" w:cs="Dubai" w:eastAsia="Dubai"/>
                <w:color w:val="1A171C"/>
                <w:sz w:val="22"/>
                <w:rtl/>
                <w:szCs w:val="22"/>
              </w:rPr>
              <w:t xml:space="preserve">الإساءة إلى خصم الموكل بعبارات تتجاوز مقتضيات الدفاع</w:t>
            </w:r>
          </w:p>
        </w:tc>
        <w:tc>
          <w:tcPr/>
          <w:p>
            <w:pPr>
              <w:pStyle w:val="Compact"/>
              <w:bidi/>
              <w:jc w:val="right"/>
            </w:pPr>
            <w:r>
              <w:rPr>
                <w:rFonts w:ascii="Dubai" w:hAnsi="Dubai" w:cs="Dubai" w:eastAsia="Dubai"/>
                <w:color w:val="1A171C"/>
                <w:sz w:val="22"/>
                <w:rtl/>
                <w:szCs w:val="22"/>
              </w:rPr>
              <w:t xml:space="preserve">مخالفة مسلكية</w:t>
            </w:r>
          </w:p>
        </w:tc>
      </w:tr>
      <w:tr>
        <w:tc>
          <w:tcPr/>
          <w:p>
            <w:pPr>
              <w:pStyle w:val="Compact"/>
              <w:bidi/>
              <w:jc w:val="right"/>
            </w:pPr>
            <w:r>
              <w:rPr>
                <w:rFonts w:ascii="Dubai" w:hAnsi="Dubai" w:cs="Dubai" w:eastAsia="Dubai"/>
                <w:color w:val="1A171C"/>
                <w:sz w:val="22"/>
                <w:rtl/>
                <w:szCs w:val="22"/>
              </w:rPr>
              <w:t xml:space="preserve">الخروج عن آداب المهنة في التعامل مع موظفي جهة حكومية</w:t>
            </w:r>
          </w:p>
        </w:tc>
        <w:tc>
          <w:tcPr/>
          <w:p>
            <w:pPr>
              <w:pStyle w:val="Compact"/>
              <w:bidi/>
              <w:jc w:val="right"/>
            </w:pPr>
            <w:r>
              <w:rPr>
                <w:rFonts w:ascii="Dubai" w:hAnsi="Dubai" w:cs="Dubai" w:eastAsia="Dubai"/>
                <w:color w:val="1A171C"/>
                <w:sz w:val="22"/>
                <w:rtl/>
                <w:szCs w:val="22"/>
              </w:rPr>
              <w:t xml:space="preserve">مخالفة مسلكية</w:t>
            </w:r>
          </w:p>
        </w:tc>
      </w:tr>
      <w:tr>
        <w:tc>
          <w:tcPr/>
          <w:p>
            <w:pPr>
              <w:pStyle w:val="Compact"/>
              <w:bidi/>
              <w:jc w:val="right"/>
            </w:pPr>
            <w:r>
              <w:rPr>
                <w:rFonts w:ascii="Dubai" w:hAnsi="Dubai" w:cs="Dubai" w:eastAsia="Dubai"/>
                <w:color w:val="1A171C"/>
                <w:sz w:val="22"/>
                <w:rtl/>
                <w:szCs w:val="22"/>
              </w:rPr>
              <w:t xml:space="preserve">صياغة عقد عقاري يغفل شرطًا جوهريًا يقتضيه القانون</w:t>
            </w:r>
          </w:p>
        </w:tc>
        <w:tc>
          <w:tcPr/>
          <w:p>
            <w:pPr>
              <w:pStyle w:val="Compact"/>
              <w:bidi/>
              <w:jc w:val="right"/>
            </w:pPr>
            <w:r>
              <w:rPr>
                <w:rFonts w:ascii="Dubai" w:hAnsi="Dubai" w:cs="Dubai" w:eastAsia="Dubai"/>
                <w:color w:val="1A171C"/>
                <w:sz w:val="22"/>
                <w:rtl/>
                <w:szCs w:val="22"/>
              </w:rPr>
              <w:t xml:space="preserve">مخالفة مهنية</w:t>
            </w:r>
          </w:p>
        </w:tc>
      </w:tr>
      <w:tr>
        <w:tc>
          <w:tcPr/>
          <w:p>
            <w:pPr>
              <w:pStyle w:val="Compact"/>
              <w:bidi/>
              <w:jc w:val="right"/>
            </w:pPr>
            <w:r>
              <w:rPr>
                <w:rFonts w:ascii="Dubai" w:hAnsi="Dubai" w:cs="Dubai" w:eastAsia="Dubai"/>
                <w:color w:val="1A171C"/>
                <w:sz w:val="22"/>
                <w:rtl/>
                <w:szCs w:val="22"/>
              </w:rPr>
              <w:t xml:space="preserve">إبداء رأي قانوني مبني على نص ملغى</w:t>
            </w:r>
          </w:p>
        </w:tc>
        <w:tc>
          <w:tcPr/>
          <w:p>
            <w:pPr>
              <w:pStyle w:val="Compact"/>
              <w:bidi/>
              <w:jc w:val="right"/>
            </w:pPr>
            <w:r>
              <w:rPr>
                <w:rFonts w:ascii="Dubai" w:hAnsi="Dubai" w:cs="Dubai" w:eastAsia="Dubai"/>
                <w:color w:val="1A171C"/>
                <w:sz w:val="22"/>
                <w:rtl/>
                <w:szCs w:val="22"/>
              </w:rPr>
              <w:t xml:space="preserve">مخالفة مهنية</w:t>
            </w:r>
          </w:p>
        </w:tc>
      </w:tr>
      <w:tr>
        <w:tc>
          <w:tcPr/>
          <w:p>
            <w:pPr>
              <w:pStyle w:val="Compact"/>
              <w:bidi/>
              <w:jc w:val="right"/>
            </w:pPr>
            <w:r>
              <w:rPr>
                <w:rFonts w:ascii="Dubai" w:hAnsi="Dubai" w:cs="Dubai" w:eastAsia="Dubai"/>
                <w:color w:val="1A171C"/>
                <w:sz w:val="22"/>
                <w:rtl/>
                <w:szCs w:val="22"/>
              </w:rPr>
              <w:t xml:space="preserve">ترك مراجعة مذكرة العميل حتى فوات الموعد دون مبرر</w:t>
            </w:r>
          </w:p>
        </w:tc>
        <w:tc>
          <w:tcPr/>
          <w:p>
            <w:pPr>
              <w:pStyle w:val="Compact"/>
              <w:bidi/>
              <w:jc w:val="right"/>
            </w:pPr>
            <w:r>
              <w:rPr>
                <w:rFonts w:ascii="Dubai" w:hAnsi="Dubai" w:cs="Dubai" w:eastAsia="Dubai"/>
                <w:color w:val="1A171C"/>
                <w:sz w:val="22"/>
                <w:rtl/>
                <w:szCs w:val="22"/>
              </w:rPr>
              <w:t xml:space="preserve">مخالفة مهنية</w:t>
            </w:r>
          </w:p>
        </w:tc>
      </w:tr>
    </w:tbl>
    <w:bookmarkEnd w:id="37"/>
    <w:bookmarkStart w:id="38" w:name="عبارة-ملاحظة-انتبه"/>
    <w:p>
      <w:pPr>
        <w:pStyle w:val="Heading2"/>
        <w:bidi/>
        <w:jc w:val="right"/>
      </w:pPr>
      <w:r>
        <w:rPr>
          <w:rFonts w:ascii="Dubai" w:hAnsi="Dubai" w:cs="Dubai" w:eastAsia="Dubai"/>
          <w:b/>
          <w:bCs/>
          <w:color w:val="9C771F"/>
          <w:sz w:val="30"/>
          <w:rtl/>
          <w:szCs w:val="30"/>
        </w:rPr>
        <w:t xml:space="preserve">[عبارة › ملاحظة] انتبه</w:t>
      </w:r>
    </w:p>
    <w:p>
      <w:pPr>
        <w:bidi/>
        <w:jc w:val="both"/>
      </w:pPr>
      <w:r>
        <w:rPr>
          <w:rFonts w:ascii="Dubai" w:hAnsi="Dubai" w:cs="Dubai" w:eastAsia="Dubai"/>
          <w:color w:val="1A171C"/>
          <w:sz w:val="24"/>
          <w:rtl/>
          <w:szCs w:val="24"/>
        </w:rPr>
        <w:t xml:space="preserve">لا يُعفي من المساءلة أن يكون التصرّف خارج أوقات العمل؛ فالسلوك المسلكي يُقاس في الحياة العامة أيضًا.</w:t>
      </w:r>
    </w:p>
    <w:bookmarkEnd w:id="38"/>
    <w:bookmarkStart w:id="39" w:name="فاصل-متابعة-1"/>
    <w:p>
      <w:pPr>
        <w:pStyle w:val="Heading2"/>
        <w:bidi/>
        <w:jc w:val="right"/>
      </w:pPr>
      <w:r>
        <w:rPr>
          <w:rFonts w:ascii="Dubai" w:hAnsi="Dubai" w:cs="Dubai" w:eastAsia="Dubai"/>
          <w:b/>
          <w:bCs/>
          <w:color w:val="9C771F"/>
          <w:sz w:val="30"/>
          <w:rtl/>
          <w:szCs w:val="30"/>
        </w:rPr>
        <w:t xml:space="preserve">[فاصل › متابعة]</w:t>
      </w:r>
    </w:p>
    <w:bookmarkEnd w:id="39"/>
    <w:bookmarkEnd w:id="40"/>
    <w:bookmarkStart w:id="49" w:name="الدرس-3-رحلة-الشكوى-من-الرصد-إلى-الإحالة"/>
    <w:p>
      <w:pPr>
        <w:pStyle w:val="Heading1"/>
        <w:bidi/>
        <w:jc w:val="right"/>
      </w:pPr>
      <w:r>
        <w:rPr>
          <w:rFonts w:ascii="Dubai" w:hAnsi="Dubai" w:cs="Dubai" w:eastAsia="Dubai"/>
          <w:b/>
          <w:bCs/>
          <w:color w:val="1A171C"/>
          <w:sz w:val="40"/>
          <w:rtl/>
          <w:szCs w:val="40"/>
        </w:rPr>
        <w:t xml:space="preserve">الدرس 3: رحلة الشكوى — من الرصد إلى الإحالة</w:t>
      </w:r>
    </w:p>
    <w:bookmarkStart w:id="41" w:name="نص-عنوان-وفقرة-من-يحرك-الشكوى"/>
    <w:p>
      <w:pPr>
        <w:pStyle w:val="Heading2"/>
        <w:bidi/>
        <w:jc w:val="right"/>
      </w:pPr>
      <w:r>
        <w:rPr>
          <w:rFonts w:ascii="Dubai" w:hAnsi="Dubai" w:cs="Dubai" w:eastAsia="Dubai"/>
          <w:b/>
          <w:bCs/>
          <w:color w:val="9C771F"/>
          <w:sz w:val="30"/>
          <w:rtl/>
          <w:szCs w:val="30"/>
        </w:rPr>
        <w:t xml:space="preserve">[نص › عنوان وفقرة] من يحرّك الشكوى؟</w:t>
      </w:r>
    </w:p>
    <w:p>
      <w:pPr>
        <w:bidi/>
        <w:jc w:val="both"/>
      </w:pPr>
      <w:r>
        <w:rPr>
          <w:rFonts w:ascii="Dubai" w:hAnsi="Dubai" w:cs="Dubai" w:eastAsia="Dubai"/>
          <w:color w:val="1A171C"/>
          <w:sz w:val="24"/>
          <w:rtl/>
          <w:szCs w:val="24"/>
        </w:rPr>
        <w:t xml:space="preserve">ترصد</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إدارة شؤون المحامين والمستشارين القانونيين</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في الدائرة المخالفات المنسوبة إلى المهنيين (المادة 5). وهي وحدها صاحبة الصفة في تحريك الشكوى التأديبية والأمينة عليها، بوصفها المدعي فيها — على غرار دور النيابة العامة في الدعوى الجزائية. أما مقدّم الشكوى من الجمهور، فهو مجرد مُخبِر عن الوقائع.</w:t>
      </w:r>
    </w:p>
    <w:bookmarkEnd w:id="41"/>
    <w:bookmarkStart w:id="42" w:name="تفاعلي-تبويبات-طريقان-لرصد-المخالفة"/>
    <w:p>
      <w:pPr>
        <w:pStyle w:val="Heading2"/>
        <w:bidi/>
        <w:jc w:val="right"/>
      </w:pPr>
      <w:r>
        <w:rPr>
          <w:rFonts w:ascii="Dubai" w:hAnsi="Dubai" w:cs="Dubai" w:eastAsia="Dubai"/>
          <w:b/>
          <w:bCs/>
          <w:color w:val="9C771F"/>
          <w:sz w:val="30"/>
          <w:rtl/>
          <w:szCs w:val="30"/>
        </w:rPr>
        <w:t xml:space="preserve">[تفاعلي › تبويبات] طريقان لرصد المخالفة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التبويب</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التقرير الرقابي (بمبادرة الإدارة)</w:t>
            </w:r>
          </w:p>
        </w:tc>
        <w:tc>
          <w:tcPr/>
          <w:p>
            <w:pPr>
              <w:pStyle w:val="Compact"/>
              <w:bidi/>
              <w:jc w:val="right"/>
            </w:pPr>
            <w:r>
              <w:rPr>
                <w:rFonts w:ascii="Dubai" w:hAnsi="Dubai" w:cs="Dubai" w:eastAsia="Dubai"/>
                <w:color w:val="1A171C"/>
                <w:sz w:val="22"/>
                <w:rtl/>
                <w:szCs w:val="22"/>
              </w:rPr>
              <w:t xml:space="preserve">تبادر الإدارة دون حاجة إلى شكوى، أثناء مراقبتها أعمال المقيدين لديها: (1) تجمع المعلومات وتتقصّى الحقائق؛ (2) تُخطر المهني بالوقائع للرد خطيًا خلال المدة المحددة، ولها استدعاؤه أو طلب مستندات؛ (3) تُعدّ تقريرًا رقابيًا بالمخالفة وبإفادته (المادة 6). ويمارس ذلك موظفون مُنحوا صفة الضبطية القضائية استنادًا إلى القانون رقم (19) لسنة 2024 بشأن تنظيم صفة الضبطية القضائية في إمارة دبي.</w:t>
            </w:r>
          </w:p>
        </w:tc>
      </w:tr>
      <w:tr>
        <w:tc>
          <w:tcPr/>
          <w:p>
            <w:pPr>
              <w:pStyle w:val="Compact"/>
              <w:bidi/>
              <w:jc w:val="right"/>
            </w:pPr>
            <w:r>
              <w:rPr>
                <w:rFonts w:ascii="Dubai" w:hAnsi="Dubai" w:cs="Dubai" w:eastAsia="Dubai"/>
                <w:color w:val="1A171C"/>
                <w:sz w:val="22"/>
                <w:rtl/>
                <w:szCs w:val="22"/>
              </w:rPr>
              <w:t xml:space="preserve">الشكوى من الجمهور</w:t>
            </w:r>
          </w:p>
        </w:tc>
        <w:tc>
          <w:tcPr/>
          <w:p>
            <w:pPr>
              <w:pStyle w:val="Compact"/>
              <w:bidi/>
              <w:jc w:val="right"/>
            </w:pPr>
            <w:r>
              <w:rPr>
                <w:rFonts w:ascii="Dubai" w:hAnsi="Dubai" w:cs="Dubai" w:eastAsia="Dubai"/>
                <w:color w:val="1A171C"/>
                <w:sz w:val="22"/>
                <w:rtl/>
                <w:szCs w:val="22"/>
              </w:rPr>
              <w:t xml:space="preserve">تُقدَّم الشكوى على النموذج المعتمد معززة بالمستندات. تُخطر الإدارة المهني المشكو ضده والمدير المسؤول عن مكتبه — أو المدير المسؤول وحده إذا كانت الشكوى ضد المكتب دون تسمية شخص — للرد خطيًا، ثم تُعدّ تقريرًا بالوقائع والرد ووجه المخالفة، ولها استدعاء أي من الأطراف (المادة 7).</w:t>
            </w:r>
          </w:p>
        </w:tc>
      </w:tr>
    </w:tbl>
    <w:bookmarkEnd w:id="42"/>
    <w:bookmarkStart w:id="43" w:name="نص-فقرة-من-يحق-له-تقديم-الشكوى"/>
    <w:p>
      <w:pPr>
        <w:pStyle w:val="Heading2"/>
        <w:bidi/>
        <w:jc w:val="right"/>
      </w:pPr>
      <w:r>
        <w:rPr>
          <w:rFonts w:ascii="Dubai" w:hAnsi="Dubai" w:cs="Dubai" w:eastAsia="Dubai"/>
          <w:b/>
          <w:bCs/>
          <w:color w:val="9C771F"/>
          <w:sz w:val="30"/>
          <w:rtl/>
          <w:szCs w:val="30"/>
        </w:rPr>
        <w:t xml:space="preserve">[نص › فقرة] من يحق له تقديم الشكوى؟</w:t>
      </w:r>
    </w:p>
    <w:p>
      <w:pPr>
        <w:bidi/>
        <w:jc w:val="both"/>
      </w:pPr>
      <w:r>
        <w:rPr>
          <w:rFonts w:ascii="Dubai" w:hAnsi="Dubai" w:cs="Dubai" w:eastAsia="Dubai"/>
          <w:color w:val="1A171C"/>
          <w:sz w:val="24"/>
          <w:rtl/>
          <w:szCs w:val="24"/>
        </w:rPr>
        <w:t xml:space="preserve">لم يحدد النظام فئة بعينها، فيحق</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لأي شخص</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طبيعي أو اعتباري تقديم الشكوى، سواء كان طرفًا في عقد الخدمة القانونية أم لا. فالتأديب — كالنظام الجنائي — يحمي مصلحة عامة هي سلامة المهنة، ولذلك يُقبل الإبلاغ من الكافة. ولا يُقاس هنا على شرط الصفة في الدعوى المدنية، التي تحمي مصلحة خاصة.</w:t>
      </w:r>
    </w:p>
    <w:bookmarkEnd w:id="43"/>
    <w:bookmarkStart w:id="44" w:name="X92d6e212b941e3e56530f2c5ca12279eee229cc"/>
    <w:p>
      <w:pPr>
        <w:pStyle w:val="Heading2"/>
        <w:bidi/>
        <w:jc w:val="right"/>
      </w:pPr>
      <w:r>
        <w:rPr>
          <w:rFonts w:ascii="Dubai" w:hAnsi="Dubai" w:cs="Dubai" w:eastAsia="Dubai"/>
          <w:b/>
          <w:bCs/>
          <w:color w:val="9C771F"/>
          <w:sz w:val="30"/>
          <w:rtl/>
          <w:szCs w:val="30"/>
        </w:rPr>
        <w:t xml:space="preserve">[تفاعلي › عملية] ماذا تفعل الإدارة بعد تلقي الشكوى؟</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الخطوة</w:t>
            </w:r>
          </w:p>
        </w:tc>
        <w:tc>
          <w:tcPr>
            <w:shd w:val="clear" w:fill="1A171C"/>
          </w:tcPr>
          <w:p>
            <w:pPr>
              <w:pStyle w:val="Compact"/>
              <w:bidi/>
              <w:jc w:val="right"/>
            </w:pPr>
            <w:r>
              <w:rPr>
                <w:rFonts w:ascii="Dubai" w:hAnsi="Dubai" w:cs="Dubai" w:eastAsia="Dubai"/>
                <w:b/>
                <w:bCs/>
                <w:color w:val="FFFFFF"/>
                <w:sz w:val="22"/>
                <w:rtl/>
                <w:szCs w:val="22"/>
              </w:rPr>
              <w:t xml:space="preserve">العنوان</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1</w:t>
            </w:r>
          </w:p>
        </w:tc>
        <w:tc>
          <w:tcPr/>
          <w:p>
            <w:pPr>
              <w:pStyle w:val="Compact"/>
              <w:bidi/>
              <w:jc w:val="right"/>
            </w:pPr>
            <w:r>
              <w:rPr>
                <w:rFonts w:ascii="Dubai" w:hAnsi="Dubai" w:cs="Dubai" w:eastAsia="Dubai"/>
                <w:color w:val="1A171C"/>
                <w:sz w:val="22"/>
                <w:rtl/>
                <w:szCs w:val="22"/>
              </w:rPr>
              <w:t xml:space="preserve">التحقق من الشكوى</w:t>
            </w:r>
          </w:p>
        </w:tc>
        <w:tc>
          <w:tcPr/>
          <w:p>
            <w:pPr>
              <w:pStyle w:val="Compact"/>
              <w:bidi/>
              <w:jc w:val="right"/>
            </w:pPr>
            <w:r>
              <w:rPr>
                <w:rFonts w:ascii="Dubai" w:hAnsi="Dubai" w:cs="Dubai" w:eastAsia="Dubai"/>
                <w:color w:val="1A171C"/>
                <w:sz w:val="22"/>
                <w:rtl/>
                <w:szCs w:val="22"/>
              </w:rPr>
              <w:t xml:space="preserve">دور الإدارة ليس سلبيًا: تتحقق من استيفاء المستندات، وتستدعي الأطراف لاستكمال ما ينقص.</w:t>
            </w:r>
          </w:p>
        </w:tc>
      </w:tr>
      <w:tr>
        <w:tc>
          <w:tcPr/>
          <w:p>
            <w:pPr>
              <w:pStyle w:val="Compact"/>
              <w:bidi/>
              <w:jc w:val="right"/>
            </w:pPr>
            <w:r>
              <w:rPr>
                <w:rFonts w:ascii="Dubai" w:hAnsi="Dubai" w:cs="Dubai" w:eastAsia="Dubai"/>
                <w:color w:val="1A171C"/>
                <w:sz w:val="22"/>
                <w:rtl/>
                <w:szCs w:val="22"/>
              </w:rPr>
              <w:t xml:space="preserve">2</w:t>
            </w:r>
          </w:p>
        </w:tc>
        <w:tc>
          <w:tcPr/>
          <w:p>
            <w:pPr>
              <w:pStyle w:val="Compact"/>
              <w:bidi/>
              <w:jc w:val="right"/>
            </w:pPr>
            <w:r>
              <w:rPr>
                <w:rFonts w:ascii="Dubai" w:hAnsi="Dubai" w:cs="Dubai" w:eastAsia="Dubai"/>
                <w:color w:val="1A171C"/>
                <w:sz w:val="22"/>
                <w:rtl/>
                <w:szCs w:val="22"/>
              </w:rPr>
              <w:t xml:space="preserve">كفالة حق الدفاع</w:t>
            </w:r>
          </w:p>
        </w:tc>
        <w:tc>
          <w:tcPr/>
          <w:p>
            <w:pPr>
              <w:pStyle w:val="Compact"/>
              <w:bidi/>
              <w:jc w:val="right"/>
            </w:pPr>
            <w:r>
              <w:rPr>
                <w:rFonts w:ascii="Dubai" w:hAnsi="Dubai" w:cs="Dubai" w:eastAsia="Dubai"/>
                <w:color w:val="1A171C"/>
                <w:sz w:val="22"/>
                <w:rtl/>
                <w:szCs w:val="22"/>
              </w:rPr>
              <w:t xml:space="preserve">تُخطر المشكو ضده ليقدّم دفاعه كتابة، تحقيقًا لمبدأ المواجهة.</w:t>
            </w:r>
          </w:p>
        </w:tc>
      </w:tr>
      <w:tr>
        <w:tc>
          <w:tcPr/>
          <w:p>
            <w:pPr>
              <w:pStyle w:val="Compact"/>
              <w:bidi/>
              <w:jc w:val="right"/>
            </w:pPr>
            <w:r>
              <w:rPr>
                <w:rFonts w:ascii="Dubai" w:hAnsi="Dubai" w:cs="Dubai" w:eastAsia="Dubai"/>
                <w:color w:val="1A171C"/>
                <w:sz w:val="22"/>
                <w:rtl/>
                <w:szCs w:val="22"/>
              </w:rPr>
              <w:t xml:space="preserve">3</w:t>
            </w:r>
          </w:p>
        </w:tc>
        <w:tc>
          <w:tcPr/>
          <w:p>
            <w:pPr>
              <w:pStyle w:val="Compact"/>
              <w:bidi/>
              <w:jc w:val="right"/>
            </w:pPr>
            <w:r>
              <w:rPr>
                <w:rFonts w:ascii="Dubai" w:hAnsi="Dubai" w:cs="Dubai" w:eastAsia="Dubai"/>
                <w:color w:val="1A171C"/>
                <w:sz w:val="22"/>
                <w:rtl/>
                <w:szCs w:val="22"/>
              </w:rPr>
              <w:t xml:space="preserve">إعداد التقرير</w:t>
            </w:r>
          </w:p>
        </w:tc>
        <w:tc>
          <w:tcPr/>
          <w:p>
            <w:pPr>
              <w:pStyle w:val="Compact"/>
              <w:bidi/>
              <w:jc w:val="right"/>
            </w:pPr>
            <w:r>
              <w:rPr>
                <w:rFonts w:ascii="Dubai" w:hAnsi="Dubai" w:cs="Dubai" w:eastAsia="Dubai"/>
                <w:color w:val="1A171C"/>
                <w:sz w:val="22"/>
                <w:rtl/>
                <w:szCs w:val="22"/>
              </w:rPr>
              <w:t xml:space="preserve">تُعدّ تقريرًا رقابيًا يتضمن المخالفة المنسوبة وأدلتها.</w:t>
            </w:r>
          </w:p>
        </w:tc>
      </w:tr>
      <w:tr>
        <w:tc>
          <w:tcPr/>
          <w:p>
            <w:pPr>
              <w:pStyle w:val="Compact"/>
              <w:bidi/>
              <w:jc w:val="right"/>
            </w:pPr>
            <w:r>
              <w:rPr>
                <w:rFonts w:ascii="Dubai" w:hAnsi="Dubai" w:cs="Dubai" w:eastAsia="Dubai"/>
                <w:color w:val="1A171C"/>
                <w:sz w:val="22"/>
                <w:rtl/>
                <w:szCs w:val="22"/>
              </w:rPr>
              <w:t xml:space="preserve">4</w:t>
            </w:r>
          </w:p>
        </w:tc>
        <w:tc>
          <w:tcPr/>
          <w:p>
            <w:pPr>
              <w:pStyle w:val="Compact"/>
              <w:bidi/>
              <w:jc w:val="right"/>
            </w:pPr>
            <w:r>
              <w:rPr>
                <w:rFonts w:ascii="Dubai" w:hAnsi="Dubai" w:cs="Dubai" w:eastAsia="Dubai"/>
                <w:color w:val="1A171C"/>
                <w:sz w:val="22"/>
                <w:rtl/>
                <w:szCs w:val="22"/>
              </w:rPr>
              <w:t xml:space="preserve">الحفظ عند التقديم</w:t>
            </w:r>
          </w:p>
        </w:tc>
        <w:tc>
          <w:tcPr/>
          <w:p>
            <w:pPr>
              <w:pStyle w:val="Compact"/>
              <w:bidi/>
              <w:jc w:val="right"/>
            </w:pPr>
            <w:r>
              <w:rPr>
                <w:rFonts w:ascii="Dubai" w:hAnsi="Dubai" w:cs="Dubai" w:eastAsia="Dubai"/>
                <w:color w:val="1A171C"/>
                <w:sz w:val="22"/>
                <w:rtl/>
                <w:szCs w:val="22"/>
              </w:rPr>
              <w:t xml:space="preserve">لها أن تتوقف بالشكوى إذا كانت مجهّلة، أو غير مدعّمة بمستندات رغم طلبها، أو مقدّمة ضد غير محامٍ أو مستشار قانوني — مع إفهام الشاكي بذلك.</w:t>
            </w:r>
          </w:p>
        </w:tc>
      </w:tr>
      <w:tr>
        <w:tc>
          <w:tcPr/>
          <w:p>
            <w:pPr>
              <w:pStyle w:val="Compact"/>
              <w:bidi/>
              <w:jc w:val="right"/>
            </w:pPr>
            <w:r>
              <w:rPr>
                <w:rFonts w:ascii="Dubai" w:hAnsi="Dubai" w:cs="Dubai" w:eastAsia="Dubai"/>
                <w:color w:val="1A171C"/>
                <w:sz w:val="22"/>
                <w:rtl/>
                <w:szCs w:val="22"/>
              </w:rPr>
              <w:t xml:space="preserve">5</w:t>
            </w:r>
          </w:p>
        </w:tc>
        <w:tc>
          <w:tcPr/>
          <w:p>
            <w:pPr>
              <w:pStyle w:val="Compact"/>
              <w:bidi/>
              <w:jc w:val="right"/>
            </w:pPr>
            <w:r>
              <w:rPr>
                <w:rFonts w:ascii="Dubai" w:hAnsi="Dubai" w:cs="Dubai" w:eastAsia="Dubai"/>
                <w:color w:val="1A171C"/>
                <w:sz w:val="22"/>
                <w:rtl/>
                <w:szCs w:val="22"/>
              </w:rPr>
              <w:t xml:space="preserve">الإحالة إلى اللجنة</w:t>
            </w:r>
          </w:p>
        </w:tc>
        <w:tc>
          <w:tcPr/>
          <w:p>
            <w:pPr>
              <w:pStyle w:val="Compact"/>
              <w:bidi/>
              <w:jc w:val="right"/>
            </w:pPr>
            <w:r>
              <w:rPr>
                <w:rFonts w:ascii="Dubai" w:hAnsi="Dubai" w:cs="Dubai" w:eastAsia="Dubai"/>
                <w:color w:val="1A171C"/>
                <w:sz w:val="22"/>
                <w:rtl/>
                <w:szCs w:val="22"/>
              </w:rPr>
              <w:t xml:space="preserve">تُحيل التقرير إلى لجنة السلوك المهني (المادتان 6/4 و7/ب-3). ولا تملك الإدارة الفصل في المخالفة أو في الدفوع؛ فذلك اختصاص اللجنة وحدها.</w:t>
            </w:r>
          </w:p>
        </w:tc>
      </w:tr>
    </w:tbl>
    <w:bookmarkEnd w:id="44"/>
    <w:bookmarkStart w:id="45" w:name="عبارة-ملاحظة-التنازل-لا-ينهي-الشكوى"/>
    <w:p>
      <w:pPr>
        <w:pStyle w:val="Heading2"/>
        <w:bidi/>
        <w:jc w:val="right"/>
      </w:pPr>
      <w:r>
        <w:rPr>
          <w:rFonts w:ascii="Dubai" w:hAnsi="Dubai" w:cs="Dubai" w:eastAsia="Dubai"/>
          <w:b/>
          <w:bCs/>
          <w:color w:val="9C771F"/>
          <w:sz w:val="30"/>
          <w:rtl/>
          <w:szCs w:val="30"/>
        </w:rPr>
        <w:t xml:space="preserve">[عبارة › ملاحظة] التنازل لا يُنهي الشكوى</w:t>
      </w:r>
    </w:p>
    <w:p>
      <w:pPr>
        <w:bidi/>
        <w:jc w:val="both"/>
      </w:pPr>
      <w:r>
        <w:rPr>
          <w:rFonts w:ascii="Dubai" w:hAnsi="Dubai" w:cs="Dubai" w:eastAsia="Dubai"/>
          <w:color w:val="1A171C"/>
          <w:sz w:val="24"/>
          <w:rtl/>
          <w:szCs w:val="24"/>
        </w:rPr>
        <w:t xml:space="preserve">لا يحول سحب الشكوى أو التصالح بين أطرافها دون استمرار الإدارة في نظرها وإحالتها إلى اللجنة، إذا وجدت أن الواقعة تشكّل مخالفة (المادة 7/ج). غير أن لجان السلوك المهني جرى عملها على مراعاة التنازل عند تقدير الجزاء المناسب.</w:t>
      </w:r>
    </w:p>
    <w:bookmarkEnd w:id="45"/>
    <w:bookmarkStart w:id="46" w:name="تحقق-من-فهمك-اختيار-من-متعدد-سؤال-2"/>
    <w:p>
      <w:pPr>
        <w:pStyle w:val="Heading2"/>
        <w:bidi/>
        <w:jc w:val="right"/>
      </w:pPr>
      <w:r>
        <w:rPr>
          <w:rFonts w:ascii="Dubai" w:hAnsi="Dubai" w:cs="Dubai" w:eastAsia="Dubai"/>
          <w:b/>
          <w:bCs/>
          <w:color w:val="9C771F"/>
          <w:sz w:val="30"/>
          <w:rtl/>
          <w:szCs w:val="30"/>
        </w:rPr>
        <w:t xml:space="preserve">[تحقق من فهمك › اختيار من متعدد] سؤال 2</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قدّم موظف في شركة عقارية — ليس طرفًا في أي عقد مع المستشار — شكوى ضد مستشار قانوني مستقل. دفع المستشار بعدم قبول الشكوى لانتفاء صفة الشاكي. ما مصير هذا الدفع؟</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يُقبل، لأن الشاكي ليس طرفًا في عقد الخدمة القانونية.</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هذا قياس على شرط الصفة في الدعوى المدنية، وهو قياس مع الفارق؛ فالتأديب يحمي مصلحة عامة.</w:t>
            </w:r>
          </w:p>
        </w:tc>
      </w:tr>
      <w:tr>
        <w:tc>
          <w:tcPr/>
          <w:p>
            <w:pPr>
              <w:pStyle w:val="Compact"/>
              <w:bidi/>
              <w:jc w:val="right"/>
            </w:pPr>
            <w:r>
              <w:rPr>
                <w:rFonts w:ascii="Dubai" w:hAnsi="Dubai" w:cs="Dubai" w:eastAsia="Dubai"/>
                <w:color w:val="1A171C"/>
                <w:sz w:val="22"/>
                <w:rtl/>
                <w:szCs w:val="22"/>
              </w:rPr>
              <w:t xml:space="preserve">يُرفض، لأن الشاكي مجرد مُخبِر، والإدارة هي صاحبة الصفة في تحريك الشكوى.</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يحق لأي شخص الإبلاغ، والإدارة هي المدعي في الشكوى التأديبية.</w:t>
            </w:r>
          </w:p>
        </w:tc>
      </w:tr>
      <w:tr>
        <w:tc>
          <w:tcPr/>
          <w:p>
            <w:pPr>
              <w:pStyle w:val="Compact"/>
              <w:bidi/>
              <w:jc w:val="right"/>
            </w:pPr>
            <w:r>
              <w:rPr>
                <w:rFonts w:ascii="Dubai" w:hAnsi="Dubai" w:cs="Dubai" w:eastAsia="Dubai"/>
                <w:color w:val="1A171C"/>
                <w:sz w:val="22"/>
                <w:rtl/>
                <w:szCs w:val="22"/>
              </w:rPr>
              <w:t xml:space="preserve">يُقبل إذا لم يثبت الشاكي تضرره من الواقعة.</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الضرر ليس شرطًا لتقديم الشكوى، ولا ركنًا في المخالفة التأديبية أصلًا.</w:t>
            </w:r>
          </w:p>
        </w:tc>
      </w:tr>
      <w:tr>
        <w:tc>
          <w:tcPr/>
          <w:p>
            <w:pPr>
              <w:pStyle w:val="Compact"/>
              <w:bidi/>
              <w:jc w:val="right"/>
            </w:pPr>
            <w:r>
              <w:rPr>
                <w:rFonts w:ascii="Dubai" w:hAnsi="Dubai" w:cs="Dubai" w:eastAsia="Dubai"/>
                <w:color w:val="1A171C"/>
                <w:sz w:val="22"/>
                <w:rtl/>
                <w:szCs w:val="22"/>
              </w:rPr>
              <w:t xml:space="preserve">تفصل فيه الإدارة قبل الإحالة.</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لا تملك الإدارة الفصل في الدفوع؛ ذلك اختصاص لجنة السلوك المهني.</w:t>
            </w:r>
          </w:p>
        </w:tc>
      </w:tr>
    </w:tbl>
    <w:bookmarkEnd w:id="46"/>
    <w:bookmarkStart w:id="47" w:name="تحقق-من-فهمك-اختيار-من-متعدد-سؤال-3"/>
    <w:p>
      <w:pPr>
        <w:pStyle w:val="Heading2"/>
        <w:bidi/>
        <w:jc w:val="right"/>
      </w:pPr>
      <w:r>
        <w:rPr>
          <w:rFonts w:ascii="Dubai" w:hAnsi="Dubai" w:cs="Dubai" w:eastAsia="Dubai"/>
          <w:b/>
          <w:bCs/>
          <w:color w:val="9C771F"/>
          <w:sz w:val="30"/>
          <w:rtl/>
          <w:szCs w:val="30"/>
        </w:rPr>
        <w:t xml:space="preserve">[تحقق من فهمك › اختيار من متعدد] سؤال 3</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بعد إحالة الشكوى إلى اللجنة، تصالح المستشار مع العميل الشاكي، وسحب العميل شكواه. ماذا يحدث؟</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تنقضي الشكوى حتمًا بسحبها.</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قواعد الانقضاء والسقوط الجزائية لا تُطبّق على الشكوى التأديبية، والسحب لا أثر قانونيًا له على استمرارها.</w:t>
            </w:r>
          </w:p>
        </w:tc>
      </w:tr>
      <w:tr>
        <w:tc>
          <w:tcPr/>
          <w:p>
            <w:pPr>
              <w:pStyle w:val="Compact"/>
              <w:bidi/>
              <w:jc w:val="right"/>
            </w:pPr>
            <w:r>
              <w:rPr>
                <w:rFonts w:ascii="Dubai" w:hAnsi="Dubai" w:cs="Dubai" w:eastAsia="Dubai"/>
                <w:color w:val="1A171C"/>
                <w:sz w:val="22"/>
                <w:rtl/>
                <w:szCs w:val="22"/>
              </w:rPr>
              <w:t xml:space="preserve">يجوز استمرار نظر الشكوى، وقد تُراعي اللجنة التصالح عند تقدير الجزاء.</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السحب أو التسوية لا يمنعان الاستمرار (المادة 7/ج)، لكن اللجنة قد تأخذهما في الاعتبار عند تقدير الجزاء.</w:t>
            </w:r>
          </w:p>
        </w:tc>
      </w:tr>
      <w:tr>
        <w:tc>
          <w:tcPr/>
          <w:p>
            <w:pPr>
              <w:pStyle w:val="Compact"/>
              <w:bidi/>
              <w:jc w:val="right"/>
            </w:pPr>
            <w:r>
              <w:rPr>
                <w:rFonts w:ascii="Dubai" w:hAnsi="Dubai" w:cs="Dubai" w:eastAsia="Dubai"/>
                <w:color w:val="1A171C"/>
                <w:sz w:val="22"/>
                <w:rtl/>
                <w:szCs w:val="22"/>
              </w:rPr>
              <w:t xml:space="preserve">تعود الشكوى إلى الإدارة لحفظها وجوبًا.</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لا يوجد ما يُلزم بالحفظ بعد السحب؛ المعيار هو ما إذا كانت الواقعة تشكّل مخالفة.</w:t>
            </w:r>
          </w:p>
        </w:tc>
      </w:tr>
    </w:tbl>
    <w:bookmarkEnd w:id="47"/>
    <w:bookmarkStart w:id="48" w:name="فاصل-متابعة-2"/>
    <w:p>
      <w:pPr>
        <w:pStyle w:val="Heading2"/>
        <w:bidi/>
        <w:jc w:val="right"/>
      </w:pPr>
      <w:r>
        <w:rPr>
          <w:rFonts w:ascii="Dubai" w:hAnsi="Dubai" w:cs="Dubai" w:eastAsia="Dubai"/>
          <w:b/>
          <w:bCs/>
          <w:color w:val="9C771F"/>
          <w:sz w:val="30"/>
          <w:rtl/>
          <w:szCs w:val="30"/>
        </w:rPr>
        <w:t xml:space="preserve">[فاصل › متابعة]</w:t>
      </w:r>
    </w:p>
    <w:bookmarkEnd w:id="48"/>
    <w:bookmarkEnd w:id="49"/>
    <w:bookmarkStart w:id="57" w:name="X7c5a2097b151e77274d3466c1f9c8c8873f6637"/>
    <w:p>
      <w:pPr>
        <w:pStyle w:val="Heading1"/>
        <w:bidi/>
        <w:jc w:val="right"/>
      </w:pPr>
      <w:r>
        <w:rPr>
          <w:rFonts w:ascii="Dubai" w:hAnsi="Dubai" w:cs="Dubai" w:eastAsia="Dubai"/>
          <w:b/>
          <w:bCs/>
          <w:color w:val="1A171C"/>
          <w:sz w:val="40"/>
          <w:rtl/>
          <w:szCs w:val="40"/>
        </w:rPr>
        <w:t xml:space="preserve">الدرس 4: لجنة السلوك المهني ولجنة التظلمات</w:t>
      </w:r>
    </w:p>
    <w:bookmarkStart w:id="50" w:name="نص-عنوان-وفقرة-من-ينظر-الشكوى-ويفصل-فيها"/>
    <w:p>
      <w:pPr>
        <w:pStyle w:val="Heading2"/>
        <w:bidi/>
        <w:jc w:val="right"/>
      </w:pPr>
      <w:r>
        <w:rPr>
          <w:rFonts w:ascii="Dubai" w:hAnsi="Dubai" w:cs="Dubai" w:eastAsia="Dubai"/>
          <w:b/>
          <w:bCs/>
          <w:color w:val="9C771F"/>
          <w:sz w:val="30"/>
          <w:rtl/>
          <w:szCs w:val="30"/>
        </w:rPr>
        <w:t xml:space="preserve">[نص › عنوان وفقرة] من ينظر الشكوى ويفصل فيها؟</w:t>
      </w:r>
    </w:p>
    <w:p>
      <w:pPr>
        <w:bidi/>
        <w:jc w:val="both"/>
      </w:pPr>
      <w:r>
        <w:rPr>
          <w:rFonts w:ascii="Dubai" w:hAnsi="Dubai" w:cs="Dubai" w:eastAsia="Dubai"/>
          <w:color w:val="1A171C"/>
          <w:sz w:val="24"/>
          <w:rtl/>
          <w:szCs w:val="24"/>
        </w:rPr>
        <w:t xml:space="preserve">تختص بنظر الشكوى والفصل فيها</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لجنة السلوك المهني للمحامين والمستشارين القانونيين</w:t>
      </w:r>
      <w:r>
        <w:rPr>
          <w:rFonts w:ascii="Dubai" w:hAnsi="Dubai" w:cs="Dubai" w:eastAsia="Dubai"/>
          <w:color w:val="1A171C"/>
          <w:sz w:val="24"/>
          <w:rtl/>
          <w:szCs w:val="24"/>
        </w:rPr>
        <w:t xml:space="preserve">، ويُتظلَّم من قراراتها أمام</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لجنة التظلمات</w:t>
      </w:r>
      <w:r>
        <w:rPr>
          <w:rFonts w:ascii="Dubai" w:hAnsi="Dubai" w:cs="Dubai" w:eastAsia="Dubai"/>
          <w:color w:val="1A171C"/>
          <w:sz w:val="24"/>
          <w:rtl/>
          <w:szCs w:val="24"/>
        </w:rPr>
        <w:t xml:space="preserve">. وكلتاهما مشكّلة داخل دائرة الشؤون القانونية لحكومة دبي.</w:t>
      </w:r>
    </w:p>
    <w:p>
      <w:pPr>
        <w:bidi/>
        <w:jc w:val="both"/>
      </w:pPr>
      <w:r>
        <w:rPr>
          <w:rFonts w:ascii="Dubai" w:hAnsi="Dubai" w:cs="Dubai" w:eastAsia="Dubai"/>
          <w:color w:val="1A171C"/>
          <w:sz w:val="24"/>
          <w:rtl/>
          <w:szCs w:val="24"/>
        </w:rPr>
        <w:t xml:space="preserve">تتشكل لجنة السلوك المهني من رئيس ونائب للرئيس وعدد كافٍ من الأعضاء ومقرّر، وقد تعمل بهيئة أو أكثر، ويُسمّى الجميع بقرار من المدير العام للدائرة (المادة 8).</w:t>
      </w:r>
    </w:p>
    <w:bookmarkEnd w:id="50"/>
    <w:bookmarkStart w:id="51" w:name="نص-فقرة-متى-تختص-اللجنة-المادة-9"/>
    <w:p>
      <w:pPr>
        <w:pStyle w:val="Heading2"/>
        <w:bidi/>
        <w:jc w:val="right"/>
      </w:pPr>
      <w:r>
        <w:rPr>
          <w:rFonts w:ascii="Dubai" w:hAnsi="Dubai" w:cs="Dubai" w:eastAsia="Dubai"/>
          <w:b/>
          <w:bCs/>
          <w:color w:val="9C771F"/>
          <w:sz w:val="30"/>
          <w:rtl/>
          <w:szCs w:val="30"/>
        </w:rPr>
        <w:t xml:space="preserve">[نص › فقرة] متى تختص اللجنة؟ (المادة 9)</w:t>
      </w:r>
    </w:p>
    <w:p>
      <w:pPr>
        <w:bidi/>
        <w:jc w:val="both"/>
      </w:pPr>
      <w:r>
        <w:rPr>
          <w:rFonts w:ascii="Dubai" w:hAnsi="Dubai" w:cs="Dubai" w:eastAsia="Dubai"/>
          <w:color w:val="1A171C"/>
          <w:sz w:val="24"/>
          <w:rtl/>
          <w:szCs w:val="24"/>
        </w:rPr>
        <w:t xml:space="preserve">يلزم توافر عنصرين معًا:</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شخصي</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 أن تكون المخالفة، مسلكية أو مهنية، منسوبة إلى محامٍ أو مستشار قانوني؛ و</w:t>
      </w:r>
      <w:r>
        <w:rPr>
          <w:rFonts w:ascii="Dubai" w:hAnsi="Dubai" w:cs="Dubai" w:eastAsia="Dubai"/>
          <w:color w:val="1A171C"/>
          <w:sz w:val="24"/>
          <w:rtl/>
          <w:bCs/>
          <w:b/>
          <w:szCs w:val="24"/>
        </w:rPr>
        <w:t xml:space="preserve">مكاني</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 أن تقع الوقائع كليًا أو جزئيًا داخل الإمارة. واستثناءً، تختص اللجنة بوقائع خارج الإمارة إذا أحالتها الإدارة وكان المهني مقيدًا لدى الدائرة.</w:t>
      </w:r>
    </w:p>
    <w:bookmarkEnd w:id="51"/>
    <w:bookmarkStart w:id="52" w:name="تفاعلي-أكورديون-كيف-تعمل-اللجنة"/>
    <w:p>
      <w:pPr>
        <w:pStyle w:val="Heading2"/>
        <w:bidi/>
        <w:jc w:val="right"/>
      </w:pPr>
      <w:r>
        <w:rPr>
          <w:rFonts w:ascii="Dubai" w:hAnsi="Dubai" w:cs="Dubai" w:eastAsia="Dubai"/>
          <w:b/>
          <w:bCs/>
          <w:color w:val="9C771F"/>
          <w:sz w:val="30"/>
          <w:rtl/>
          <w:szCs w:val="30"/>
        </w:rPr>
        <w:t xml:space="preserve">[تفاعلي › أكورديون] كيف تعمل اللجنة؟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العنوان</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صلاحيات التحقيق (المادة 10/أ)</w:t>
            </w:r>
          </w:p>
        </w:tc>
        <w:tc>
          <w:tcPr/>
          <w:p>
            <w:pPr>
              <w:pStyle w:val="Compact"/>
              <w:bidi/>
              <w:jc w:val="right"/>
            </w:pPr>
            <w:r>
              <w:rPr>
                <w:rFonts w:ascii="Dubai" w:hAnsi="Dubai" w:cs="Dubai" w:eastAsia="Dubai"/>
                <w:color w:val="1A171C"/>
                <w:sz w:val="22"/>
                <w:rtl/>
                <w:szCs w:val="22"/>
              </w:rPr>
              <w:t xml:space="preserve">التحقيق في المخالفة وسماع الشاكي والشهود ومواجهة المهني بما نُسب إليه، وطلب الوثائق، والاستعانة بمن تراه من موظفي الدائرة أو خارجها، واتخاذ أي إجراء لإثبات المخالفة أو نفيها.</w:t>
            </w:r>
          </w:p>
        </w:tc>
      </w:tr>
      <w:tr>
        <w:tc>
          <w:tcPr/>
          <w:p>
            <w:pPr>
              <w:pStyle w:val="Compact"/>
              <w:bidi/>
              <w:jc w:val="right"/>
            </w:pPr>
            <w:r>
              <w:rPr>
                <w:rFonts w:ascii="Dubai" w:hAnsi="Dubai" w:cs="Dubai" w:eastAsia="Dubai"/>
                <w:color w:val="1A171C"/>
                <w:sz w:val="22"/>
                <w:rtl/>
                <w:szCs w:val="22"/>
              </w:rPr>
              <w:t xml:space="preserve">حدود الدعوى (المادة 10/ب)</w:t>
            </w:r>
          </w:p>
        </w:tc>
        <w:tc>
          <w:tcPr/>
          <w:p>
            <w:pPr>
              <w:pStyle w:val="Compact"/>
              <w:bidi/>
              <w:jc w:val="right"/>
            </w:pPr>
            <w:r>
              <w:rPr>
                <w:rFonts w:ascii="Dubai" w:hAnsi="Dubai" w:cs="Dubai" w:eastAsia="Dubai"/>
                <w:color w:val="1A171C"/>
                <w:sz w:val="22"/>
                <w:rtl/>
                <w:szCs w:val="22"/>
              </w:rPr>
              <w:t xml:space="preserve">تتقيد اللجنة بالمخالفة المحالة إليها والوقائع المرتبطة بها. إذا ظهرت وقائع أخرى غير مرتبطة ارتباطًا لا يقبل التجزئة، تُحيلها إلى الإدارة. وتراعي التشريعات واللوائح وقواعد العدالة والإنصاف وأعراف المهنة.</w:t>
            </w:r>
          </w:p>
        </w:tc>
      </w:tr>
      <w:tr>
        <w:tc>
          <w:tcPr/>
          <w:p>
            <w:pPr>
              <w:pStyle w:val="Compact"/>
              <w:bidi/>
              <w:jc w:val="right"/>
            </w:pPr>
            <w:r>
              <w:rPr>
                <w:rFonts w:ascii="Dubai" w:hAnsi="Dubai" w:cs="Dubai" w:eastAsia="Dubai"/>
                <w:color w:val="1A171C"/>
                <w:sz w:val="22"/>
                <w:rtl/>
                <w:szCs w:val="22"/>
              </w:rPr>
              <w:t xml:space="preserve">الانعقاد والنصاب (المادة 11)</w:t>
            </w:r>
          </w:p>
        </w:tc>
        <w:tc>
          <w:tcPr/>
          <w:p>
            <w:pPr>
              <w:pStyle w:val="Compact"/>
              <w:bidi/>
              <w:jc w:val="right"/>
            </w:pPr>
            <w:r>
              <w:rPr>
                <w:rFonts w:ascii="Dubai" w:hAnsi="Dubai" w:cs="Dubai" w:eastAsia="Dubai"/>
                <w:color w:val="1A171C"/>
                <w:sz w:val="22"/>
                <w:rtl/>
                <w:szCs w:val="22"/>
              </w:rPr>
              <w:t xml:space="preserve">تنعقد حضوريًا في مقر الدائرة أو عن بُعد بوسائل الاتصال المرئي والمسموع، بدعوة من الرئيس أو نائبه. تصح الجلسة بحضور أغلبية الأعضاء، ومن بينهم الرئيس أو نائبه.</w:t>
            </w:r>
          </w:p>
        </w:tc>
      </w:tr>
      <w:tr>
        <w:tc>
          <w:tcPr/>
          <w:p>
            <w:pPr>
              <w:pStyle w:val="Compact"/>
              <w:bidi/>
              <w:jc w:val="right"/>
            </w:pPr>
            <w:r>
              <w:rPr>
                <w:rFonts w:ascii="Dubai" w:hAnsi="Dubai" w:cs="Dubai" w:eastAsia="Dubai"/>
                <w:color w:val="1A171C"/>
                <w:sz w:val="22"/>
                <w:rtl/>
                <w:szCs w:val="22"/>
              </w:rPr>
              <w:t xml:space="preserve">القرار والسرية (المادة 11)</w:t>
            </w:r>
          </w:p>
        </w:tc>
        <w:tc>
          <w:tcPr/>
          <w:p>
            <w:pPr>
              <w:pStyle w:val="Compact"/>
              <w:bidi/>
              <w:jc w:val="right"/>
            </w:pPr>
            <w:r>
              <w:rPr>
                <w:rFonts w:ascii="Dubai" w:hAnsi="Dubai" w:cs="Dubai" w:eastAsia="Dubai"/>
                <w:color w:val="1A171C"/>
                <w:sz w:val="22"/>
                <w:rtl/>
                <w:szCs w:val="22"/>
              </w:rPr>
              <w:t xml:space="preserve">تصدر القرارات بأغلبية الحاضرين، ويرجّح جانب رئيس الجلسة عند التساوي، ويجب أن تكون مسبّبة وتُدوَّن في محاضر موقّعة. الجلسات والمداولات سرية، ولا تُستخرج صور من محاضرها إلا بقرار من الرئيس.</w:t>
            </w:r>
          </w:p>
        </w:tc>
      </w:tr>
      <w:tr>
        <w:tc>
          <w:tcPr/>
          <w:p>
            <w:pPr>
              <w:pStyle w:val="Compact"/>
              <w:bidi/>
              <w:jc w:val="right"/>
            </w:pPr>
            <w:r>
              <w:rPr>
                <w:rFonts w:ascii="Dubai" w:hAnsi="Dubai" w:cs="Dubai" w:eastAsia="Dubai"/>
                <w:color w:val="1A171C"/>
                <w:sz w:val="22"/>
                <w:rtl/>
                <w:szCs w:val="22"/>
              </w:rPr>
              <w:t xml:space="preserve">الحضور أمام اللجنة (المادة 12)</w:t>
            </w:r>
          </w:p>
        </w:tc>
        <w:tc>
          <w:tcPr/>
          <w:p>
            <w:pPr>
              <w:pStyle w:val="Compact"/>
              <w:bidi/>
              <w:jc w:val="right"/>
            </w:pPr>
            <w:r>
              <w:rPr>
                <w:rFonts w:ascii="Dubai" w:hAnsi="Dubai" w:cs="Dubai" w:eastAsia="Dubai"/>
                <w:color w:val="1A171C"/>
                <w:sz w:val="22"/>
                <w:rtl/>
                <w:szCs w:val="22"/>
              </w:rPr>
              <w:t xml:space="preserve">يحضر المهني بشخصه، وله أن يوكّل محاميًا أو مستشارًا قانونيًا مقيدًا لدى الدائرة إذا أبدى عذرًا مقبولًا. وإذا لم يحضر ولم يوكّل، جاز إصدار القرار في غيبته بعد التحقق من صحة تبليغه.</w:t>
            </w:r>
          </w:p>
        </w:tc>
      </w:tr>
      <w:tr>
        <w:tc>
          <w:tcPr/>
          <w:p>
            <w:pPr>
              <w:pStyle w:val="Compact"/>
              <w:bidi/>
              <w:jc w:val="right"/>
            </w:pPr>
            <w:r>
              <w:rPr>
                <w:rFonts w:ascii="Dubai" w:hAnsi="Dubai" w:cs="Dubai" w:eastAsia="Dubai"/>
                <w:color w:val="1A171C"/>
                <w:sz w:val="22"/>
                <w:rtl/>
                <w:szCs w:val="22"/>
              </w:rPr>
              <w:t xml:space="preserve">التقنية الحديثة (المادة 13)</w:t>
            </w:r>
          </w:p>
        </w:tc>
        <w:tc>
          <w:tcPr/>
          <w:p>
            <w:pPr>
              <w:pStyle w:val="Compact"/>
              <w:bidi/>
              <w:jc w:val="right"/>
            </w:pPr>
            <w:r>
              <w:rPr>
                <w:rFonts w:ascii="Dubai" w:hAnsi="Dubai" w:cs="Dubai" w:eastAsia="Dubai"/>
                <w:color w:val="1A171C"/>
                <w:sz w:val="22"/>
                <w:rtl/>
                <w:szCs w:val="22"/>
              </w:rPr>
              <w:t xml:space="preserve">تُعتمد الوسائل التقنية في الإخطار والحضور عن بُعد وتبادل المستندات، بما في ذلك قيد الشكوى والتحقيق والإخطار بالقرارات والتظلم منها.</w:t>
            </w:r>
          </w:p>
        </w:tc>
      </w:tr>
    </w:tbl>
    <w:bookmarkEnd w:id="52"/>
    <w:bookmarkStart w:id="53" w:name="Xa76b334464099160377e26d9336d0fb53391875"/>
    <w:p>
      <w:pPr>
        <w:pStyle w:val="Heading2"/>
        <w:bidi/>
        <w:jc w:val="right"/>
      </w:pPr>
      <w:r>
        <w:rPr>
          <w:rFonts w:ascii="Dubai" w:hAnsi="Dubai" w:cs="Dubai" w:eastAsia="Dubai"/>
          <w:b/>
          <w:bCs/>
          <w:color w:val="9C771F"/>
          <w:sz w:val="30"/>
          <w:rtl/>
          <w:szCs w:val="30"/>
        </w:rPr>
        <w:t xml:space="preserve">[تفاعلي › عملية] سلّم الجزاءات التأديبية (المادة 14)</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الخطوة</w:t>
            </w:r>
          </w:p>
        </w:tc>
        <w:tc>
          <w:tcPr>
            <w:shd w:val="clear" w:fill="1A171C"/>
          </w:tcPr>
          <w:p>
            <w:pPr>
              <w:pStyle w:val="Compact"/>
              <w:bidi/>
              <w:jc w:val="right"/>
            </w:pPr>
            <w:r>
              <w:rPr>
                <w:rFonts w:ascii="Dubai" w:hAnsi="Dubai" w:cs="Dubai" w:eastAsia="Dubai"/>
                <w:b/>
                <w:bCs/>
                <w:color w:val="FFFFFF"/>
                <w:sz w:val="22"/>
                <w:rtl/>
                <w:szCs w:val="22"/>
              </w:rPr>
              <w:t xml:space="preserve">العنوان</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1</w:t>
            </w:r>
          </w:p>
        </w:tc>
        <w:tc>
          <w:tcPr/>
          <w:p>
            <w:pPr>
              <w:pStyle w:val="Compact"/>
              <w:bidi/>
              <w:jc w:val="right"/>
            </w:pPr>
            <w:r>
              <w:rPr>
                <w:rFonts w:ascii="Dubai" w:hAnsi="Dubai" w:cs="Dubai" w:eastAsia="Dubai"/>
                <w:color w:val="1A171C"/>
                <w:sz w:val="22"/>
                <w:rtl/>
                <w:szCs w:val="22"/>
              </w:rPr>
              <w:t xml:space="preserve">التنبيه الخطي</w:t>
            </w:r>
          </w:p>
        </w:tc>
        <w:tc>
          <w:tcPr/>
          <w:p>
            <w:pPr>
              <w:pStyle w:val="Compact"/>
              <w:bidi/>
              <w:jc w:val="right"/>
            </w:pPr>
            <w:r>
              <w:rPr>
                <w:rFonts w:ascii="Dubai" w:hAnsi="Dubai" w:cs="Dubai" w:eastAsia="Dubai"/>
                <w:color w:val="1A171C"/>
                <w:sz w:val="22"/>
                <w:rtl/>
                <w:szCs w:val="22"/>
              </w:rPr>
              <w:t xml:space="preserve">تنبيه مكتوب يبيّن المخالفة ويوجّه بعدم تكرارها مستقبلًا.</w:t>
            </w:r>
          </w:p>
        </w:tc>
      </w:tr>
      <w:tr>
        <w:tc>
          <w:tcPr/>
          <w:p>
            <w:pPr>
              <w:pStyle w:val="Compact"/>
              <w:bidi/>
              <w:jc w:val="right"/>
            </w:pPr>
            <w:r>
              <w:rPr>
                <w:rFonts w:ascii="Dubai" w:hAnsi="Dubai" w:cs="Dubai" w:eastAsia="Dubai"/>
                <w:color w:val="1A171C"/>
                <w:sz w:val="22"/>
                <w:rtl/>
                <w:szCs w:val="22"/>
              </w:rPr>
              <w:t xml:space="preserve">2</w:t>
            </w:r>
          </w:p>
        </w:tc>
        <w:tc>
          <w:tcPr/>
          <w:p>
            <w:pPr>
              <w:pStyle w:val="Compact"/>
              <w:bidi/>
              <w:jc w:val="right"/>
            </w:pPr>
            <w:r>
              <w:rPr>
                <w:rFonts w:ascii="Dubai" w:hAnsi="Dubai" w:cs="Dubai" w:eastAsia="Dubai"/>
                <w:color w:val="1A171C"/>
                <w:sz w:val="22"/>
                <w:rtl/>
                <w:szCs w:val="22"/>
              </w:rPr>
              <w:t xml:space="preserve">الإنذار الكتابي</w:t>
            </w:r>
          </w:p>
        </w:tc>
        <w:tc>
          <w:tcPr/>
          <w:p>
            <w:pPr>
              <w:pStyle w:val="Compact"/>
              <w:bidi/>
              <w:jc w:val="right"/>
            </w:pPr>
            <w:r>
              <w:rPr>
                <w:rFonts w:ascii="Dubai" w:hAnsi="Dubai" w:cs="Dubai" w:eastAsia="Dubai"/>
                <w:color w:val="1A171C"/>
                <w:sz w:val="22"/>
                <w:rtl/>
                <w:szCs w:val="22"/>
              </w:rPr>
              <w:t xml:space="preserve">إنذار مكتوب أشد أثرًا من التنبيه.</w:t>
            </w:r>
          </w:p>
        </w:tc>
      </w:tr>
      <w:tr>
        <w:tc>
          <w:tcPr/>
          <w:p>
            <w:pPr>
              <w:pStyle w:val="Compact"/>
              <w:bidi/>
              <w:jc w:val="right"/>
            </w:pPr>
            <w:r>
              <w:rPr>
                <w:rFonts w:ascii="Dubai" w:hAnsi="Dubai" w:cs="Dubai" w:eastAsia="Dubai"/>
                <w:color w:val="1A171C"/>
                <w:sz w:val="22"/>
                <w:rtl/>
                <w:szCs w:val="22"/>
              </w:rPr>
              <w:t xml:space="preserve">3</w:t>
            </w:r>
          </w:p>
        </w:tc>
        <w:tc>
          <w:tcPr/>
          <w:p>
            <w:pPr>
              <w:pStyle w:val="Compact"/>
              <w:bidi/>
              <w:jc w:val="right"/>
            </w:pPr>
            <w:r>
              <w:rPr>
                <w:rFonts w:ascii="Dubai" w:hAnsi="Dubai" w:cs="Dubai" w:eastAsia="Dubai"/>
                <w:color w:val="1A171C"/>
                <w:sz w:val="22"/>
                <w:rtl/>
                <w:szCs w:val="22"/>
              </w:rPr>
              <w:t xml:space="preserve">الوقف عن العمل</w:t>
            </w:r>
          </w:p>
        </w:tc>
        <w:tc>
          <w:tcPr/>
          <w:p>
            <w:pPr>
              <w:pStyle w:val="Compact"/>
              <w:bidi/>
              <w:jc w:val="right"/>
            </w:pPr>
            <w:r>
              <w:rPr>
                <w:rFonts w:ascii="Dubai" w:hAnsi="Dubai" w:cs="Dubai" w:eastAsia="Dubai"/>
                <w:color w:val="1A171C"/>
                <w:sz w:val="22"/>
                <w:rtl/>
                <w:szCs w:val="22"/>
              </w:rPr>
              <w:t xml:space="preserve">وقف عن مزاولة المهنة مدة لا تزيد على سنتين.</w:t>
            </w:r>
          </w:p>
        </w:tc>
      </w:tr>
      <w:tr>
        <w:tc>
          <w:tcPr/>
          <w:p>
            <w:pPr>
              <w:pStyle w:val="Compact"/>
              <w:bidi/>
              <w:jc w:val="right"/>
            </w:pPr>
            <w:r>
              <w:rPr>
                <w:rFonts w:ascii="Dubai" w:hAnsi="Dubai" w:cs="Dubai" w:eastAsia="Dubai"/>
                <w:color w:val="1A171C"/>
                <w:sz w:val="22"/>
                <w:rtl/>
                <w:szCs w:val="22"/>
              </w:rPr>
              <w:t xml:space="preserve">4</w:t>
            </w:r>
          </w:p>
        </w:tc>
        <w:tc>
          <w:tcPr/>
          <w:p>
            <w:pPr>
              <w:pStyle w:val="Compact"/>
              <w:bidi/>
              <w:jc w:val="right"/>
            </w:pPr>
            <w:r>
              <w:rPr>
                <w:rFonts w:ascii="Dubai" w:hAnsi="Dubai" w:cs="Dubai" w:eastAsia="Dubai"/>
                <w:color w:val="1A171C"/>
                <w:sz w:val="22"/>
                <w:rtl/>
                <w:szCs w:val="22"/>
              </w:rPr>
              <w:t xml:space="preserve">الشطب</w:t>
            </w:r>
          </w:p>
        </w:tc>
        <w:tc>
          <w:tcPr/>
          <w:p>
            <w:pPr>
              <w:pStyle w:val="Compact"/>
              <w:bidi/>
              <w:jc w:val="right"/>
            </w:pPr>
            <w:r>
              <w:rPr>
                <w:rFonts w:ascii="Dubai" w:hAnsi="Dubai" w:cs="Dubai" w:eastAsia="Dubai"/>
                <w:color w:val="1A171C"/>
                <w:sz w:val="22"/>
                <w:rtl/>
                <w:szCs w:val="22"/>
              </w:rPr>
              <w:t xml:space="preserve">شطب اسم المهني من جدول المحامين أو جدول المستشارين القانونيين.</w:t>
            </w:r>
          </w:p>
        </w:tc>
      </w:tr>
    </w:tbl>
    <w:bookmarkEnd w:id="53"/>
    <w:bookmarkStart w:id="54" w:name="تفاعلي-تبويبات-التظلم-والتنفيذ"/>
    <w:p>
      <w:pPr>
        <w:pStyle w:val="Heading2"/>
        <w:bidi/>
        <w:jc w:val="right"/>
      </w:pPr>
      <w:r>
        <w:rPr>
          <w:rFonts w:ascii="Dubai" w:hAnsi="Dubai" w:cs="Dubai" w:eastAsia="Dubai"/>
          <w:b/>
          <w:bCs/>
          <w:color w:val="9C771F"/>
          <w:sz w:val="30"/>
          <w:rtl/>
          <w:szCs w:val="30"/>
        </w:rPr>
        <w:t xml:space="preserve">[تفاعلي › تبويبات] التظلم والتنفيذ</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التبويب</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من يتظلّم ومتى؟ (المادة 15)</w:t>
            </w:r>
          </w:p>
        </w:tc>
        <w:tc>
          <w:tcPr/>
          <w:p>
            <w:pPr>
              <w:pStyle w:val="Compact"/>
              <w:bidi/>
              <w:jc w:val="right"/>
            </w:pPr>
            <w:r>
              <w:rPr>
                <w:rFonts w:ascii="Dubai" w:hAnsi="Dubai" w:cs="Dubai" w:eastAsia="Dubai"/>
                <w:color w:val="1A171C"/>
                <w:sz w:val="22"/>
                <w:rtl/>
                <w:szCs w:val="22"/>
              </w:rPr>
              <w:t xml:space="preserve">المهني، وكذلك الشاكي إذا صدر قرار بحفظ الشكوى كليًا أو جزئيًا: تظلّم خطي أمام لجنة التظلمات خلال 30 يومًا تبدأ من اليوم التالي لتاريخ</w:t>
            </w:r>
            <w:r>
              <w:rPr>
                <w:rFonts w:ascii="Dubai" w:hAnsi="Dubai" w:cs="Dubai" w:eastAsia="Dubai"/>
                <w:color w:val="1A171C"/>
                <w:sz w:val="22"/>
                <w:rtl/>
                <w:szCs w:val="22"/>
              </w:rPr>
              <w:t xml:space="preserve"> </w:t>
            </w:r>
            <w:r>
              <w:rPr>
                <w:rFonts w:ascii="Dubai" w:hAnsi="Dubai" w:cs="Dubai" w:eastAsia="Dubai"/>
                <w:color w:val="1A171C"/>
                <w:sz w:val="22"/>
                <w:rtl/>
                <w:bCs/>
                <w:b/>
                <w:szCs w:val="22"/>
              </w:rPr>
              <w:t xml:space="preserve">التبليغ</w:t>
            </w:r>
            <w:r>
              <w:rPr>
                <w:rFonts w:ascii="Dubai" w:hAnsi="Dubai" w:cs="Dubai" w:eastAsia="Dubai"/>
                <w:color w:val="1A171C"/>
                <w:sz w:val="22"/>
                <w:rtl/>
                <w:szCs w:val="22"/>
              </w:rPr>
              <w:t xml:space="preserve"> </w:t>
            </w:r>
            <w:r>
              <w:rPr>
                <w:rFonts w:ascii="Dubai" w:hAnsi="Dubai" w:cs="Dubai" w:eastAsia="Dubai"/>
                <w:color w:val="1A171C"/>
                <w:sz w:val="22"/>
                <w:rtl/>
                <w:szCs w:val="22"/>
              </w:rPr>
              <w:t xml:space="preserve">بالقرار. وللإدارة الاعتراض خلال المدة ذاتها، تبدأ من اليوم التالي لتاريخ</w:t>
            </w:r>
            <w:r>
              <w:rPr>
                <w:rFonts w:ascii="Dubai" w:hAnsi="Dubai" w:cs="Dubai" w:eastAsia="Dubai"/>
                <w:color w:val="1A171C"/>
                <w:sz w:val="22"/>
                <w:rtl/>
                <w:szCs w:val="22"/>
              </w:rPr>
              <w:t xml:space="preserve"> </w:t>
            </w:r>
            <w:r>
              <w:rPr>
                <w:rFonts w:ascii="Dubai" w:hAnsi="Dubai" w:cs="Dubai" w:eastAsia="Dubai"/>
                <w:color w:val="1A171C"/>
                <w:sz w:val="22"/>
                <w:rtl/>
                <w:bCs/>
                <w:b/>
                <w:szCs w:val="22"/>
              </w:rPr>
              <w:t xml:space="preserve">صدور</w:t>
            </w:r>
            <w:r>
              <w:rPr>
                <w:rFonts w:ascii="Dubai" w:hAnsi="Dubai" w:cs="Dubai" w:eastAsia="Dubai"/>
                <w:color w:val="1A171C"/>
                <w:sz w:val="22"/>
                <w:rtl/>
                <w:szCs w:val="22"/>
              </w:rPr>
              <w:t xml:space="preserve"> </w:t>
            </w:r>
            <w:r>
              <w:rPr>
                <w:rFonts w:ascii="Dubai" w:hAnsi="Dubai" w:cs="Dubai" w:eastAsia="Dubai"/>
                <w:color w:val="1A171C"/>
                <w:sz w:val="22"/>
                <w:rtl/>
                <w:szCs w:val="22"/>
              </w:rPr>
              <w:t xml:space="preserve">القرار.</w:t>
            </w:r>
          </w:p>
        </w:tc>
      </w:tr>
      <w:tr>
        <w:tc>
          <w:tcPr/>
          <w:p>
            <w:pPr>
              <w:pStyle w:val="Compact"/>
              <w:bidi/>
              <w:jc w:val="right"/>
            </w:pPr>
            <w:r>
              <w:rPr>
                <w:rFonts w:ascii="Dubai" w:hAnsi="Dubai" w:cs="Dubai" w:eastAsia="Dubai"/>
                <w:color w:val="1A171C"/>
                <w:sz w:val="22"/>
                <w:rtl/>
                <w:szCs w:val="22"/>
              </w:rPr>
              <w:t xml:space="preserve">لجنة التظلمات (المادتان 16 و17)</w:t>
            </w:r>
          </w:p>
        </w:tc>
        <w:tc>
          <w:tcPr/>
          <w:p>
            <w:pPr>
              <w:pStyle w:val="Compact"/>
              <w:bidi/>
              <w:jc w:val="right"/>
            </w:pPr>
            <w:r>
              <w:rPr>
                <w:rFonts w:ascii="Dubai" w:hAnsi="Dubai" w:cs="Dubai" w:eastAsia="Dubai"/>
                <w:color w:val="1A171C"/>
                <w:sz w:val="22"/>
                <w:rtl/>
                <w:szCs w:val="22"/>
              </w:rPr>
              <w:t xml:space="preserve">تُشكَّل بقرار من المدير العام، ولها مقرّر من موظفي الدائرة. تفصل في التظلمات والاعتراضات بتأييد القرار أو تعديله أو إلغائه، وقرارها</w:t>
            </w:r>
            <w:r>
              <w:rPr>
                <w:rFonts w:ascii="Dubai" w:hAnsi="Dubai" w:cs="Dubai" w:eastAsia="Dubai"/>
                <w:color w:val="1A171C"/>
                <w:sz w:val="22"/>
                <w:rtl/>
                <w:szCs w:val="22"/>
              </w:rPr>
              <w:t xml:space="preserve"> </w:t>
            </w:r>
            <w:r>
              <w:rPr>
                <w:rFonts w:ascii="Dubai" w:hAnsi="Dubai" w:cs="Dubai" w:eastAsia="Dubai"/>
                <w:color w:val="1A171C"/>
                <w:sz w:val="22"/>
                <w:rtl/>
                <w:bCs/>
                <w:b/>
                <w:szCs w:val="22"/>
              </w:rPr>
              <w:t xml:space="preserve">نهائي</w:t>
            </w:r>
            <w:r>
              <w:rPr>
                <w:rFonts w:ascii="Dubai" w:hAnsi="Dubai" w:cs="Dubai" w:eastAsia="Dubai"/>
                <w:color w:val="1A171C"/>
                <w:sz w:val="22"/>
                <w:rtl/>
                <w:szCs w:val="22"/>
              </w:rPr>
              <w:t xml:space="preserve">. وتسري عليها أحكام المواد (10) إلى (14).</w:t>
            </w:r>
          </w:p>
        </w:tc>
      </w:tr>
      <w:tr>
        <w:tc>
          <w:tcPr/>
          <w:p>
            <w:pPr>
              <w:pStyle w:val="Compact"/>
              <w:bidi/>
              <w:jc w:val="right"/>
            </w:pPr>
            <w:r>
              <w:rPr>
                <w:rFonts w:ascii="Dubai" w:hAnsi="Dubai" w:cs="Dubai" w:eastAsia="Dubai"/>
                <w:color w:val="1A171C"/>
                <w:sz w:val="22"/>
                <w:rtl/>
                <w:szCs w:val="22"/>
              </w:rPr>
              <w:t xml:space="preserve">التنفيذ (المادة 18)</w:t>
            </w:r>
          </w:p>
        </w:tc>
        <w:tc>
          <w:tcPr/>
          <w:p>
            <w:pPr>
              <w:pStyle w:val="Compact"/>
              <w:bidi/>
              <w:jc w:val="right"/>
            </w:pPr>
            <w:r>
              <w:rPr>
                <w:rFonts w:ascii="Dubai" w:hAnsi="Dubai" w:cs="Dubai" w:eastAsia="Dubai"/>
                <w:color w:val="1A171C"/>
                <w:sz w:val="22"/>
                <w:rtl/>
                <w:szCs w:val="22"/>
              </w:rPr>
              <w:t xml:space="preserve">قرار الوقف أو الشطب واجب النفاذ بعد صيرورته نهائيًا. تُخطر الإدارة المهني والشاكي بالقرارات، وتحدد الدائرة التزامات المهني والمدير المسؤول عن المكتب عند صدور قرار بالوقف أو الشطب.</w:t>
            </w:r>
          </w:p>
        </w:tc>
      </w:tr>
    </w:tbl>
    <w:bookmarkEnd w:id="54"/>
    <w:bookmarkStart w:id="55" w:name="تحقق-من-فهمك-اختيار-من-متعدد-سؤال-4"/>
    <w:p>
      <w:pPr>
        <w:pStyle w:val="Heading2"/>
        <w:bidi/>
        <w:jc w:val="right"/>
      </w:pPr>
      <w:r>
        <w:rPr>
          <w:rFonts w:ascii="Dubai" w:hAnsi="Dubai" w:cs="Dubai" w:eastAsia="Dubai"/>
          <w:b/>
          <w:bCs/>
          <w:color w:val="9C771F"/>
          <w:sz w:val="30"/>
          <w:rtl/>
          <w:szCs w:val="30"/>
        </w:rPr>
        <w:t xml:space="preserve">[تحقق من فهمك › اختيار من متعدد] سؤال 4</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صدر قرار لجنة السلوك المهني بحفظ الشكوى، وأُبلغ به الشاكي في 1 مارس. ما الصحيح؟</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لا يحق للشاكي التظلم؛ فالتظلم حق للمهني وحده.</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يحق للشاكي التظلم إذا صدر قرار بحفظ الشكوى كليًا أو جزئيًا (المادة 15/أ).</w:t>
            </w:r>
          </w:p>
        </w:tc>
      </w:tr>
      <w:tr>
        <w:tc>
          <w:tcPr/>
          <w:p>
            <w:pPr>
              <w:pStyle w:val="Compact"/>
              <w:bidi/>
              <w:jc w:val="right"/>
            </w:pPr>
            <w:r>
              <w:rPr>
                <w:rFonts w:ascii="Dubai" w:hAnsi="Dubai" w:cs="Dubai" w:eastAsia="Dubai"/>
                <w:color w:val="1A171C"/>
                <w:sz w:val="22"/>
                <w:rtl/>
                <w:szCs w:val="22"/>
              </w:rPr>
              <w:t xml:space="preserve">يحق للشاكي التظلم خطيًا خلال 30 يومًا تبدأ من 2 مارس.</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يبدأ الميعاد من اليوم التالي لتاريخ التبليغ بالقرار.</w:t>
            </w:r>
          </w:p>
        </w:tc>
      </w:tr>
      <w:tr>
        <w:tc>
          <w:tcPr/>
          <w:p>
            <w:pPr>
              <w:pStyle w:val="Compact"/>
              <w:bidi/>
              <w:jc w:val="right"/>
            </w:pPr>
            <w:r>
              <w:rPr>
                <w:rFonts w:ascii="Dubai" w:hAnsi="Dubai" w:cs="Dubai" w:eastAsia="Dubai"/>
                <w:color w:val="1A171C"/>
                <w:sz w:val="22"/>
                <w:rtl/>
                <w:szCs w:val="22"/>
              </w:rPr>
              <w:t xml:space="preserve">يحق للشاكي التظلم خلال 60 يومًا من تاريخ صدور القرار.</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ميعاد التظلم 30 يومًا، ويُحتسب للشاكي من اليوم التالي للتبليغ. ميعاد الستين يومًا يتعلق بالطعن القضائي، كما سترى في الدرس التالي.</w:t>
            </w:r>
          </w:p>
        </w:tc>
      </w:tr>
      <w:tr>
        <w:tc>
          <w:tcPr/>
          <w:p>
            <w:pPr>
              <w:pStyle w:val="Compact"/>
              <w:bidi/>
              <w:jc w:val="right"/>
            </w:pPr>
            <w:r>
              <w:rPr>
                <w:rFonts w:ascii="Dubai" w:hAnsi="Dubai" w:cs="Dubai" w:eastAsia="Dubai"/>
                <w:color w:val="1A171C"/>
                <w:sz w:val="22"/>
                <w:rtl/>
                <w:szCs w:val="22"/>
              </w:rPr>
              <w:t xml:space="preserve">يتظلّم الشاكي أمام لجنة السلوك المهني نفسها.</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التظلم يُقدَّم أمام لجنة التظلمات، لا أمام اللجنة مصدرة القرار.</w:t>
            </w:r>
          </w:p>
        </w:tc>
      </w:tr>
    </w:tbl>
    <w:bookmarkEnd w:id="55"/>
    <w:bookmarkStart w:id="56" w:name="فاصل-متابعة-3"/>
    <w:p>
      <w:pPr>
        <w:pStyle w:val="Heading2"/>
        <w:bidi/>
        <w:jc w:val="right"/>
      </w:pPr>
      <w:r>
        <w:rPr>
          <w:rFonts w:ascii="Dubai" w:hAnsi="Dubai" w:cs="Dubai" w:eastAsia="Dubai"/>
          <w:b/>
          <w:bCs/>
          <w:color w:val="9C771F"/>
          <w:sz w:val="30"/>
          <w:rtl/>
          <w:szCs w:val="30"/>
        </w:rPr>
        <w:t xml:space="preserve">[فاصل › متابعة]</w:t>
      </w:r>
    </w:p>
    <w:bookmarkEnd w:id="56"/>
    <w:bookmarkEnd w:id="57"/>
    <w:bookmarkStart w:id="64" w:name="Xbdcb88e347603ae3e60390eb746697fb74283b5"/>
    <w:p>
      <w:pPr>
        <w:pStyle w:val="Heading1"/>
        <w:bidi/>
        <w:jc w:val="right"/>
      </w:pPr>
      <w:r>
        <w:rPr>
          <w:rFonts w:ascii="Dubai" w:hAnsi="Dubai" w:cs="Dubai" w:eastAsia="Dubai"/>
          <w:b/>
          <w:bCs/>
          <w:color w:val="1A171C"/>
          <w:sz w:val="40"/>
          <w:rtl/>
          <w:szCs w:val="40"/>
        </w:rPr>
        <w:t xml:space="preserve">الدرس 5: الطبيعة القانونية للقرارات التأديبية</w:t>
      </w:r>
    </w:p>
    <w:bookmarkStart w:id="58" w:name="X4ee1a3517dc738f6014b42beedf434b51a28562"/>
    <w:p>
      <w:pPr>
        <w:pStyle w:val="Heading2"/>
        <w:bidi/>
        <w:jc w:val="right"/>
      </w:pPr>
      <w:r>
        <w:rPr>
          <w:rFonts w:ascii="Dubai" w:hAnsi="Dubai" w:cs="Dubai" w:eastAsia="Dubai"/>
          <w:b/>
          <w:bCs/>
          <w:color w:val="9C771F"/>
          <w:sz w:val="30"/>
          <w:rtl/>
          <w:szCs w:val="30"/>
        </w:rPr>
        <w:t xml:space="preserve">[نص › عنوان وفقرة] قرارات إدارية لا أحكام قضائية</w:t>
      </w:r>
    </w:p>
    <w:p>
      <w:pPr>
        <w:bidi/>
        <w:jc w:val="both"/>
      </w:pPr>
      <w:r>
        <w:rPr>
          <w:rFonts w:ascii="Dubai" w:hAnsi="Dubai" w:cs="Dubai" w:eastAsia="Dubai"/>
          <w:color w:val="1A171C"/>
          <w:sz w:val="24"/>
          <w:rtl/>
          <w:szCs w:val="24"/>
        </w:rPr>
        <w:t xml:space="preserve">لجنة السلوك المهني ولجنة التظلمات لجنتان</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إداريتان</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لا قضائيتان؛ فهما مشكّلتان داخل الدائرة، وتباشران أحد اختصاصاتها المقررة بقانون إنشائها رقم (32) لسنة 2008. ولذلك فإن ما يصدر عنهما — بإيقاع الجزاء أو بحفظ الشكوى —</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قرارات إدارية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تخضع لرقابة القضاء على مشروعيتها وأركان صحتها، وهو ما أكدته محكمة التمييز في دبي في أحكام عديدة.</w:t>
      </w:r>
    </w:p>
    <w:bookmarkEnd w:id="58"/>
    <w:bookmarkStart w:id="59" w:name="Xdfa02a869361325a776ad32f6d86f1190dd6028"/>
    <w:p>
      <w:pPr>
        <w:pStyle w:val="Heading2"/>
        <w:bidi/>
        <w:jc w:val="right"/>
      </w:pPr>
      <w:r>
        <w:rPr>
          <w:rFonts w:ascii="Dubai" w:hAnsi="Dubai" w:cs="Dubai" w:eastAsia="Dubai"/>
          <w:b/>
          <w:bCs/>
          <w:color w:val="9C771F"/>
          <w:sz w:val="30"/>
          <w:rtl/>
          <w:szCs w:val="30"/>
        </w:rPr>
        <w:t xml:space="preserve">[تفاعلي › تبويبات] النهائية والتحصّن: وصفان يكثر الخلط بينهما</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التبويب</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نهائية القرار</w:t>
            </w:r>
          </w:p>
        </w:tc>
        <w:tc>
          <w:tcPr/>
          <w:p>
            <w:pPr>
              <w:pStyle w:val="Compact"/>
              <w:bidi/>
              <w:jc w:val="right"/>
            </w:pPr>
            <w:r>
              <w:rPr>
                <w:rFonts w:ascii="Dubai" w:hAnsi="Dubai" w:cs="Dubai" w:eastAsia="Dubai"/>
                <w:color w:val="1A171C"/>
                <w:sz w:val="22"/>
                <w:rtl/>
                <w:szCs w:val="22"/>
              </w:rPr>
              <w:t xml:space="preserve">تعني أن القرار قابل للتنفيذ وترتيب أثره دون حاجة إلى إجراء إداري آخر. يصبح قرار لجنة السلوك المهني نهائيًا بفوات ميعاد التظلم منه، ويصبح قرار لجنة التظلمات نهائيًا فور صدوره.</w:t>
            </w:r>
          </w:p>
        </w:tc>
      </w:tr>
      <w:tr>
        <w:tc>
          <w:tcPr/>
          <w:p>
            <w:pPr>
              <w:pStyle w:val="Compact"/>
              <w:bidi/>
              <w:jc w:val="right"/>
            </w:pPr>
            <w:r>
              <w:rPr>
                <w:rFonts w:ascii="Dubai" w:hAnsi="Dubai" w:cs="Dubai" w:eastAsia="Dubai"/>
                <w:color w:val="1A171C"/>
                <w:sz w:val="22"/>
                <w:rtl/>
                <w:szCs w:val="22"/>
              </w:rPr>
              <w:t xml:space="preserve">تحصّن القرار</w:t>
            </w:r>
          </w:p>
        </w:tc>
        <w:tc>
          <w:tcPr/>
          <w:p>
            <w:pPr>
              <w:pStyle w:val="Compact"/>
              <w:bidi/>
              <w:jc w:val="right"/>
            </w:pPr>
            <w:r>
              <w:rPr>
                <w:rFonts w:ascii="Dubai" w:hAnsi="Dubai" w:cs="Dubai" w:eastAsia="Dubai"/>
                <w:color w:val="1A171C"/>
                <w:sz w:val="22"/>
                <w:rtl/>
                <w:szCs w:val="22"/>
              </w:rPr>
              <w:t xml:space="preserve">يعني أن القرار لم يعد قابلًا للطعن أمام القضاء ولا للإلغاء. يتحصّن القرار بعدم الطعن عليه خلال 60 يومًا من تاريخ الإعلان أو العلم اليقيني أو النشر، أو بصدور حكم نهائي بتأييده — وفي الحالة الأخيرة يكون مصدر التحصّن حجية الحكم لا ذاتية القرار.</w:t>
            </w:r>
          </w:p>
        </w:tc>
      </w:tr>
    </w:tbl>
    <w:bookmarkEnd w:id="59"/>
    <w:bookmarkStart w:id="60" w:name="نص-فقرة-القرارات-التنفيذية"/>
    <w:p>
      <w:pPr>
        <w:pStyle w:val="Heading2"/>
        <w:bidi/>
        <w:jc w:val="right"/>
      </w:pPr>
      <w:r>
        <w:rPr>
          <w:rFonts w:ascii="Dubai" w:hAnsi="Dubai" w:cs="Dubai" w:eastAsia="Dubai"/>
          <w:b/>
          <w:bCs/>
          <w:color w:val="9C771F"/>
          <w:sz w:val="30"/>
          <w:rtl/>
          <w:szCs w:val="30"/>
        </w:rPr>
        <w:t xml:space="preserve">[نص › فقرة] القرارات التنفيذية</w:t>
      </w:r>
    </w:p>
    <w:p>
      <w:pPr>
        <w:bidi/>
        <w:jc w:val="both"/>
      </w:pPr>
      <w:r>
        <w:rPr>
          <w:rFonts w:ascii="Dubai" w:hAnsi="Dubai" w:cs="Dubai" w:eastAsia="Dubai"/>
          <w:color w:val="1A171C"/>
          <w:sz w:val="24"/>
          <w:rtl/>
          <w:szCs w:val="24"/>
        </w:rPr>
        <w:t xml:space="preserve">ليس كل ما يصدر عن الدائرة قرارًا إداريًا. فالإجراءات التي تتخذها الدائرة تنفيذًا لقرار نهائي من لجنة السلوك المهني أو لجنة التظلمات — دون أن تُنشئ مركزًا قانونيًا جديدًا — أعمال مادية تنفيذية، لا تقبل الطعن بالإلغاء أو طلب وقف التنفيذ. يجب أن يُوجَّه الطعن إلى القرار الأصلي.</w:t>
      </w:r>
    </w:p>
    <w:bookmarkEnd w:id="60"/>
    <w:bookmarkStart w:id="61" w:name="عبارة-ملاحظة-قاعدة-عملية"/>
    <w:p>
      <w:pPr>
        <w:pStyle w:val="Heading2"/>
        <w:bidi/>
        <w:jc w:val="right"/>
      </w:pPr>
      <w:r>
        <w:rPr>
          <w:rFonts w:ascii="Dubai" w:hAnsi="Dubai" w:cs="Dubai" w:eastAsia="Dubai"/>
          <w:b/>
          <w:bCs/>
          <w:color w:val="9C771F"/>
          <w:sz w:val="30"/>
          <w:rtl/>
          <w:szCs w:val="30"/>
        </w:rPr>
        <w:t xml:space="preserve">[عبارة › ملاحظة] قاعدة عملية</w:t>
      </w:r>
    </w:p>
    <w:p>
      <w:pPr>
        <w:bidi/>
        <w:jc w:val="both"/>
      </w:pPr>
      <w:r>
        <w:rPr>
          <w:rFonts w:ascii="Dubai" w:hAnsi="Dubai" w:cs="Dubai" w:eastAsia="Dubai"/>
          <w:color w:val="1A171C"/>
          <w:sz w:val="24"/>
          <w:rtl/>
          <w:szCs w:val="24"/>
        </w:rPr>
        <w:t xml:space="preserve">إذا أردت الطعن، فاستهدف القرار الذي أنشأ المركز القانوني، لا الإجراء الذي نفّذه.</w:t>
      </w:r>
    </w:p>
    <w:bookmarkEnd w:id="61"/>
    <w:bookmarkStart w:id="62" w:name="تحقق-من-فهمك-اختيار-من-متعدد-سؤال-5"/>
    <w:p>
      <w:pPr>
        <w:pStyle w:val="Heading2"/>
        <w:bidi/>
        <w:jc w:val="right"/>
      </w:pPr>
      <w:r>
        <w:rPr>
          <w:rFonts w:ascii="Dubai" w:hAnsi="Dubai" w:cs="Dubai" w:eastAsia="Dubai"/>
          <w:b/>
          <w:bCs/>
          <w:color w:val="9C771F"/>
          <w:sz w:val="30"/>
          <w:rtl/>
          <w:szCs w:val="30"/>
        </w:rPr>
        <w:t xml:space="preserve">[تحقق من فهمك › اختيار من متعدد] سؤال 5</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صدر قرار من لجنة التظلمات بوقف مستشار عن العمل ستة أشهر، ثم أصدرت الدائرة إجراءً بتعطيل قيده تنفيذًا لذلك. أراد المستشار الطعن قضائيًا. ما الصحيح؟</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يطعن على إجراء تعطيل القيد لأنه الأحدث.</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إجراء تعطيل القيد تنفيذي لا يُنشئ مركزًا قانونيًا جديدًا، فلا يقبل الطعن بالإلغاء.</w:t>
            </w:r>
          </w:p>
        </w:tc>
      </w:tr>
      <w:tr>
        <w:tc>
          <w:tcPr/>
          <w:p>
            <w:pPr>
              <w:pStyle w:val="Compact"/>
              <w:bidi/>
              <w:jc w:val="right"/>
            </w:pPr>
            <w:r>
              <w:rPr>
                <w:rFonts w:ascii="Dubai" w:hAnsi="Dubai" w:cs="Dubai" w:eastAsia="Dubai"/>
                <w:color w:val="1A171C"/>
                <w:sz w:val="22"/>
                <w:rtl/>
                <w:szCs w:val="22"/>
              </w:rPr>
              <w:t xml:space="preserve">يطعن على قرار لجنة التظلمات خلال 60 يومًا من إعلانه أو علمه اليقيني به.</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قرار لجنة التظلمات قرار إداري نهائي، والطعن يُوجَّه إليه قبل أن يتحصّن.</w:t>
            </w:r>
          </w:p>
        </w:tc>
      </w:tr>
      <w:tr>
        <w:tc>
          <w:tcPr/>
          <w:p>
            <w:pPr>
              <w:pStyle w:val="Compact"/>
              <w:bidi/>
              <w:jc w:val="right"/>
            </w:pPr>
            <w:r>
              <w:rPr>
                <w:rFonts w:ascii="Dubai" w:hAnsi="Dubai" w:cs="Dubai" w:eastAsia="Dubai"/>
                <w:color w:val="1A171C"/>
                <w:sz w:val="22"/>
                <w:rtl/>
                <w:szCs w:val="22"/>
              </w:rPr>
              <w:t xml:space="preserve">لا يجوز الطعن قضائيًا لأن قرار لجنة التظلمات نهائي.</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النهائية تعني قابلية التنفيذ، لا التحصّن من رقابة القضاء.</w:t>
            </w:r>
          </w:p>
        </w:tc>
      </w:tr>
      <w:tr>
        <w:tc>
          <w:tcPr/>
          <w:p>
            <w:pPr>
              <w:pStyle w:val="Compact"/>
              <w:bidi/>
              <w:jc w:val="right"/>
            </w:pPr>
            <w:r>
              <w:rPr>
                <w:rFonts w:ascii="Dubai" w:hAnsi="Dubai" w:cs="Dubai" w:eastAsia="Dubai"/>
                <w:color w:val="1A171C"/>
                <w:sz w:val="22"/>
                <w:rtl/>
                <w:szCs w:val="22"/>
              </w:rPr>
              <w:t xml:space="preserve">يتظلّم مرة ثانية أمام لجنة السلوك المهني.</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قرار لجنة التظلمات نهائي على المستوى الإداري، ولا يوجد تظلم إداري آخر منه.</w:t>
            </w:r>
          </w:p>
        </w:tc>
      </w:tr>
    </w:tbl>
    <w:bookmarkEnd w:id="62"/>
    <w:bookmarkStart w:id="63" w:name="فاصل-متابعة-4"/>
    <w:p>
      <w:pPr>
        <w:pStyle w:val="Heading2"/>
        <w:bidi/>
        <w:jc w:val="right"/>
      </w:pPr>
      <w:r>
        <w:rPr>
          <w:rFonts w:ascii="Dubai" w:hAnsi="Dubai" w:cs="Dubai" w:eastAsia="Dubai"/>
          <w:b/>
          <w:bCs/>
          <w:color w:val="9C771F"/>
          <w:sz w:val="30"/>
          <w:rtl/>
          <w:szCs w:val="30"/>
        </w:rPr>
        <w:t xml:space="preserve">[فاصل › متابعة]</w:t>
      </w:r>
    </w:p>
    <w:bookmarkEnd w:id="63"/>
    <w:bookmarkEnd w:id="64"/>
    <w:bookmarkStart w:id="72" w:name="الدرس-6-المسؤولية-التأديبية-وما-يميزها"/>
    <w:p>
      <w:pPr>
        <w:pStyle w:val="Heading1"/>
        <w:bidi/>
        <w:jc w:val="right"/>
      </w:pPr>
      <w:r>
        <w:rPr>
          <w:rFonts w:ascii="Dubai" w:hAnsi="Dubai" w:cs="Dubai" w:eastAsia="Dubai"/>
          <w:b/>
          <w:bCs/>
          <w:color w:val="1A171C"/>
          <w:sz w:val="40"/>
          <w:rtl/>
          <w:szCs w:val="40"/>
        </w:rPr>
        <w:t xml:space="preserve">الدرس 6: المسؤولية التأديبية وما يميّزها</w:t>
      </w:r>
    </w:p>
    <w:bookmarkStart w:id="65" w:name="نص-عنوان-وفقرة-ما-المسؤولية-التأديبية"/>
    <w:p>
      <w:pPr>
        <w:pStyle w:val="Heading2"/>
        <w:bidi/>
        <w:jc w:val="right"/>
      </w:pPr>
      <w:r>
        <w:rPr>
          <w:rFonts w:ascii="Dubai" w:hAnsi="Dubai" w:cs="Dubai" w:eastAsia="Dubai"/>
          <w:b/>
          <w:bCs/>
          <w:color w:val="9C771F"/>
          <w:sz w:val="30"/>
          <w:rtl/>
          <w:szCs w:val="30"/>
        </w:rPr>
        <w:t xml:space="preserve">[نص › عنوان وفقرة] ما المسؤولية التأديبية؟</w:t>
      </w:r>
    </w:p>
    <w:p>
      <w:pPr>
        <w:bidi/>
        <w:jc w:val="both"/>
      </w:pPr>
      <w:r>
        <w:rPr>
          <w:rFonts w:ascii="Dubai" w:hAnsi="Dubai" w:cs="Dubai" w:eastAsia="Dubai"/>
          <w:color w:val="1A171C"/>
          <w:sz w:val="24"/>
          <w:rtl/>
          <w:szCs w:val="24"/>
        </w:rPr>
        <w:t xml:space="preserve">المسؤولية التأديبية هي الشق الموضوعي في نظام التأديب، وتُعرَّف بأنها</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إخلال المحامي أو المستشار القانوني بالتزام مهني أو مسلكي تفرضه عليه القوانين واللوائح الحاكمة للمهنتين</w:t>
      </w:r>
      <w:r>
        <w:rPr>
          <w:rFonts w:ascii="Dubai" w:hAnsi="Dubai" w:cs="Dubai" w:eastAsia="Dubai"/>
          <w:color w:val="1A171C"/>
          <w:sz w:val="24"/>
          <w:rtl/>
          <w:szCs w:val="24"/>
        </w:rPr>
        <w:t xml:space="preserve">. والخلط بينها وبين المسؤوليتين الجزائية والمدنية يُضعف صحة الطلبات وإجراءات التقاضي، ولذلك يلزم التمييز بينها بدقة.</w:t>
      </w:r>
    </w:p>
    <w:bookmarkEnd w:id="65"/>
    <w:bookmarkStart w:id="66" w:name="Xb2ac1ac05da9b4baad09eeb0de35803dc465aa5"/>
    <w:p>
      <w:pPr>
        <w:pStyle w:val="Heading2"/>
        <w:bidi/>
        <w:jc w:val="right"/>
      </w:pPr>
      <w:r>
        <w:rPr>
          <w:rFonts w:ascii="Dubai" w:hAnsi="Dubai" w:cs="Dubai" w:eastAsia="Dubai"/>
          <w:b/>
          <w:bCs/>
          <w:color w:val="9C771F"/>
          <w:sz w:val="30"/>
          <w:rtl/>
          <w:szCs w:val="30"/>
        </w:rPr>
        <w:t xml:space="preserve">[تفاعلي › تبويبات] ثلاث مسؤوليات، ثلاثة منطقات</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التبويب</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التأديبية</w:t>
            </w:r>
          </w:p>
        </w:tc>
        <w:tc>
          <w:tcPr/>
          <w:p>
            <w:pPr>
              <w:pStyle w:val="Compact"/>
              <w:bidi/>
              <w:jc w:val="right"/>
            </w:pPr>
            <w:r>
              <w:rPr>
                <w:rFonts w:ascii="Dubai" w:hAnsi="Dubai" w:cs="Dubai" w:eastAsia="Dubai"/>
                <w:color w:val="1A171C"/>
                <w:sz w:val="22"/>
                <w:rtl/>
                <w:szCs w:val="22"/>
              </w:rPr>
              <w:t xml:space="preserve">تحمي المهنة ورقيها وجودة خدماتها. يحرّكها جهة الادعاء (الإدارة) ويبلّغ عنها أي شخص. لا يُشترط فيها الضرر. لا يحكمها مبدأ «لا جريمة ولا عقوبة إلا بنص»، بل تكفي الالتزامات العامة. جزاؤها يقيّد مزاولة المهنة (تنبيه، إنذار، وقف، شطب).</w:t>
            </w:r>
          </w:p>
        </w:tc>
      </w:tr>
      <w:tr>
        <w:tc>
          <w:tcPr/>
          <w:p>
            <w:pPr>
              <w:pStyle w:val="Compact"/>
              <w:bidi/>
              <w:jc w:val="right"/>
            </w:pPr>
            <w:r>
              <w:rPr>
                <w:rFonts w:ascii="Dubai" w:hAnsi="Dubai" w:cs="Dubai" w:eastAsia="Dubai"/>
                <w:color w:val="1A171C"/>
                <w:sz w:val="22"/>
                <w:rtl/>
                <w:szCs w:val="22"/>
              </w:rPr>
              <w:t xml:space="preserve">الجزائية</w:t>
            </w:r>
          </w:p>
        </w:tc>
        <w:tc>
          <w:tcPr/>
          <w:p>
            <w:pPr>
              <w:pStyle w:val="Compact"/>
              <w:bidi/>
              <w:jc w:val="right"/>
            </w:pPr>
            <w:r>
              <w:rPr>
                <w:rFonts w:ascii="Dubai" w:hAnsi="Dubai" w:cs="Dubai" w:eastAsia="Dubai"/>
                <w:color w:val="1A171C"/>
                <w:sz w:val="22"/>
                <w:rtl/>
                <w:szCs w:val="22"/>
              </w:rPr>
              <w:t xml:space="preserve">تحمي سلامة المجتمع والنظام العام بصورة أشمل. يحكمها مبدأ الشرعية «لا جريمة ولا عقوبة إلا بنص». عقوباتها قد تمس الحرية الشخصية (السجن والحبس).</w:t>
            </w:r>
          </w:p>
        </w:tc>
      </w:tr>
      <w:tr>
        <w:tc>
          <w:tcPr/>
          <w:p>
            <w:pPr>
              <w:pStyle w:val="Compact"/>
              <w:bidi/>
              <w:jc w:val="right"/>
            </w:pPr>
            <w:r>
              <w:rPr>
                <w:rFonts w:ascii="Dubai" w:hAnsi="Dubai" w:cs="Dubai" w:eastAsia="Dubai"/>
                <w:color w:val="1A171C"/>
                <w:sz w:val="22"/>
                <w:rtl/>
                <w:szCs w:val="22"/>
              </w:rPr>
              <w:t xml:space="preserve">المدنية</w:t>
            </w:r>
          </w:p>
        </w:tc>
        <w:tc>
          <w:tcPr/>
          <w:p>
            <w:pPr>
              <w:pStyle w:val="Compact"/>
              <w:bidi/>
              <w:jc w:val="right"/>
            </w:pPr>
            <w:r>
              <w:rPr>
                <w:rFonts w:ascii="Dubai" w:hAnsi="Dubai" w:cs="Dubai" w:eastAsia="Dubai"/>
                <w:color w:val="1A171C"/>
                <w:sz w:val="22"/>
                <w:rtl/>
                <w:szCs w:val="22"/>
              </w:rPr>
              <w:t xml:space="preserve">تحمي الحق الشخصي للفرد، المادي أو الأدبي. لا يرفعها إلا صاحب الصفة والمصلحة. الضرر ركن لا تقوم بدونه. جزاؤها جبر الضرر بالتعويض أو إعادة الحال. لا تنقضي بوفاة المدعى عليه، وقد تقوم عن فعل الغير (كمسؤولية المتبوع عن تابعه).</w:t>
            </w:r>
          </w:p>
        </w:tc>
      </w:tr>
    </w:tbl>
    <w:bookmarkEnd w:id="66"/>
    <w:bookmarkStart w:id="67" w:name="Xac9b3142b24ec022bfbf8944f8990dd8ffdba55"/>
    <w:p>
      <w:pPr>
        <w:pStyle w:val="Heading2"/>
        <w:bidi/>
        <w:jc w:val="right"/>
      </w:pPr>
      <w:r>
        <w:rPr>
          <w:rFonts w:ascii="Dubai" w:hAnsi="Dubai" w:cs="Dubai" w:eastAsia="Dubai"/>
          <w:b/>
          <w:bCs/>
          <w:color w:val="9C771F"/>
          <w:sz w:val="30"/>
          <w:rtl/>
          <w:szCs w:val="30"/>
        </w:rPr>
        <w:t xml:space="preserve">[تفاعلي › بطاقات تعليمية] ما تشترك فيه المسؤولية التأديبية مع الجزائية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الوجه الأمامي</w:t>
            </w:r>
          </w:p>
        </w:tc>
        <w:tc>
          <w:tcPr>
            <w:shd w:val="clear" w:fill="1A171C"/>
          </w:tcPr>
          <w:p>
            <w:pPr>
              <w:pStyle w:val="Compact"/>
              <w:bidi/>
              <w:jc w:val="right"/>
            </w:pPr>
            <w:r>
              <w:rPr>
                <w:rFonts w:ascii="Dubai" w:hAnsi="Dubai" w:cs="Dubai" w:eastAsia="Dubai"/>
                <w:b/>
                <w:bCs/>
                <w:color w:val="FFFFFF"/>
                <w:sz w:val="22"/>
                <w:rtl/>
                <w:szCs w:val="22"/>
              </w:rPr>
              <w:t xml:space="preserve">الوجه الخلفي</w:t>
            </w:r>
          </w:p>
        </w:tc>
      </w:tr>
      <w:tr>
        <w:tc>
          <w:tcPr/>
          <w:p>
            <w:pPr>
              <w:pStyle w:val="Compact"/>
              <w:bidi/>
              <w:jc w:val="right"/>
            </w:pPr>
            <w:r>
              <w:rPr>
                <w:rFonts w:ascii="Dubai" w:hAnsi="Dubai" w:cs="Dubai" w:eastAsia="Dubai"/>
                <w:color w:val="1A171C"/>
                <w:sz w:val="22"/>
                <w:rtl/>
                <w:szCs w:val="22"/>
              </w:rPr>
              <w:t xml:space="preserve">اليقين لا الشك</w:t>
            </w:r>
          </w:p>
        </w:tc>
        <w:tc>
          <w:tcPr/>
          <w:p>
            <w:pPr>
              <w:pStyle w:val="Compact"/>
              <w:bidi/>
              <w:jc w:val="right"/>
            </w:pPr>
            <w:r>
              <w:rPr>
                <w:rFonts w:ascii="Dubai" w:hAnsi="Dubai" w:cs="Dubai" w:eastAsia="Dubai"/>
                <w:color w:val="1A171C"/>
                <w:sz w:val="22"/>
                <w:rtl/>
                <w:szCs w:val="22"/>
              </w:rPr>
              <w:t xml:space="preserve">لا إدانة إلا بدليل يقيني على فعل إيجابي أو سلبي؛ والشك يُفسَّر لصالح المشكو في حقه.</w:t>
            </w:r>
          </w:p>
        </w:tc>
      </w:tr>
      <w:tr>
        <w:tc>
          <w:tcPr/>
          <w:p>
            <w:pPr>
              <w:pStyle w:val="Compact"/>
              <w:bidi/>
              <w:jc w:val="right"/>
            </w:pPr>
            <w:r>
              <w:rPr>
                <w:rFonts w:ascii="Dubai" w:hAnsi="Dubai" w:cs="Dubai" w:eastAsia="Dubai"/>
                <w:color w:val="1A171C"/>
                <w:sz w:val="22"/>
                <w:rtl/>
                <w:szCs w:val="22"/>
              </w:rPr>
              <w:t xml:space="preserve">شخصية المسؤولية</w:t>
            </w:r>
          </w:p>
        </w:tc>
        <w:tc>
          <w:tcPr/>
          <w:p>
            <w:pPr>
              <w:pStyle w:val="Compact"/>
              <w:bidi/>
              <w:jc w:val="right"/>
            </w:pPr>
            <w:r>
              <w:rPr>
                <w:rFonts w:ascii="Dubai" w:hAnsi="Dubai" w:cs="Dubai" w:eastAsia="Dubai"/>
                <w:color w:val="1A171C"/>
                <w:sz w:val="22"/>
                <w:rtl/>
                <w:szCs w:val="22"/>
              </w:rPr>
              <w:t xml:space="preserve">لا يُسأل المهني إلا عن فعله الشخصي: «ولا تزر وازرة وزر أخرى».</w:t>
            </w:r>
          </w:p>
        </w:tc>
      </w:tr>
      <w:tr>
        <w:tc>
          <w:tcPr/>
          <w:p>
            <w:pPr>
              <w:pStyle w:val="Compact"/>
              <w:bidi/>
              <w:jc w:val="right"/>
            </w:pPr>
            <w:r>
              <w:rPr>
                <w:rFonts w:ascii="Dubai" w:hAnsi="Dubai" w:cs="Dubai" w:eastAsia="Dubai"/>
                <w:color w:val="1A171C"/>
                <w:sz w:val="22"/>
                <w:rtl/>
                <w:szCs w:val="22"/>
              </w:rPr>
              <w:t xml:space="preserve">الانقضاء بالوفاة</w:t>
            </w:r>
          </w:p>
        </w:tc>
        <w:tc>
          <w:tcPr/>
          <w:p>
            <w:pPr>
              <w:pStyle w:val="Compact"/>
              <w:bidi/>
              <w:jc w:val="right"/>
            </w:pPr>
            <w:r>
              <w:rPr>
                <w:rFonts w:ascii="Dubai" w:hAnsi="Dubai" w:cs="Dubai" w:eastAsia="Dubai"/>
                <w:color w:val="1A171C"/>
                <w:sz w:val="22"/>
                <w:rtl/>
                <w:szCs w:val="22"/>
              </w:rPr>
              <w:t xml:space="preserve">تنقضي المساءلة بوفاة المخالف قبل صدور قرار بات، أيًا كانت المرحلة.</w:t>
            </w:r>
          </w:p>
        </w:tc>
      </w:tr>
      <w:tr>
        <w:tc>
          <w:tcPr/>
          <w:p>
            <w:pPr>
              <w:pStyle w:val="Compact"/>
              <w:bidi/>
              <w:jc w:val="right"/>
            </w:pPr>
            <w:r>
              <w:rPr>
                <w:rFonts w:ascii="Dubai" w:hAnsi="Dubai" w:cs="Dubai" w:eastAsia="Dubai"/>
                <w:color w:val="1A171C"/>
                <w:sz w:val="22"/>
                <w:rtl/>
                <w:szCs w:val="22"/>
              </w:rPr>
              <w:t xml:space="preserve">المبلّغ مجرد مُخبِر</w:t>
            </w:r>
          </w:p>
        </w:tc>
        <w:tc>
          <w:tcPr/>
          <w:p>
            <w:pPr>
              <w:pStyle w:val="Compact"/>
              <w:bidi/>
              <w:jc w:val="right"/>
            </w:pPr>
            <w:r>
              <w:rPr>
                <w:rFonts w:ascii="Dubai" w:hAnsi="Dubai" w:cs="Dubai" w:eastAsia="Dubai"/>
                <w:color w:val="1A171C"/>
                <w:sz w:val="22"/>
                <w:rtl/>
                <w:szCs w:val="22"/>
              </w:rPr>
              <w:t xml:space="preserve">لأي شخص أن يبلّغ، ولا يُدفع بانتفاء صفة المبلّغ.</w:t>
            </w:r>
          </w:p>
        </w:tc>
      </w:tr>
      <w:tr>
        <w:tc>
          <w:tcPr/>
          <w:p>
            <w:pPr>
              <w:pStyle w:val="Compact"/>
              <w:bidi/>
              <w:jc w:val="right"/>
            </w:pPr>
            <w:r>
              <w:rPr>
                <w:rFonts w:ascii="Dubai" w:hAnsi="Dubai" w:cs="Dubai" w:eastAsia="Dubai"/>
                <w:color w:val="1A171C"/>
                <w:sz w:val="22"/>
                <w:rtl/>
                <w:szCs w:val="22"/>
              </w:rPr>
              <w:t xml:space="preserve">القانون الأصلح</w:t>
            </w:r>
          </w:p>
        </w:tc>
        <w:tc>
          <w:tcPr/>
          <w:p>
            <w:pPr>
              <w:pStyle w:val="Compact"/>
              <w:bidi/>
              <w:jc w:val="right"/>
            </w:pPr>
            <w:r>
              <w:rPr>
                <w:rFonts w:ascii="Dubai" w:hAnsi="Dubai" w:cs="Dubai" w:eastAsia="Dubai"/>
                <w:color w:val="1A171C"/>
                <w:sz w:val="22"/>
                <w:rtl/>
                <w:szCs w:val="22"/>
              </w:rPr>
              <w:t xml:space="preserve">لا يُوقَّع جزاء لم يكن مقررًا ونافذًا وقت الفعل، ما لم يُعدَّل العقاب بصورة أصلح.</w:t>
            </w:r>
          </w:p>
        </w:tc>
      </w:tr>
    </w:tbl>
    <w:bookmarkEnd w:id="67"/>
    <w:bookmarkStart w:id="68" w:name="نص-فقرة-الاستقلال-لا-يمنع-الاجتماع"/>
    <w:p>
      <w:pPr>
        <w:pStyle w:val="Heading2"/>
        <w:bidi/>
        <w:jc w:val="right"/>
      </w:pPr>
      <w:r>
        <w:rPr>
          <w:rFonts w:ascii="Dubai" w:hAnsi="Dubai" w:cs="Dubai" w:eastAsia="Dubai"/>
          <w:b/>
          <w:bCs/>
          <w:color w:val="9C771F"/>
          <w:sz w:val="30"/>
          <w:rtl/>
          <w:szCs w:val="30"/>
        </w:rPr>
        <w:t xml:space="preserve">[نص › فقرة] الاستقلال لا يمنع الاجتماع</w:t>
      </w:r>
    </w:p>
    <w:p>
      <w:pPr>
        <w:bidi/>
        <w:jc w:val="both"/>
      </w:pPr>
      <w:r>
        <w:rPr>
          <w:rFonts w:ascii="Dubai" w:hAnsi="Dubai" w:cs="Dubai" w:eastAsia="Dubai"/>
          <w:color w:val="1A171C"/>
          <w:sz w:val="24"/>
          <w:rtl/>
          <w:szCs w:val="24"/>
        </w:rPr>
        <w:t xml:space="preserve">ثبوت إحدى المسؤوليات لا يستتبع حتمًا ثبوت الأخرى. فالتقاعس عن إقامة الدعوى مخالفة مهنية لا تُشكّل بذاتها جريمة، وعدم تحرير اتفاقية الأتعاب إخلال تأديبي لا يرتّب مسؤولية مدنية. لكن قد يجتمع الجرمان في فعل واحد — مثل</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تأجير رخصة المكتب للغير مقابل مبلغ مالي</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 فلا تحول المحاكمة الجزائية دون المساءلة التأديبية.</w:t>
      </w:r>
    </w:p>
    <w:bookmarkEnd w:id="68"/>
    <w:bookmarkStart w:id="69" w:name="X81df953682c0389c91241dea9fc52b580daf6c0"/>
    <w:p>
      <w:pPr>
        <w:pStyle w:val="Heading2"/>
        <w:bidi/>
        <w:jc w:val="right"/>
      </w:pPr>
      <w:r>
        <w:rPr>
          <w:rFonts w:ascii="Dubai" w:hAnsi="Dubai" w:cs="Dubai" w:eastAsia="Dubai"/>
          <w:b/>
          <w:bCs/>
          <w:color w:val="9C771F"/>
          <w:sz w:val="30"/>
          <w:rtl/>
          <w:szCs w:val="30"/>
        </w:rPr>
        <w:t xml:space="preserve">[عبارة › ملاحظة] حجية الأحكام أمام جهة التأديب</w:t>
      </w:r>
    </w:p>
    <w:p>
      <w:pPr>
        <w:bidi/>
        <w:jc w:val="both"/>
      </w:pPr>
      <w:r>
        <w:rPr>
          <w:rFonts w:ascii="Dubai" w:hAnsi="Dubai" w:cs="Dubai" w:eastAsia="Dubai"/>
          <w:color w:val="1A171C"/>
          <w:sz w:val="24"/>
          <w:rtl/>
          <w:szCs w:val="24"/>
        </w:rPr>
        <w:t xml:space="preserve">تتقيد جهة التأديب بالحكم القضائي النهائي في</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الأساس المشترك</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فقط، أي ثبوت الفعل أو نفيه. فإذا قضت المحكمة المدنية نهائيًا بأن المحامي لم يحضر الجلسات، فلا تعيد جهة التأديب التحقيق في ذلك. أما الضرر والتعويض فلا تتقيد بهما، لأنهما ليسا من أركان المخالفة التأديبية.</w:t>
      </w:r>
    </w:p>
    <w:bookmarkEnd w:id="69"/>
    <w:bookmarkStart w:id="70" w:name="Xf760de0f893da80e53398744b2759e1876d8e0b"/>
    <w:p>
      <w:pPr>
        <w:pStyle w:val="Heading2"/>
        <w:bidi/>
        <w:jc w:val="right"/>
      </w:pPr>
      <w:r>
        <w:rPr>
          <w:rFonts w:ascii="Dubai" w:hAnsi="Dubai" w:cs="Dubai" w:eastAsia="Dubai"/>
          <w:b/>
          <w:bCs/>
          <w:color w:val="9C771F"/>
          <w:sz w:val="30"/>
          <w:rtl/>
          <w:szCs w:val="30"/>
        </w:rPr>
        <w:t xml:space="preserve">[تحقق من فهمك › اختيار متعدد الإجابات] سؤال 6</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أيٌّ مما يلي صحيح بشأن المسؤولية التأديبية؟ (اختر كل ما ينطبق)</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تقوم ولو لم يلحق بالعميل أي ضرر.</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الضرر ليس ركنًا فيها، خلافًا للمسؤولية المدنية.</w:t>
            </w:r>
          </w:p>
        </w:tc>
      </w:tr>
      <w:tr>
        <w:tc>
          <w:tcPr/>
          <w:p>
            <w:pPr>
              <w:pStyle w:val="Compact"/>
              <w:bidi/>
              <w:jc w:val="right"/>
            </w:pPr>
            <w:r>
              <w:rPr>
                <w:rFonts w:ascii="Dubai" w:hAnsi="Dubai" w:cs="Dubai" w:eastAsia="Dubai"/>
                <w:color w:val="1A171C"/>
                <w:sz w:val="22"/>
                <w:rtl/>
                <w:szCs w:val="22"/>
              </w:rPr>
              <w:t xml:space="preserve">لا يُعاقب المهني على فعل لم يرد نص خاص بتجريمه.</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يكفي أن يندرج الفعل تحت التزام مهني أو مسلكي عام.</w:t>
            </w:r>
          </w:p>
        </w:tc>
      </w:tr>
      <w:tr>
        <w:tc>
          <w:tcPr/>
          <w:p>
            <w:pPr>
              <w:pStyle w:val="Compact"/>
              <w:bidi/>
              <w:jc w:val="right"/>
            </w:pPr>
            <w:r>
              <w:rPr>
                <w:rFonts w:ascii="Dubai" w:hAnsi="Dubai" w:cs="Dubai" w:eastAsia="Dubai"/>
                <w:color w:val="1A171C"/>
                <w:sz w:val="22"/>
                <w:rtl/>
                <w:szCs w:val="22"/>
              </w:rPr>
              <w:t xml:space="preserve">تنقضي بوفاة المخالف قبل صدور قرار بات.</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لشخصية المسؤولية، وهي سمة مشتركة مع المسؤولية الجزائية.</w:t>
            </w:r>
          </w:p>
        </w:tc>
      </w:tr>
      <w:tr>
        <w:tc>
          <w:tcPr/>
          <w:p>
            <w:pPr>
              <w:pStyle w:val="Compact"/>
              <w:bidi/>
              <w:jc w:val="right"/>
            </w:pPr>
            <w:r>
              <w:rPr>
                <w:rFonts w:ascii="Dubai" w:hAnsi="Dubai" w:cs="Dubai" w:eastAsia="Dubai"/>
                <w:color w:val="1A171C"/>
                <w:sz w:val="22"/>
                <w:rtl/>
                <w:szCs w:val="22"/>
              </w:rPr>
              <w:t xml:space="preserve">يُسأل المهني تأديبيًا عن خطأ زميله في المكتب، كما في مسؤولية المتبوع عن تابعه مدنيًا.</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المسؤولية التأديبية شخصية، ولا يُجازى إلا مرتكب الفعل.</w:t>
            </w:r>
          </w:p>
        </w:tc>
      </w:tr>
    </w:tbl>
    <w:bookmarkEnd w:id="70"/>
    <w:bookmarkStart w:id="71" w:name="فاصل-متابعة-5"/>
    <w:p>
      <w:pPr>
        <w:pStyle w:val="Heading2"/>
        <w:bidi/>
        <w:jc w:val="right"/>
      </w:pPr>
      <w:r>
        <w:rPr>
          <w:rFonts w:ascii="Dubai" w:hAnsi="Dubai" w:cs="Dubai" w:eastAsia="Dubai"/>
          <w:b/>
          <w:bCs/>
          <w:color w:val="9C771F"/>
          <w:sz w:val="30"/>
          <w:rtl/>
          <w:szCs w:val="30"/>
        </w:rPr>
        <w:t xml:space="preserve">[فاصل › متابعة]</w:t>
      </w:r>
    </w:p>
    <w:bookmarkEnd w:id="71"/>
    <w:bookmarkEnd w:id="72"/>
    <w:bookmarkStart w:id="79" w:name="Xc51fe6eccd3874048a65c90266ae6ec467861a2"/>
    <w:p>
      <w:pPr>
        <w:pStyle w:val="Heading1"/>
        <w:bidi/>
        <w:jc w:val="right"/>
      </w:pPr>
      <w:r>
        <w:rPr>
          <w:rFonts w:ascii="Dubai" w:hAnsi="Dubai" w:cs="Dubai" w:eastAsia="Dubai"/>
          <w:b/>
          <w:bCs/>
          <w:color w:val="1A171C"/>
          <w:sz w:val="40"/>
          <w:rtl/>
          <w:szCs w:val="40"/>
        </w:rPr>
        <w:t xml:space="preserve">الدرس 7: مصادر الالتزامات والسريان الزماني</w:t>
      </w:r>
    </w:p>
    <w:bookmarkStart w:id="73" w:name="X3d025f89c09391a023baac3edbc9dad7b01861c"/>
    <w:p>
      <w:pPr>
        <w:pStyle w:val="Heading2"/>
        <w:bidi/>
        <w:jc w:val="right"/>
      </w:pPr>
      <w:r>
        <w:rPr>
          <w:rFonts w:ascii="Dubai" w:hAnsi="Dubai" w:cs="Dubai" w:eastAsia="Dubai"/>
          <w:b/>
          <w:bCs/>
          <w:color w:val="9C771F"/>
          <w:sz w:val="30"/>
          <w:rtl/>
          <w:szCs w:val="30"/>
        </w:rPr>
        <w:t xml:space="preserve">[نص › عنوان وفقرة] الالتزامات المهنية لا تُحصر</w:t>
      </w:r>
    </w:p>
    <w:p>
      <w:pPr>
        <w:bidi/>
        <w:jc w:val="both"/>
      </w:pPr>
      <w:r>
        <w:rPr>
          <w:rFonts w:ascii="Dubai" w:hAnsi="Dubai" w:cs="Dubai" w:eastAsia="Dubai"/>
          <w:color w:val="1A171C"/>
          <w:sz w:val="24"/>
          <w:rtl/>
          <w:szCs w:val="24"/>
        </w:rPr>
        <w:t xml:space="preserve">خلافًا للقوانين الجزائية، لا يُشترط لثبوت المخالفة التأديبية أن يرد بها نص خاص؛ يكفي أن تندرج تحت الالتزامات المهنية والمسلكية العامة الموزعة على التشريعات الحاكمة للمهنتين، بحسب تدرّجها في القوة.</w:t>
      </w:r>
    </w:p>
    <w:bookmarkEnd w:id="73"/>
    <w:bookmarkStart w:id="74" w:name="تفاعلي-أكورديون-أبرز-المصادر-التشريعية"/>
    <w:p>
      <w:pPr>
        <w:pStyle w:val="Heading2"/>
        <w:bidi/>
        <w:jc w:val="right"/>
      </w:pPr>
      <w:r>
        <w:rPr>
          <w:rFonts w:ascii="Dubai" w:hAnsi="Dubai" w:cs="Dubai" w:eastAsia="Dubai"/>
          <w:b/>
          <w:bCs/>
          <w:color w:val="9C771F"/>
          <w:sz w:val="30"/>
          <w:rtl/>
          <w:szCs w:val="30"/>
        </w:rPr>
        <w:t xml:space="preserve">[تفاعلي › أكورديون] أبرز المصادر التشريعية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العنوان</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القوانين</w:t>
            </w:r>
          </w:p>
        </w:tc>
        <w:tc>
          <w:tcPr/>
          <w:p>
            <w:pPr>
              <w:pStyle w:val="Compact"/>
              <w:bidi/>
              <w:jc w:val="right"/>
            </w:pPr>
            <w:r>
              <w:rPr>
                <w:rFonts w:ascii="Dubai" w:hAnsi="Dubai" w:cs="Dubai" w:eastAsia="Dubai"/>
                <w:color w:val="1A171C"/>
                <w:sz w:val="22"/>
                <w:rtl/>
                <w:szCs w:val="22"/>
              </w:rPr>
              <w:t xml:space="preserve">القانون الاتحادي رقم (23) لسنة 1991 في شأن تنظيم مهنة المحاماة (ملغى)؛ والمرسوم بقانون اتحادي رقم (34) لسنة 2022 بشأن تنظيم مهنتي المحاماة والاستشارات القانونية، المعمول به اعتبارًا من 2 يناير 2023، الذي نظّم مهنة الاستشارات القانونية لأول مرة اتحاديًا، وأوجب الكتابة في عقد الأتعاب، وأضاف الجزاء المالي، وجرّم تأجير المكاتب.</w:t>
            </w:r>
          </w:p>
        </w:tc>
      </w:tr>
      <w:tr>
        <w:tc>
          <w:tcPr/>
          <w:p>
            <w:pPr>
              <w:pStyle w:val="Compact"/>
              <w:bidi/>
              <w:jc w:val="right"/>
            </w:pPr>
            <w:r>
              <w:rPr>
                <w:rFonts w:ascii="Dubai" w:hAnsi="Dubai" w:cs="Dubai" w:eastAsia="Dubai"/>
                <w:color w:val="1A171C"/>
                <w:sz w:val="22"/>
                <w:rtl/>
                <w:szCs w:val="22"/>
              </w:rPr>
              <w:t xml:space="preserve">اللوائح الاتحادية</w:t>
            </w:r>
          </w:p>
        </w:tc>
        <w:tc>
          <w:tcPr/>
          <w:p>
            <w:pPr>
              <w:pStyle w:val="Compact"/>
              <w:bidi/>
              <w:jc w:val="right"/>
            </w:pPr>
            <w:r>
              <w:rPr>
                <w:rFonts w:ascii="Dubai" w:hAnsi="Dubai" w:cs="Dubai" w:eastAsia="Dubai"/>
                <w:color w:val="1A171C"/>
                <w:sz w:val="22"/>
                <w:rtl/>
                <w:szCs w:val="22"/>
              </w:rPr>
              <w:t xml:space="preserve">اللائحة التنفيذية للقانون رقم (23) لسنة 1991 (قرار وزير العدل رقم 972 لسنة 2017)؛ واللائحة التنفيذية للمرسوم بقانون رقم (34) لسنة 2022 (قرار مجلس الوزراء رقم 8 لسنة 2025)؛ ولائحة الشركات المهنية (قرار مجلس الوزراء رقم 10 لسنة 2025).</w:t>
            </w:r>
          </w:p>
        </w:tc>
      </w:tr>
      <w:tr>
        <w:tc>
          <w:tcPr/>
          <w:p>
            <w:pPr>
              <w:pStyle w:val="Compact"/>
              <w:bidi/>
              <w:jc w:val="right"/>
            </w:pPr>
            <w:r>
              <w:rPr>
                <w:rFonts w:ascii="Dubai" w:hAnsi="Dubai" w:cs="Dubai" w:eastAsia="Dubai"/>
                <w:color w:val="1A171C"/>
                <w:sz w:val="22"/>
                <w:rtl/>
                <w:szCs w:val="22"/>
              </w:rPr>
              <w:t xml:space="preserve">لوائح دبي</w:t>
            </w:r>
          </w:p>
        </w:tc>
        <w:tc>
          <w:tcPr/>
          <w:p>
            <w:pPr>
              <w:pStyle w:val="Compact"/>
              <w:bidi/>
              <w:jc w:val="right"/>
            </w:pPr>
            <w:r>
              <w:rPr>
                <w:rFonts w:ascii="Dubai" w:hAnsi="Dubai" w:cs="Dubai" w:eastAsia="Dubai"/>
                <w:color w:val="1A171C"/>
                <w:sz w:val="22"/>
                <w:rtl/>
                <w:szCs w:val="22"/>
              </w:rPr>
              <w:t xml:space="preserve">لائحتا قيد المحامين والمستشارين القانونيين (القرار رقم 51 لسنة 2022)؛ ولائحتا ترخيص المكاتب (القرار رقم 52 لسنة 2022)؛ ولائحة برنامج التطوير المهني القانوني المستمر للمستشارين القانونيين (القرار رقم 53 لسنة 2022).</w:t>
            </w:r>
          </w:p>
        </w:tc>
      </w:tr>
      <w:tr>
        <w:tc>
          <w:tcPr/>
          <w:p>
            <w:pPr>
              <w:pStyle w:val="Compact"/>
              <w:bidi/>
              <w:jc w:val="right"/>
            </w:pPr>
            <w:r>
              <w:rPr>
                <w:rFonts w:ascii="Dubai" w:hAnsi="Dubai" w:cs="Dubai" w:eastAsia="Dubai"/>
                <w:color w:val="1A171C"/>
                <w:sz w:val="22"/>
                <w:rtl/>
                <w:szCs w:val="22"/>
              </w:rPr>
              <w:t xml:space="preserve">القرارات</w:t>
            </w:r>
          </w:p>
        </w:tc>
        <w:tc>
          <w:tcPr/>
          <w:p>
            <w:pPr>
              <w:pStyle w:val="Compact"/>
              <w:bidi/>
              <w:jc w:val="right"/>
            </w:pPr>
            <w:r>
              <w:rPr>
                <w:rFonts w:ascii="Dubai" w:hAnsi="Dubai" w:cs="Dubai" w:eastAsia="Dubai"/>
                <w:color w:val="1A171C"/>
                <w:sz w:val="22"/>
                <w:rtl/>
                <w:szCs w:val="22"/>
              </w:rPr>
              <w:t xml:space="preserve">قرار وزير العدل رقم (666) لسنة 2015 بشأن قواعد السلوك المهني وآداب المهنة؛ وقرار مجلس الوزراء رقم (9) لسنة 2025 باعتماد ميثاق عمل مهنة المحاماة والاستشارات القانونية؛ وقرار وزير العدل رقم (533) لسنة 2019 بشأن مواجهة غسل الأموال وتمويل الإرهاب؛ وقرار المجلس التنفيذي رقم (22) لسنة 2011 بشأن الرسوم والغرامات.</w:t>
            </w:r>
          </w:p>
        </w:tc>
      </w:tr>
    </w:tbl>
    <w:bookmarkEnd w:id="74"/>
    <w:bookmarkStart w:id="75" w:name="عبارة-ملاحظة-دبي-سباقة"/>
    <w:p>
      <w:pPr>
        <w:pStyle w:val="Heading2"/>
        <w:bidi/>
        <w:jc w:val="right"/>
      </w:pPr>
      <w:r>
        <w:rPr>
          <w:rFonts w:ascii="Dubai" w:hAnsi="Dubai" w:cs="Dubai" w:eastAsia="Dubai"/>
          <w:b/>
          <w:bCs/>
          <w:color w:val="9C771F"/>
          <w:sz w:val="30"/>
          <w:rtl/>
          <w:szCs w:val="30"/>
        </w:rPr>
        <w:t xml:space="preserve">[عبارة › ملاحظة] دبي سبّاقة</w:t>
      </w:r>
    </w:p>
    <w:p>
      <w:pPr>
        <w:bidi/>
        <w:jc w:val="both"/>
      </w:pPr>
      <w:r>
        <w:rPr>
          <w:rFonts w:ascii="Dubai" w:hAnsi="Dubai" w:cs="Dubai" w:eastAsia="Dubai"/>
          <w:color w:val="1A171C"/>
          <w:sz w:val="24"/>
          <w:rtl/>
          <w:szCs w:val="24"/>
        </w:rPr>
        <w:t xml:space="preserve">نظّمت إمارة دبي مهنة الاستشارات القانونية قبل التنظيم الاتحادي، بدءًا بقرار المجلس التنفيذي رقم (22) لسنة 2011، ثم لائحة الدائرة بالقرار رقم (234) لسنة 2015، فلائحة القيد بالقرار رقم (51) لسنة 2022.</w:t>
      </w:r>
    </w:p>
    <w:bookmarkEnd w:id="75"/>
    <w:bookmarkStart w:id="76" w:name="تفاعلي-تبويبات-أي-تشريع-يطبق-على-الشكوى"/>
    <w:p>
      <w:pPr>
        <w:pStyle w:val="Heading2"/>
        <w:bidi/>
        <w:jc w:val="right"/>
      </w:pPr>
      <w:r>
        <w:rPr>
          <w:rFonts w:ascii="Dubai" w:hAnsi="Dubai" w:cs="Dubai" w:eastAsia="Dubai"/>
          <w:b/>
          <w:bCs/>
          <w:color w:val="9C771F"/>
          <w:sz w:val="30"/>
          <w:rtl/>
          <w:szCs w:val="30"/>
        </w:rPr>
        <w:t xml:space="preserve">[تفاعلي › تبويبات] أي تشريع يُطبَّق على الشكوى؟</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التبويب</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القواعد الموضوعية</w:t>
            </w:r>
          </w:p>
        </w:tc>
        <w:tc>
          <w:tcPr/>
          <w:p>
            <w:pPr>
              <w:pStyle w:val="Compact"/>
              <w:bidi/>
              <w:jc w:val="right"/>
            </w:pPr>
            <w:r>
              <w:rPr>
                <w:rFonts w:ascii="Dubai" w:hAnsi="Dubai" w:cs="Dubai" w:eastAsia="Dubai"/>
                <w:color w:val="1A171C"/>
                <w:sz w:val="22"/>
                <w:rtl/>
                <w:szCs w:val="22"/>
              </w:rPr>
              <w:t xml:space="preserve">يُطبَّق التشريع النافذ</w:t>
            </w:r>
            <w:r>
              <w:rPr>
                <w:rFonts w:ascii="Dubai" w:hAnsi="Dubai" w:cs="Dubai" w:eastAsia="Dubai"/>
                <w:color w:val="1A171C"/>
                <w:sz w:val="22"/>
                <w:rtl/>
                <w:szCs w:val="22"/>
              </w:rPr>
              <w:t xml:space="preserve"> </w:t>
            </w:r>
            <w:r>
              <w:rPr>
                <w:rFonts w:ascii="Dubai" w:hAnsi="Dubai" w:cs="Dubai" w:eastAsia="Dubai"/>
                <w:color w:val="1A171C"/>
                <w:sz w:val="22"/>
                <w:rtl/>
                <w:bCs/>
                <w:b/>
                <w:szCs w:val="22"/>
              </w:rPr>
              <w:t xml:space="preserve">وقت وقوع الفعل</w:t>
            </w:r>
            <w:r>
              <w:rPr>
                <w:rFonts w:ascii="Dubai" w:hAnsi="Dubai" w:cs="Dubai" w:eastAsia="Dubai"/>
                <w:color w:val="1A171C"/>
                <w:sz w:val="22"/>
                <w:rtl/>
                <w:szCs w:val="22"/>
              </w:rPr>
              <w:t xml:space="preserve">، ولا يسري القانون الجديد بأثر رجعي — إلا إذا كان هو</w:t>
            </w:r>
            <w:r>
              <w:rPr>
                <w:rFonts w:ascii="Dubai" w:hAnsi="Dubai" w:cs="Dubai" w:eastAsia="Dubai"/>
                <w:color w:val="1A171C"/>
                <w:sz w:val="22"/>
                <w:rtl/>
                <w:szCs w:val="22"/>
              </w:rPr>
              <w:t xml:space="preserve"> </w:t>
            </w:r>
            <w:r>
              <w:rPr>
                <w:rFonts w:ascii="Dubai" w:hAnsi="Dubai" w:cs="Dubai" w:eastAsia="Dubai"/>
                <w:color w:val="1A171C"/>
                <w:sz w:val="22"/>
                <w:rtl/>
                <w:bCs/>
                <w:b/>
                <w:szCs w:val="22"/>
              </w:rPr>
              <w:t xml:space="preserve">الأصلح</w:t>
            </w:r>
            <w:r>
              <w:rPr>
                <w:rFonts w:ascii="Dubai" w:hAnsi="Dubai" w:cs="Dubai" w:eastAsia="Dubai"/>
                <w:color w:val="1A171C"/>
                <w:sz w:val="22"/>
                <w:rtl/>
                <w:szCs w:val="22"/>
              </w:rPr>
              <w:t xml:space="preserve"> </w:t>
            </w:r>
            <w:r>
              <w:rPr>
                <w:rFonts w:ascii="Dubai" w:hAnsi="Dubai" w:cs="Dubai" w:eastAsia="Dubai"/>
                <w:color w:val="1A171C"/>
                <w:sz w:val="22"/>
                <w:rtl/>
                <w:szCs w:val="22"/>
              </w:rPr>
              <w:t xml:space="preserve">للمشكو في حقه. لذلك يجب تحديد تاريخ الوقائع بدقة.</w:t>
            </w:r>
          </w:p>
        </w:tc>
      </w:tr>
      <w:tr>
        <w:tc>
          <w:tcPr/>
          <w:p>
            <w:pPr>
              <w:pStyle w:val="Compact"/>
              <w:bidi/>
              <w:jc w:val="right"/>
            </w:pPr>
            <w:r>
              <w:rPr>
                <w:rFonts w:ascii="Dubai" w:hAnsi="Dubai" w:cs="Dubai" w:eastAsia="Dubai"/>
                <w:color w:val="1A171C"/>
                <w:sz w:val="22"/>
                <w:rtl/>
                <w:szCs w:val="22"/>
              </w:rPr>
              <w:t xml:space="preserve">المخالفة المستمرة</w:t>
            </w:r>
          </w:p>
        </w:tc>
        <w:tc>
          <w:tcPr/>
          <w:p>
            <w:pPr>
              <w:pStyle w:val="Compact"/>
              <w:bidi/>
              <w:jc w:val="right"/>
            </w:pPr>
            <w:r>
              <w:rPr>
                <w:rFonts w:ascii="Dubai" w:hAnsi="Dubai" w:cs="Dubai" w:eastAsia="Dubai"/>
                <w:color w:val="1A171C"/>
                <w:sz w:val="22"/>
                <w:rtl/>
                <w:szCs w:val="22"/>
              </w:rPr>
              <w:t xml:space="preserve">إذا بدأت المخالفة في ظل القانون القديم واستمرت حتى أدركها القانون الجديد، يُطبَّق القانون الجديد.</w:t>
            </w:r>
          </w:p>
        </w:tc>
      </w:tr>
      <w:tr>
        <w:tc>
          <w:tcPr/>
          <w:p>
            <w:pPr>
              <w:pStyle w:val="Compact"/>
              <w:bidi/>
              <w:jc w:val="right"/>
            </w:pPr>
            <w:r>
              <w:rPr>
                <w:rFonts w:ascii="Dubai" w:hAnsi="Dubai" w:cs="Dubai" w:eastAsia="Dubai"/>
                <w:color w:val="1A171C"/>
                <w:sz w:val="22"/>
                <w:rtl/>
                <w:szCs w:val="22"/>
              </w:rPr>
              <w:t xml:space="preserve">القواعد الإجرائية</w:t>
            </w:r>
          </w:p>
        </w:tc>
        <w:tc>
          <w:tcPr/>
          <w:p>
            <w:pPr>
              <w:pStyle w:val="Compact"/>
              <w:bidi/>
              <w:jc w:val="right"/>
            </w:pPr>
            <w:r>
              <w:rPr>
                <w:rFonts w:ascii="Dubai" w:hAnsi="Dubai" w:cs="Dubai" w:eastAsia="Dubai"/>
                <w:color w:val="1A171C"/>
                <w:sz w:val="22"/>
                <w:rtl/>
                <w:szCs w:val="22"/>
              </w:rPr>
              <w:t xml:space="preserve">يُطبَّق التشريع الإجرائي الجديد فورًا على جميع الشكاوى المنظورة التي لم يصدر فيها قرار نهائي، ولو كانت وقائعها سابقة — استهداءً بالمادة (1) من قانون الإجراءات المدنية رقم (42) لسنة 2022.</w:t>
            </w:r>
          </w:p>
        </w:tc>
      </w:tr>
    </w:tbl>
    <w:bookmarkEnd w:id="76"/>
    <w:bookmarkStart w:id="77" w:name="تحقق-من-فهمك-اختيار-من-متعدد-سؤال-7"/>
    <w:p>
      <w:pPr>
        <w:pStyle w:val="Heading2"/>
        <w:bidi/>
        <w:jc w:val="right"/>
      </w:pPr>
      <w:r>
        <w:rPr>
          <w:rFonts w:ascii="Dubai" w:hAnsi="Dubai" w:cs="Dubai" w:eastAsia="Dubai"/>
          <w:b/>
          <w:bCs/>
          <w:color w:val="9C771F"/>
          <w:sz w:val="30"/>
          <w:rtl/>
          <w:szCs w:val="30"/>
        </w:rPr>
        <w:t xml:space="preserve">[تحقق من فهمك › اختيار من متعدد] سؤال 7</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ارتكب مستشار فعلًا في عام 2021، وكان مؤثّمًا تأديبيًا وقتها، ثم صدر تشريع لاحق جعل الفعل مباحًا. وما زالت الشكوى منظورة. ماذا تطبّق اللجنة؟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التشريع القديم، لأنه النافذ وقت الفعل.</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الأصل تطبيق قانون وقت الفعل، لكن القانون الجديد الأصلح يُطبَّق استثناءً.</w:t>
            </w:r>
          </w:p>
        </w:tc>
      </w:tr>
      <w:tr>
        <w:tc>
          <w:tcPr/>
          <w:p>
            <w:pPr>
              <w:pStyle w:val="Compact"/>
              <w:bidi/>
              <w:jc w:val="right"/>
            </w:pPr>
            <w:r>
              <w:rPr>
                <w:rFonts w:ascii="Dubai" w:hAnsi="Dubai" w:cs="Dubai" w:eastAsia="Dubai"/>
                <w:color w:val="1A171C"/>
                <w:sz w:val="22"/>
                <w:rtl/>
                <w:szCs w:val="22"/>
              </w:rPr>
              <w:t xml:space="preserve">التشريع الجديد، لأنه الأصلح للمشكو في حقه.</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قاعدة القانون الأصلح للمتهم تسري في التأديب كما في الجزاء.</w:t>
            </w:r>
          </w:p>
        </w:tc>
      </w:tr>
      <w:tr>
        <w:tc>
          <w:tcPr/>
          <w:p>
            <w:pPr>
              <w:pStyle w:val="Compact"/>
              <w:bidi/>
              <w:jc w:val="right"/>
            </w:pPr>
            <w:r>
              <w:rPr>
                <w:rFonts w:ascii="Dubai" w:hAnsi="Dubai" w:cs="Dubai" w:eastAsia="Dubai"/>
                <w:color w:val="1A171C"/>
                <w:sz w:val="22"/>
                <w:rtl/>
                <w:szCs w:val="22"/>
              </w:rPr>
              <w:t xml:space="preserve">التشريع الجديد دائمًا، لأن الشكوى ما زالت منظورة.</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هذا حكم القواعد</w:t>
            </w:r>
            <w:r>
              <w:rPr>
                <w:rFonts w:ascii="Dubai" w:hAnsi="Dubai" w:cs="Dubai" w:eastAsia="Dubai"/>
                <w:color w:val="1A171C"/>
                <w:sz w:val="22"/>
                <w:rtl/>
                <w:szCs w:val="22"/>
              </w:rPr>
              <w:t xml:space="preserve"> </w:t>
            </w:r>
            <w:r>
              <w:rPr>
                <w:rFonts w:ascii="Dubai" w:hAnsi="Dubai" w:cs="Dubai" w:eastAsia="Dubai"/>
                <w:color w:val="1A171C"/>
                <w:sz w:val="22"/>
                <w:rtl/>
                <w:bCs/>
                <w:b/>
                <w:szCs w:val="22"/>
              </w:rPr>
              <w:t xml:space="preserve">الإجرائية</w:t>
            </w:r>
            <w:r>
              <w:rPr>
                <w:rFonts w:ascii="Dubai" w:hAnsi="Dubai" w:cs="Dubai" w:eastAsia="Dubai"/>
                <w:color w:val="1A171C"/>
                <w:sz w:val="22"/>
                <w:rtl/>
                <w:szCs w:val="22"/>
              </w:rPr>
              <w:t xml:space="preserve">؛ أما الموضوعية فالأصل فيها قانون وقت الفعل.</w:t>
            </w:r>
          </w:p>
        </w:tc>
      </w:tr>
    </w:tbl>
    <w:bookmarkEnd w:id="77"/>
    <w:bookmarkStart w:id="78" w:name="فاصل-متابعة-6"/>
    <w:p>
      <w:pPr>
        <w:pStyle w:val="Heading2"/>
        <w:bidi/>
        <w:jc w:val="right"/>
      </w:pPr>
      <w:r>
        <w:rPr>
          <w:rFonts w:ascii="Dubai" w:hAnsi="Dubai" w:cs="Dubai" w:eastAsia="Dubai"/>
          <w:b/>
          <w:bCs/>
          <w:color w:val="9C771F"/>
          <w:sz w:val="30"/>
          <w:rtl/>
          <w:szCs w:val="30"/>
        </w:rPr>
        <w:t xml:space="preserve">[فاصل › متابعة]</w:t>
      </w:r>
    </w:p>
    <w:bookmarkEnd w:id="78"/>
    <w:bookmarkEnd w:id="79"/>
    <w:bookmarkStart w:id="86" w:name="Xe6c1d528dfcaaf5135c43187fc51300cb361d25"/>
    <w:p>
      <w:pPr>
        <w:pStyle w:val="Heading1"/>
        <w:bidi/>
        <w:jc w:val="right"/>
      </w:pPr>
      <w:r>
        <w:rPr>
          <w:rFonts w:ascii="Dubai" w:hAnsi="Dubai" w:cs="Dubai" w:eastAsia="Dubai"/>
          <w:b/>
          <w:bCs/>
          <w:color w:val="1A171C"/>
          <w:sz w:val="40"/>
          <w:rtl/>
          <w:szCs w:val="40"/>
        </w:rPr>
        <w:t xml:space="preserve">الدرس 8: مخالفات شائعة (1) — العلاقة مع العملاء</w:t>
      </w:r>
    </w:p>
    <w:bookmarkStart w:id="80" w:name="Xfe291e61fbf3887b1f6d0208b8ac54daad2e949"/>
    <w:p>
      <w:pPr>
        <w:pStyle w:val="Heading2"/>
        <w:bidi/>
        <w:jc w:val="right"/>
      </w:pPr>
      <w:r>
        <w:rPr>
          <w:rFonts w:ascii="Dubai" w:hAnsi="Dubai" w:cs="Dubai" w:eastAsia="Dubai"/>
          <w:b/>
          <w:bCs/>
          <w:color w:val="9C771F"/>
          <w:sz w:val="30"/>
          <w:rtl/>
          <w:szCs w:val="30"/>
        </w:rPr>
        <w:t xml:space="preserve">[نص › عنوان وفقرة] لماذا ندرس المخالفات الشائعة؟</w:t>
      </w:r>
    </w:p>
    <w:p>
      <w:pPr>
        <w:bidi/>
        <w:jc w:val="both"/>
      </w:pPr>
      <w:r>
        <w:rPr>
          <w:rFonts w:ascii="Dubai" w:hAnsi="Dubai" w:cs="Dubai" w:eastAsia="Dubai"/>
          <w:color w:val="1A171C"/>
          <w:sz w:val="24"/>
          <w:rtl/>
          <w:szCs w:val="24"/>
        </w:rPr>
        <w:t xml:space="preserve">لا يمكن حصر المخالفات التأديبية، لكن هناك مخالفات يتكرر ورودها إلى لجنة السلوك المهني. معرفتها وأركانها هي أقصر طريق لتفاديها. أغلبها يقع في علاقة المهني بعميله.</w:t>
      </w:r>
    </w:p>
    <w:bookmarkEnd w:id="80"/>
    <w:bookmarkStart w:id="81" w:name="تفاعلي-أكورديون-الاتفاق-والأداء"/>
    <w:p>
      <w:pPr>
        <w:pStyle w:val="Heading2"/>
        <w:bidi/>
        <w:jc w:val="right"/>
      </w:pPr>
      <w:r>
        <w:rPr>
          <w:rFonts w:ascii="Dubai" w:hAnsi="Dubai" w:cs="Dubai" w:eastAsia="Dubai"/>
          <w:b/>
          <w:bCs/>
          <w:color w:val="9C771F"/>
          <w:sz w:val="30"/>
          <w:rtl/>
          <w:szCs w:val="30"/>
        </w:rPr>
        <w:t xml:space="preserve">[تفاعلي › أكورديون] الاتفاق والأداء</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العنوان</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عدم تحرير اتفاقية الخدمة القانونية</w:t>
            </w:r>
          </w:p>
        </w:tc>
        <w:tc>
          <w:tcPr/>
          <w:p>
            <w:pPr>
              <w:pStyle w:val="Compact"/>
              <w:bidi/>
              <w:jc w:val="right"/>
            </w:pPr>
            <w:r>
              <w:rPr>
                <w:rFonts w:ascii="Dubai" w:hAnsi="Dubai" w:cs="Dubai" w:eastAsia="Dubai"/>
                <w:color w:val="1A171C"/>
                <w:sz w:val="22"/>
                <w:rtl/>
                <w:szCs w:val="22"/>
              </w:rPr>
              <w:t xml:space="preserve">يجب أن يكون عقد الأتعاب مكتوبًا قبل ممارسة العمل (المادة 46/2 من المرسوم بقانون رقم 34 لسنة 2022؛ والمادة 12/3 من الميثاق). ويتضمن على الأقل نطاق الخدمة، وقيمة الأتعاب وأساس تقديرها، وفريق العمل ودور كل عضو. وقبول القضاء المدني للمطالبة باتفاق شفوي لا يرفع المسؤولية التأديبية.</w:t>
            </w:r>
          </w:p>
        </w:tc>
      </w:tr>
      <w:tr>
        <w:tc>
          <w:tcPr/>
          <w:p>
            <w:pPr>
              <w:pStyle w:val="Compact"/>
              <w:bidi/>
              <w:jc w:val="right"/>
            </w:pPr>
            <w:r>
              <w:rPr>
                <w:rFonts w:ascii="Dubai" w:hAnsi="Dubai" w:cs="Dubai" w:eastAsia="Dubai"/>
                <w:color w:val="1A171C"/>
                <w:sz w:val="22"/>
                <w:rtl/>
                <w:szCs w:val="22"/>
              </w:rPr>
              <w:t xml:space="preserve">التقاعس والإهمال</w:t>
            </w:r>
          </w:p>
        </w:tc>
        <w:tc>
          <w:tcPr/>
          <w:p>
            <w:pPr>
              <w:pStyle w:val="Compact"/>
              <w:bidi/>
              <w:jc w:val="right"/>
            </w:pPr>
            <w:r>
              <w:rPr>
                <w:rFonts w:ascii="Dubai" w:hAnsi="Dubai" w:cs="Dubai" w:eastAsia="Dubai"/>
                <w:color w:val="1A171C"/>
                <w:sz w:val="22"/>
                <w:rtl/>
                <w:szCs w:val="22"/>
              </w:rPr>
              <w:t xml:space="preserve">يتحقق إذا لم تُباشَر الخدمة المتفق عليها كليًا أو جزئيًا، أو تراخى المهني دون مبرر مشروع، أو افتقدت الخدمة الحد الأدنى من المعرفة القانونية. ولا يُسأل المهني إلا عن المرحلة التي قبل مباشرتها صراحة أو ضمنًا.</w:t>
            </w:r>
          </w:p>
        </w:tc>
      </w:tr>
      <w:tr>
        <w:tc>
          <w:tcPr/>
          <w:p>
            <w:pPr>
              <w:pStyle w:val="Compact"/>
              <w:bidi/>
              <w:jc w:val="right"/>
            </w:pPr>
            <w:r>
              <w:rPr>
                <w:rFonts w:ascii="Dubai" w:hAnsi="Dubai" w:cs="Dubai" w:eastAsia="Dubai"/>
                <w:color w:val="1A171C"/>
                <w:sz w:val="22"/>
                <w:rtl/>
                <w:szCs w:val="22"/>
              </w:rPr>
              <w:t xml:space="preserve">العمل دون وكالة أو تعليمات</w:t>
            </w:r>
          </w:p>
        </w:tc>
        <w:tc>
          <w:tcPr/>
          <w:p>
            <w:pPr>
              <w:pStyle w:val="Compact"/>
              <w:bidi/>
              <w:jc w:val="right"/>
            </w:pPr>
            <w:r>
              <w:rPr>
                <w:rFonts w:ascii="Dubai" w:hAnsi="Dubai" w:cs="Dubai" w:eastAsia="Dubai"/>
                <w:color w:val="1A171C"/>
                <w:sz w:val="22"/>
                <w:rtl/>
                <w:szCs w:val="22"/>
              </w:rPr>
              <w:t xml:space="preserve">لا يجوز اتخاذ أي إجراء أو تمثيل أو طلب نيابة عن العميل إلا بناءً على تفويض وتعليمات سابقة وثابتة، مع إعلامه دائمًا بحالة تنفيذها.</w:t>
            </w:r>
          </w:p>
        </w:tc>
      </w:tr>
      <w:tr>
        <w:tc>
          <w:tcPr/>
          <w:p>
            <w:pPr>
              <w:pStyle w:val="Compact"/>
              <w:bidi/>
              <w:jc w:val="right"/>
            </w:pPr>
            <w:r>
              <w:rPr>
                <w:rFonts w:ascii="Dubai" w:hAnsi="Dubai" w:cs="Dubai" w:eastAsia="Dubai"/>
                <w:color w:val="1A171C"/>
                <w:sz w:val="22"/>
                <w:rtl/>
                <w:szCs w:val="22"/>
              </w:rPr>
              <w:t xml:space="preserve">عدم المحافظة على مصالح العميل</w:t>
            </w:r>
          </w:p>
        </w:tc>
        <w:tc>
          <w:tcPr/>
          <w:p>
            <w:pPr>
              <w:pStyle w:val="Compact"/>
              <w:bidi/>
              <w:jc w:val="right"/>
            </w:pPr>
            <w:r>
              <w:rPr>
                <w:rFonts w:ascii="Dubai" w:hAnsi="Dubai" w:cs="Dubai" w:eastAsia="Dubai"/>
                <w:color w:val="1A171C"/>
                <w:sz w:val="22"/>
                <w:rtl/>
                <w:szCs w:val="22"/>
              </w:rPr>
              <w:t xml:space="preserve">يلتزم المهني بالمحافظة على أموال العميل، وإيداع الأموال المحصّلة نيابة عنه في حساب خاص منفصل عن حساباته، وتحويلها عند الطلب دون إبطاء. ولا يجوز أن يكتسب أموال العميل محل النزاع، ولو باسم مستعار. ويبطل أي اتفاق يعفيه من هذا الالتزام، مع جواز التأمين على الأخطاء المهنية.</w:t>
            </w:r>
          </w:p>
        </w:tc>
      </w:tr>
      <w:tr>
        <w:tc>
          <w:tcPr/>
          <w:p>
            <w:pPr>
              <w:pStyle w:val="Compact"/>
              <w:bidi/>
              <w:jc w:val="right"/>
            </w:pPr>
            <w:r>
              <w:rPr>
                <w:rFonts w:ascii="Dubai" w:hAnsi="Dubai" w:cs="Dubai" w:eastAsia="Dubai"/>
                <w:color w:val="1A171C"/>
                <w:sz w:val="22"/>
                <w:rtl/>
                <w:szCs w:val="22"/>
              </w:rPr>
              <w:t xml:space="preserve">عدم إطلاع العميل على المستجدات</w:t>
            </w:r>
          </w:p>
        </w:tc>
        <w:tc>
          <w:tcPr/>
          <w:p>
            <w:pPr>
              <w:pStyle w:val="Compact"/>
              <w:bidi/>
              <w:jc w:val="right"/>
            </w:pPr>
            <w:r>
              <w:rPr>
                <w:rFonts w:ascii="Dubai" w:hAnsi="Dubai" w:cs="Dubai" w:eastAsia="Dubai"/>
                <w:color w:val="1A171C"/>
                <w:sz w:val="22"/>
                <w:rtl/>
                <w:szCs w:val="22"/>
              </w:rPr>
              <w:t xml:space="preserve">النيابة تقتضي إطلاع العميل أولًا بأول على ما وصلت إليه المسألة، وتلقي تعليماته بشأنها.</w:t>
            </w:r>
          </w:p>
        </w:tc>
      </w:tr>
    </w:tbl>
    <w:bookmarkEnd w:id="81"/>
    <w:bookmarkStart w:id="82" w:name="تفاعلي-أكورديون-الثقة-والولاء"/>
    <w:p>
      <w:pPr>
        <w:pStyle w:val="Heading2"/>
        <w:bidi/>
        <w:jc w:val="right"/>
      </w:pPr>
      <w:r>
        <w:rPr>
          <w:rFonts w:ascii="Dubai" w:hAnsi="Dubai" w:cs="Dubai" w:eastAsia="Dubai"/>
          <w:b/>
          <w:bCs/>
          <w:color w:val="9C771F"/>
          <w:sz w:val="30"/>
          <w:rtl/>
          <w:szCs w:val="30"/>
        </w:rPr>
        <w:t xml:space="preserve">[تفاعلي › أكورديون] الثقة والولاء</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العنوان</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تعارض المصالح</w:t>
            </w:r>
          </w:p>
        </w:tc>
        <w:tc>
          <w:tcPr/>
          <w:p>
            <w:pPr>
              <w:pStyle w:val="Compact"/>
              <w:bidi/>
              <w:jc w:val="right"/>
            </w:pPr>
            <w:r>
              <w:rPr>
                <w:rFonts w:ascii="Dubai" w:hAnsi="Dubai" w:cs="Dubai" w:eastAsia="Dubai"/>
                <w:color w:val="1A171C"/>
                <w:sz w:val="22"/>
                <w:rtl/>
                <w:szCs w:val="22"/>
              </w:rPr>
              <w:t xml:space="preserve">يُحظر تمثيل خصم العميل أو تقديم أي مساعدة له، ولو مشورة، في النزاع ذاته أو نزاع مرتبط به،</w:t>
            </w:r>
            <w:r>
              <w:rPr>
                <w:rFonts w:ascii="Dubai" w:hAnsi="Dubai" w:cs="Dubai" w:eastAsia="Dubai"/>
                <w:color w:val="1A171C"/>
                <w:sz w:val="22"/>
                <w:rtl/>
                <w:szCs w:val="22"/>
              </w:rPr>
              <w:t xml:space="preserve"> </w:t>
            </w:r>
            <w:r>
              <w:rPr>
                <w:rFonts w:ascii="Dubai" w:hAnsi="Dubai" w:cs="Dubai" w:eastAsia="Dubai"/>
                <w:color w:val="1A171C"/>
                <w:sz w:val="22"/>
                <w:rtl/>
                <w:bCs/>
                <w:b/>
                <w:szCs w:val="22"/>
              </w:rPr>
              <w:t xml:space="preserve">ولو بعد انتهاء الوكالة</w:t>
            </w:r>
            <w:r>
              <w:rPr>
                <w:rFonts w:ascii="Dubai" w:hAnsi="Dubai" w:cs="Dubai" w:eastAsia="Dubai"/>
                <w:color w:val="1A171C"/>
                <w:sz w:val="22"/>
                <w:rtl/>
                <w:szCs w:val="22"/>
              </w:rPr>
              <w:t xml:space="preserve">. ويسري الالتزام على جميع العاملين في المكتب.</w:t>
            </w:r>
          </w:p>
        </w:tc>
      </w:tr>
      <w:tr>
        <w:tc>
          <w:tcPr/>
          <w:p>
            <w:pPr>
              <w:pStyle w:val="Compact"/>
              <w:bidi/>
              <w:jc w:val="right"/>
            </w:pPr>
            <w:r>
              <w:rPr>
                <w:rFonts w:ascii="Dubai" w:hAnsi="Dubai" w:cs="Dubai" w:eastAsia="Dubai"/>
                <w:color w:val="1A171C"/>
                <w:sz w:val="22"/>
                <w:rtl/>
                <w:szCs w:val="22"/>
              </w:rPr>
              <w:t xml:space="preserve">إفشاء الأسرار</w:t>
            </w:r>
          </w:p>
        </w:tc>
        <w:tc>
          <w:tcPr/>
          <w:p>
            <w:pPr>
              <w:pStyle w:val="Compact"/>
              <w:bidi/>
              <w:jc w:val="right"/>
            </w:pPr>
            <w:r>
              <w:rPr>
                <w:rFonts w:ascii="Dubai" w:hAnsi="Dubai" w:cs="Dubai" w:eastAsia="Dubai"/>
                <w:color w:val="1A171C"/>
                <w:sz w:val="22"/>
                <w:rtl/>
                <w:szCs w:val="22"/>
              </w:rPr>
              <w:t xml:space="preserve">الالتزام بالسرية بلا حدود زمنية ولا يتقادم، ويشمل كل ما يصل إلى علم المهني بمناسبة عمله، ويفرضه على شركائه وموظفيه. يجوز الإفصاح استثناءً بالقدر اللازم لدفع ادعاء موجّه إليه بجريمة أو مسؤولية مدنية أو سوء سلوك مهني يتعلق بشؤون العميل.</w:t>
            </w:r>
          </w:p>
        </w:tc>
      </w:tr>
      <w:tr>
        <w:tc>
          <w:tcPr/>
          <w:p>
            <w:pPr>
              <w:pStyle w:val="Compact"/>
              <w:bidi/>
              <w:jc w:val="right"/>
            </w:pPr>
            <w:r>
              <w:rPr>
                <w:rFonts w:ascii="Dubai" w:hAnsi="Dubai" w:cs="Dubai" w:eastAsia="Dubai"/>
                <w:color w:val="1A171C"/>
                <w:sz w:val="22"/>
                <w:rtl/>
                <w:szCs w:val="22"/>
              </w:rPr>
              <w:t xml:space="preserve">الإنابة دون شروطها</w:t>
            </w:r>
          </w:p>
        </w:tc>
        <w:tc>
          <w:tcPr/>
          <w:p>
            <w:pPr>
              <w:pStyle w:val="Compact"/>
              <w:bidi/>
              <w:jc w:val="right"/>
            </w:pPr>
            <w:r>
              <w:rPr>
                <w:rFonts w:ascii="Dubai" w:hAnsi="Dubai" w:cs="Dubai" w:eastAsia="Dubai"/>
                <w:color w:val="1A171C"/>
                <w:sz w:val="22"/>
                <w:rtl/>
                <w:szCs w:val="22"/>
              </w:rPr>
              <w:t xml:space="preserve">تجوز الإنابة خطيًا لمحامٍ آخر تحت مسؤولية الأصيل، بكتاب ممهور بختمه وتوقيعه يتضمن الأسماء وأرقام القيد وبيانات الدعوى. وإذا اشترط العميل الحضور شخصيًا، فلا إنابة إلا للضرورة.</w:t>
            </w:r>
          </w:p>
        </w:tc>
      </w:tr>
      <w:tr>
        <w:tc>
          <w:tcPr/>
          <w:p>
            <w:pPr>
              <w:pStyle w:val="Compact"/>
              <w:bidi/>
              <w:jc w:val="right"/>
            </w:pPr>
            <w:r>
              <w:rPr>
                <w:rFonts w:ascii="Dubai" w:hAnsi="Dubai" w:cs="Dubai" w:eastAsia="Dubai"/>
                <w:color w:val="1A171C"/>
                <w:sz w:val="22"/>
                <w:rtl/>
                <w:szCs w:val="22"/>
              </w:rPr>
              <w:t xml:space="preserve">التنحي في غير أحواله</w:t>
            </w:r>
          </w:p>
        </w:tc>
        <w:tc>
          <w:tcPr/>
          <w:p>
            <w:pPr>
              <w:pStyle w:val="Compact"/>
              <w:bidi/>
              <w:jc w:val="right"/>
            </w:pPr>
            <w:r>
              <w:rPr>
                <w:rFonts w:ascii="Dubai" w:hAnsi="Dubai" w:cs="Dubai" w:eastAsia="Dubai"/>
                <w:color w:val="1A171C"/>
                <w:sz w:val="22"/>
                <w:rtl/>
                <w:szCs w:val="22"/>
              </w:rPr>
              <w:t xml:space="preserve">يجوز التنحي بشروط: إخطار العميل، ورد سند التوكيل والمستندات ومقدّم الأتعاب ما لم يُتفق على خلافه. ولا يجوز التنحي إذا نتج عنه ضرر حالّ ومحدق بمصالح العميل، ولا إذا كانت الدعوى مهيأة للفصل إلا بموافقة المحكمة.</w:t>
            </w:r>
          </w:p>
        </w:tc>
      </w:tr>
    </w:tbl>
    <w:bookmarkEnd w:id="82"/>
    <w:bookmarkStart w:id="83" w:name="عبارة-ملاحظة-للمستشار-القانوني-المستقل"/>
    <w:p>
      <w:pPr>
        <w:pStyle w:val="Heading2"/>
        <w:bidi/>
        <w:jc w:val="right"/>
      </w:pPr>
      <w:r>
        <w:rPr>
          <w:rFonts w:ascii="Dubai" w:hAnsi="Dubai" w:cs="Dubai" w:eastAsia="Dubai"/>
          <w:b/>
          <w:bCs/>
          <w:color w:val="9C771F"/>
          <w:sz w:val="30"/>
          <w:rtl/>
          <w:szCs w:val="30"/>
        </w:rPr>
        <w:t xml:space="preserve">[عبارة › ملاحظة] للمستشار القانوني المستقل</w:t>
      </w:r>
    </w:p>
    <w:p>
      <w:pPr>
        <w:bidi/>
        <w:jc w:val="both"/>
      </w:pPr>
      <w:r>
        <w:rPr>
          <w:rFonts w:ascii="Dubai" w:hAnsi="Dubai" w:cs="Dubai" w:eastAsia="Dubai"/>
          <w:color w:val="1A171C"/>
          <w:sz w:val="24"/>
          <w:rtl/>
          <w:szCs w:val="24"/>
        </w:rPr>
        <w:t xml:space="preserve">بعض هذه الالتزامات صيغت للمحامي، لكنها تُطبَّق عليك بالقدر الذي يتصل بعملك الاستشاري: الاتفاقية المكتوبة، والسرية، وتعارض المصالح، وإطلاع العميل، والمحافظة على أمواله — كلها في صميم عملك اليومي.</w:t>
      </w:r>
    </w:p>
    <w:bookmarkEnd w:id="83"/>
    <w:bookmarkStart w:id="84" w:name="تحقق-من-فهمك-اختيار-من-متعدد-سؤال-8"/>
    <w:p>
      <w:pPr>
        <w:pStyle w:val="Heading2"/>
        <w:bidi/>
        <w:jc w:val="right"/>
      </w:pPr>
      <w:r>
        <w:rPr>
          <w:rFonts w:ascii="Dubai" w:hAnsi="Dubai" w:cs="Dubai" w:eastAsia="Dubai"/>
          <w:b/>
          <w:bCs/>
          <w:color w:val="9C771F"/>
          <w:sz w:val="30"/>
          <w:rtl/>
          <w:szCs w:val="30"/>
        </w:rPr>
        <w:t xml:space="preserve">[تحقق من فهمك › اختيار من متعدد] سؤال 8</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قدّمت استشارة لـ«أحمد» في نزاع عقاري، وانتهت العلاقة بينكما. بعد سنة طلب منك خصمه في النزاع ذاته استشارة مدفوعة. ما التصرّف الصحيح؟</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أقبل، لأن علاقتي بأحمد انتهت.</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حظر مساعدة الخصم يسري</w:t>
            </w:r>
            <w:r>
              <w:rPr>
                <w:rFonts w:ascii="Dubai" w:hAnsi="Dubai" w:cs="Dubai" w:eastAsia="Dubai"/>
                <w:color w:val="1A171C"/>
                <w:sz w:val="22"/>
                <w:rtl/>
                <w:szCs w:val="22"/>
              </w:rPr>
              <w:t xml:space="preserve"> </w:t>
            </w:r>
            <w:r>
              <w:rPr>
                <w:rFonts w:ascii="Dubai" w:hAnsi="Dubai" w:cs="Dubai" w:eastAsia="Dubai"/>
                <w:color w:val="1A171C"/>
                <w:sz w:val="22"/>
                <w:rtl/>
                <w:bCs/>
                <w:b/>
                <w:szCs w:val="22"/>
              </w:rPr>
              <w:t xml:space="preserve">ولو بعد انتهاء الوكالة</w:t>
            </w:r>
            <w:r>
              <w:rPr>
                <w:rFonts w:ascii="Dubai" w:hAnsi="Dubai" w:cs="Dubai" w:eastAsia="Dubai"/>
                <w:color w:val="1A171C"/>
                <w:sz w:val="22"/>
                <w:rtl/>
                <w:szCs w:val="22"/>
              </w:rPr>
              <w:t xml:space="preserve">.</w:t>
            </w:r>
          </w:p>
        </w:tc>
      </w:tr>
      <w:tr>
        <w:tc>
          <w:tcPr/>
          <w:p>
            <w:pPr>
              <w:pStyle w:val="Compact"/>
              <w:bidi/>
              <w:jc w:val="right"/>
            </w:pPr>
            <w:r>
              <w:rPr>
                <w:rFonts w:ascii="Dubai" w:hAnsi="Dubai" w:cs="Dubai" w:eastAsia="Dubai"/>
                <w:color w:val="1A171C"/>
                <w:sz w:val="22"/>
                <w:rtl/>
                <w:szCs w:val="22"/>
              </w:rPr>
              <w:t xml:space="preserve">أقبل بشرط ألا أستخدم معلومات أحمد.</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الحظر لا يقتصر على استخدام المعلومات؛ أي مساعدة للخصم في النزاع ذاته محظورة.</w:t>
            </w:r>
          </w:p>
        </w:tc>
      </w:tr>
      <w:tr>
        <w:tc>
          <w:tcPr/>
          <w:p>
            <w:pPr>
              <w:pStyle w:val="Compact"/>
              <w:bidi/>
              <w:jc w:val="right"/>
            </w:pPr>
            <w:r>
              <w:rPr>
                <w:rFonts w:ascii="Dubai" w:hAnsi="Dubai" w:cs="Dubai" w:eastAsia="Dubai"/>
                <w:color w:val="1A171C"/>
                <w:sz w:val="22"/>
                <w:rtl/>
                <w:szCs w:val="22"/>
              </w:rPr>
              <w:t xml:space="preserve">أعتذر، لأن ذلك تعارض مصالح محظور.</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لا يجوز تقديم أي مساعدة، ولو مشورة، لخصم عميلك في النزاع ذاته أو نزاع مرتبط به.</w:t>
            </w:r>
          </w:p>
        </w:tc>
      </w:tr>
      <w:tr>
        <w:tc>
          <w:tcPr/>
          <w:p>
            <w:pPr>
              <w:pStyle w:val="Compact"/>
              <w:bidi/>
              <w:jc w:val="right"/>
            </w:pPr>
            <w:r>
              <w:rPr>
                <w:rFonts w:ascii="Dubai" w:hAnsi="Dubai" w:cs="Dubai" w:eastAsia="Dubai"/>
                <w:color w:val="1A171C"/>
                <w:sz w:val="22"/>
                <w:rtl/>
                <w:szCs w:val="22"/>
              </w:rPr>
              <w:t xml:space="preserve">أقبل إذا مضت مدة التقادم على النزاع.</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لا يرتبط الحظر بالتقادم؛ والالتزام بالسرية نفسه لا يتقادم.</w:t>
            </w:r>
          </w:p>
        </w:tc>
      </w:tr>
    </w:tbl>
    <w:bookmarkEnd w:id="84"/>
    <w:bookmarkStart w:id="85" w:name="فاصل-متابعة-7"/>
    <w:p>
      <w:pPr>
        <w:pStyle w:val="Heading2"/>
        <w:bidi/>
        <w:jc w:val="right"/>
      </w:pPr>
      <w:r>
        <w:rPr>
          <w:rFonts w:ascii="Dubai" w:hAnsi="Dubai" w:cs="Dubai" w:eastAsia="Dubai"/>
          <w:b/>
          <w:bCs/>
          <w:color w:val="9C771F"/>
          <w:sz w:val="30"/>
          <w:rtl/>
          <w:szCs w:val="30"/>
        </w:rPr>
        <w:t xml:space="preserve">[فاصل › متابعة]</w:t>
      </w:r>
    </w:p>
    <w:bookmarkEnd w:id="85"/>
    <w:bookmarkEnd w:id="86"/>
    <w:bookmarkStart w:id="92" w:name="الدرس-9-مخالفات-شائعة-2-القضاء-والزملاء"/>
    <w:p>
      <w:pPr>
        <w:pStyle w:val="Heading1"/>
        <w:bidi/>
        <w:jc w:val="right"/>
      </w:pPr>
      <w:r>
        <w:rPr>
          <w:rFonts w:ascii="Dubai" w:hAnsi="Dubai" w:cs="Dubai" w:eastAsia="Dubai"/>
          <w:b/>
          <w:bCs/>
          <w:color w:val="1A171C"/>
          <w:sz w:val="40"/>
          <w:rtl/>
          <w:szCs w:val="40"/>
        </w:rPr>
        <w:t xml:space="preserve">الدرس 9: مخالفات شائعة (2) — القضاء والزملاء</w:t>
      </w:r>
    </w:p>
    <w:bookmarkStart w:id="87" w:name="Xd59ebf055001d78a1e51bf957fad3ce37de3116"/>
    <w:p>
      <w:pPr>
        <w:pStyle w:val="Heading2"/>
        <w:bidi/>
        <w:jc w:val="right"/>
      </w:pPr>
      <w:r>
        <w:rPr>
          <w:rFonts w:ascii="Dubai" w:hAnsi="Dubai" w:cs="Dubai" w:eastAsia="Dubai"/>
          <w:b/>
          <w:bCs/>
          <w:color w:val="9C771F"/>
          <w:sz w:val="30"/>
          <w:rtl/>
          <w:szCs w:val="30"/>
        </w:rPr>
        <w:t xml:space="preserve">[نص › عنوان وفقرة] علاقات تحكمها الثقة والاحترام</w:t>
      </w:r>
    </w:p>
    <w:p>
      <w:pPr>
        <w:bidi/>
        <w:jc w:val="both"/>
      </w:pPr>
      <w:r>
        <w:rPr>
          <w:rFonts w:ascii="Dubai" w:hAnsi="Dubai" w:cs="Dubai" w:eastAsia="Dubai"/>
          <w:color w:val="1A171C"/>
          <w:sz w:val="24"/>
          <w:rtl/>
          <w:szCs w:val="24"/>
        </w:rPr>
        <w:t xml:space="preserve">يُطلق على المحاماة «القضاء الواقف»، اعتزازًا بدورها في منظومة العدالة. ويقتضي ذلك احترامًا للسلطة القضائية، وزمالة قائمة على التقدير والتنافس الشريف.</w:t>
      </w:r>
    </w:p>
    <w:bookmarkEnd w:id="87"/>
    <w:bookmarkStart w:id="88" w:name="تفاعلي-تبويبات-العلاقة-بالسلطة-القضائية"/>
    <w:p>
      <w:pPr>
        <w:pStyle w:val="Heading2"/>
        <w:bidi/>
        <w:jc w:val="right"/>
      </w:pPr>
      <w:r>
        <w:rPr>
          <w:rFonts w:ascii="Dubai" w:hAnsi="Dubai" w:cs="Dubai" w:eastAsia="Dubai"/>
          <w:b/>
          <w:bCs/>
          <w:color w:val="9C771F"/>
          <w:sz w:val="30"/>
          <w:rtl/>
          <w:szCs w:val="30"/>
        </w:rPr>
        <w:t xml:space="preserve">[تفاعلي › تبويبات] العلاقة بالسلطة القضائية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التبويب</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عدم توقير القضاء</w:t>
            </w:r>
          </w:p>
        </w:tc>
        <w:tc>
          <w:tcPr/>
          <w:p>
            <w:pPr>
              <w:pStyle w:val="Compact"/>
              <w:bidi/>
              <w:jc w:val="right"/>
            </w:pPr>
            <w:r>
              <w:rPr>
                <w:rFonts w:ascii="Dubai" w:hAnsi="Dubai" w:cs="Dubai" w:eastAsia="Dubai"/>
                <w:color w:val="1A171C"/>
                <w:sz w:val="22"/>
                <w:rtl/>
                <w:szCs w:val="22"/>
              </w:rPr>
              <w:t xml:space="preserve">احترام السلطة القضائية وأعضائها التزام مهني وواجب أخلاقي يعكس مكانة القضاء سلطةً مستقلة تضمن العدالة.</w:t>
            </w:r>
          </w:p>
        </w:tc>
      </w:tr>
      <w:tr>
        <w:tc>
          <w:tcPr/>
          <w:p>
            <w:pPr>
              <w:pStyle w:val="Compact"/>
              <w:bidi/>
              <w:jc w:val="right"/>
            </w:pPr>
            <w:r>
              <w:rPr>
                <w:rFonts w:ascii="Dubai" w:hAnsi="Dubai" w:cs="Dubai" w:eastAsia="Dubai"/>
                <w:color w:val="1A171C"/>
                <w:sz w:val="22"/>
                <w:rtl/>
                <w:szCs w:val="22"/>
              </w:rPr>
              <w:t xml:space="preserve">تضليل العدالة</w:t>
            </w:r>
          </w:p>
        </w:tc>
        <w:tc>
          <w:tcPr/>
          <w:p>
            <w:pPr>
              <w:pStyle w:val="Compact"/>
              <w:bidi/>
              <w:jc w:val="right"/>
            </w:pPr>
            <w:r>
              <w:rPr>
                <w:rFonts w:ascii="Dubai" w:hAnsi="Dubai" w:cs="Dubai" w:eastAsia="Dubai"/>
                <w:color w:val="1A171C"/>
                <w:sz w:val="22"/>
                <w:rtl/>
                <w:szCs w:val="22"/>
              </w:rPr>
              <w:t xml:space="preserve">يحظر تقديم معلومات خاطئة أو مضللة، أو ما يؤخر المحاكمة أو يصرف انتباه المحكمة عن جوهر النزاع، أو إساءة استعمال حق التقاضي، أو عدم تنفيذ أوامر السلطة القضائية. والموازنة بين مصلحة العميل واحترام القضاء واجب دائم.</w:t>
            </w:r>
          </w:p>
        </w:tc>
      </w:tr>
      <w:tr>
        <w:tc>
          <w:tcPr/>
          <w:p>
            <w:pPr>
              <w:pStyle w:val="Compact"/>
              <w:bidi/>
              <w:jc w:val="right"/>
            </w:pPr>
            <w:r>
              <w:rPr>
                <w:rFonts w:ascii="Dubai" w:hAnsi="Dubai" w:cs="Dubai" w:eastAsia="Dubai"/>
                <w:color w:val="1A171C"/>
                <w:sz w:val="22"/>
                <w:rtl/>
                <w:szCs w:val="22"/>
              </w:rPr>
              <w:t xml:space="preserve">رفض الندب</w:t>
            </w:r>
          </w:p>
        </w:tc>
        <w:tc>
          <w:tcPr/>
          <w:p>
            <w:pPr>
              <w:pStyle w:val="Compact"/>
              <w:bidi/>
              <w:jc w:val="right"/>
            </w:pPr>
            <w:r>
              <w:rPr>
                <w:rFonts w:ascii="Dubai" w:hAnsi="Dubai" w:cs="Dubai" w:eastAsia="Dubai"/>
                <w:color w:val="1A171C"/>
                <w:sz w:val="22"/>
                <w:rtl/>
                <w:szCs w:val="22"/>
              </w:rPr>
              <w:t xml:space="preserve">على المحامي قبول ندب المحكمة لتمثيل من يحتاج المساعدة القانونية. إذا رفض دون سبب أو عذر، أو أهمل في الدفاع، أحالته المحكمة إلى المساءلة التأديبية.</w:t>
            </w:r>
          </w:p>
        </w:tc>
      </w:tr>
    </w:tbl>
    <w:bookmarkEnd w:id="88"/>
    <w:bookmarkStart w:id="89" w:name="تفاعلي-تبويبات-العلاقة-بالزملاء"/>
    <w:p>
      <w:pPr>
        <w:pStyle w:val="Heading2"/>
        <w:bidi/>
        <w:jc w:val="right"/>
      </w:pPr>
      <w:r>
        <w:rPr>
          <w:rFonts w:ascii="Dubai" w:hAnsi="Dubai" w:cs="Dubai" w:eastAsia="Dubai"/>
          <w:b/>
          <w:bCs/>
          <w:color w:val="9C771F"/>
          <w:sz w:val="30"/>
          <w:rtl/>
          <w:szCs w:val="30"/>
        </w:rPr>
        <w:t xml:space="preserve">[تفاعلي › تبويبات] العلاقة بالزملاء</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التبويب</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الحلول محل زميل</w:t>
            </w:r>
          </w:p>
        </w:tc>
        <w:tc>
          <w:tcPr/>
          <w:p>
            <w:pPr>
              <w:pStyle w:val="Compact"/>
              <w:bidi/>
              <w:jc w:val="right"/>
            </w:pPr>
            <w:r>
              <w:rPr>
                <w:rFonts w:ascii="Dubai" w:hAnsi="Dubai" w:cs="Dubai" w:eastAsia="Dubai"/>
                <w:color w:val="1A171C"/>
                <w:sz w:val="22"/>
                <w:rtl/>
                <w:szCs w:val="22"/>
              </w:rPr>
              <w:t xml:space="preserve">إذا تبيّن عند قبول التكليف أنك ستحل محل محامٍ أو مستشار أو مكتب سبق تكليفه بالموضوع ذاته، فعليك إخطاره واستطلاع مرئياته قبل المباشرة.</w:t>
            </w:r>
          </w:p>
        </w:tc>
      </w:tr>
      <w:tr>
        <w:tc>
          <w:tcPr/>
          <w:p>
            <w:pPr>
              <w:pStyle w:val="Compact"/>
              <w:bidi/>
              <w:jc w:val="right"/>
            </w:pPr>
            <w:r>
              <w:rPr>
                <w:rFonts w:ascii="Dubai" w:hAnsi="Dubai" w:cs="Dubai" w:eastAsia="Dubai"/>
                <w:color w:val="1A171C"/>
                <w:sz w:val="22"/>
                <w:rtl/>
                <w:szCs w:val="22"/>
              </w:rPr>
              <w:t xml:space="preserve">الإساءة للزميل</w:t>
            </w:r>
          </w:p>
        </w:tc>
        <w:tc>
          <w:tcPr/>
          <w:p>
            <w:pPr>
              <w:pStyle w:val="Compact"/>
              <w:bidi/>
              <w:jc w:val="right"/>
            </w:pPr>
            <w:r>
              <w:rPr>
                <w:rFonts w:ascii="Dubai" w:hAnsi="Dubai" w:cs="Dubai" w:eastAsia="Dubai"/>
                <w:color w:val="1A171C"/>
                <w:sz w:val="22"/>
                <w:rtl/>
                <w:szCs w:val="22"/>
              </w:rPr>
              <w:t xml:space="preserve">يجب أن يسود التواصل بين الزملاء أسلوب راقٍ، بعيدًا عن الإساءة أو المساس بالكرامة أو التهديد أو التشكيك في القدرات المهنية، كتابةً أو شفاهةً.</w:t>
            </w:r>
          </w:p>
        </w:tc>
      </w:tr>
      <w:tr>
        <w:tc>
          <w:tcPr/>
          <w:p>
            <w:pPr>
              <w:pStyle w:val="Compact"/>
              <w:bidi/>
              <w:jc w:val="right"/>
            </w:pPr>
            <w:r>
              <w:rPr>
                <w:rFonts w:ascii="Dubai" w:hAnsi="Dubai" w:cs="Dubai" w:eastAsia="Dubai"/>
                <w:color w:val="1A171C"/>
                <w:sz w:val="22"/>
                <w:rtl/>
                <w:szCs w:val="22"/>
              </w:rPr>
              <w:t xml:space="preserve">التواصل مع الخصم مباشرة</w:t>
            </w:r>
          </w:p>
        </w:tc>
        <w:tc>
          <w:tcPr/>
          <w:p>
            <w:pPr>
              <w:pStyle w:val="Compact"/>
              <w:bidi/>
              <w:jc w:val="right"/>
            </w:pPr>
            <w:r>
              <w:rPr>
                <w:rFonts w:ascii="Dubai" w:hAnsi="Dubai" w:cs="Dubai" w:eastAsia="Dubai"/>
                <w:color w:val="1A171C"/>
                <w:sz w:val="22"/>
                <w:rtl/>
                <w:szCs w:val="22"/>
              </w:rPr>
              <w:t xml:space="preserve">التواصل مع خصم العميل وتجاوز محاميه إخلال بعلاقة الزمالة.</w:t>
            </w:r>
          </w:p>
        </w:tc>
      </w:tr>
    </w:tbl>
    <w:bookmarkEnd w:id="89"/>
    <w:bookmarkStart w:id="90" w:name="تحقق-من-فهمك-اختيار-من-متعدد-سؤال-9"/>
    <w:p>
      <w:pPr>
        <w:pStyle w:val="Heading2"/>
        <w:bidi/>
        <w:jc w:val="right"/>
      </w:pPr>
      <w:r>
        <w:rPr>
          <w:rFonts w:ascii="Dubai" w:hAnsi="Dubai" w:cs="Dubai" w:eastAsia="Dubai"/>
          <w:b/>
          <w:bCs/>
          <w:color w:val="9C771F"/>
          <w:sz w:val="30"/>
          <w:rtl/>
          <w:szCs w:val="30"/>
        </w:rPr>
        <w:t xml:space="preserve">[تحقق من فهمك › اختيار من متعدد] سؤال 9</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جاءك عميل يريد نقل ملف استشارته إليك من مستشار آخر ما زال مكلفًا بالموضوع. ما أول خطوة صحيحة؟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أباشر العمل فورًا؛ فاختيار المستشار حق للعميل.</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حق العميل في الاختيار لا يُسقط التزامك بإخطار الزميل قبل الحلول محله.</w:t>
            </w:r>
          </w:p>
        </w:tc>
      </w:tr>
      <w:tr>
        <w:tc>
          <w:tcPr/>
          <w:p>
            <w:pPr>
              <w:pStyle w:val="Compact"/>
              <w:bidi/>
              <w:jc w:val="right"/>
            </w:pPr>
            <w:r>
              <w:rPr>
                <w:rFonts w:ascii="Dubai" w:hAnsi="Dubai" w:cs="Dubai" w:eastAsia="Dubai"/>
                <w:color w:val="1A171C"/>
                <w:sz w:val="22"/>
                <w:rtl/>
                <w:szCs w:val="22"/>
              </w:rPr>
              <w:t xml:space="preserve">أخطر الزميل السابق وأستطلع مرئياته قبل المباشرة.</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هذا ما يقتضيه قرار وزير العدل رقم (666) لسنة 2015 حفاظًا على علاقة الزمالة.</w:t>
            </w:r>
          </w:p>
        </w:tc>
      </w:tr>
      <w:tr>
        <w:tc>
          <w:tcPr/>
          <w:p>
            <w:pPr>
              <w:pStyle w:val="Compact"/>
              <w:bidi/>
              <w:jc w:val="right"/>
            </w:pPr>
            <w:r>
              <w:rPr>
                <w:rFonts w:ascii="Dubai" w:hAnsi="Dubai" w:cs="Dubai" w:eastAsia="Dubai"/>
                <w:color w:val="1A171C"/>
                <w:sz w:val="22"/>
                <w:rtl/>
                <w:szCs w:val="22"/>
              </w:rPr>
              <w:t xml:space="preserve">أطلب من العميل أن ينهي علاقته بالزميل كتابيًا ثم أباشر دون إخطاره.</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الالتزام بالإخطار يقع عليك أنت، لا على العميل.</w:t>
            </w:r>
          </w:p>
        </w:tc>
      </w:tr>
    </w:tbl>
    <w:bookmarkEnd w:id="90"/>
    <w:bookmarkStart w:id="91" w:name="فاصل-متابعة-8"/>
    <w:p>
      <w:pPr>
        <w:pStyle w:val="Heading2"/>
        <w:bidi/>
        <w:jc w:val="right"/>
      </w:pPr>
      <w:r>
        <w:rPr>
          <w:rFonts w:ascii="Dubai" w:hAnsi="Dubai" w:cs="Dubai" w:eastAsia="Dubai"/>
          <w:b/>
          <w:bCs/>
          <w:color w:val="9C771F"/>
          <w:sz w:val="30"/>
          <w:rtl/>
          <w:szCs w:val="30"/>
        </w:rPr>
        <w:t xml:space="preserve">[فاصل › متابعة]</w:t>
      </w:r>
    </w:p>
    <w:bookmarkEnd w:id="91"/>
    <w:bookmarkEnd w:id="92"/>
    <w:bookmarkStart w:id="98" w:name="X1090a031bb06b4e72e307507cb60062dbb20140"/>
    <w:p>
      <w:pPr>
        <w:pStyle w:val="Heading1"/>
        <w:bidi/>
        <w:jc w:val="right"/>
      </w:pPr>
      <w:r>
        <w:rPr>
          <w:rFonts w:ascii="Dubai" w:hAnsi="Dubai" w:cs="Dubai" w:eastAsia="Dubai"/>
          <w:b/>
          <w:bCs/>
          <w:color w:val="1A171C"/>
          <w:sz w:val="40"/>
          <w:rtl/>
          <w:szCs w:val="40"/>
        </w:rPr>
        <w:t xml:space="preserve">الدرس 10: مخالفات شائعة (3) — المكتب المرخّص والالتزامات العامة</w:t>
      </w:r>
    </w:p>
    <w:bookmarkStart w:id="93" w:name="نص-عنوان-وفقرة-الترخيص-مسؤولية-شخصية"/>
    <w:p>
      <w:pPr>
        <w:pStyle w:val="Heading2"/>
        <w:bidi/>
        <w:jc w:val="right"/>
      </w:pPr>
      <w:r>
        <w:rPr>
          <w:rFonts w:ascii="Dubai" w:hAnsi="Dubai" w:cs="Dubai" w:eastAsia="Dubai"/>
          <w:b/>
          <w:bCs/>
          <w:color w:val="9C771F"/>
          <w:sz w:val="30"/>
          <w:rtl/>
          <w:szCs w:val="30"/>
        </w:rPr>
        <w:t xml:space="preserve">[نص › عنوان وفقرة] الترخيص مسؤولية شخصية</w:t>
      </w:r>
    </w:p>
    <w:p>
      <w:pPr>
        <w:bidi/>
        <w:jc w:val="both"/>
      </w:pPr>
      <w:r>
        <w:rPr>
          <w:rFonts w:ascii="Dubai" w:hAnsi="Dubai" w:cs="Dubai" w:eastAsia="Dubai"/>
          <w:color w:val="1A171C"/>
          <w:sz w:val="24"/>
          <w:rtl/>
          <w:szCs w:val="24"/>
        </w:rPr>
        <w:t xml:space="preserve">الترخيص المهني ليس إجراءً شكليًا؛ إنه ضمانة لجودة الخدمة القانونية وضبط المهنة. ولذلك ترتبط به التزامات شخصية لا يجوز التنازل عنها أو تفويضها.</w:t>
      </w:r>
    </w:p>
    <w:bookmarkEnd w:id="93"/>
    <w:bookmarkStart w:id="94" w:name="X1c743d76a802336206fe7e30e9d4f366b5e4b3f"/>
    <w:p>
      <w:pPr>
        <w:pStyle w:val="Heading2"/>
        <w:bidi/>
        <w:jc w:val="right"/>
      </w:pPr>
      <w:r>
        <w:rPr>
          <w:rFonts w:ascii="Dubai" w:hAnsi="Dubai" w:cs="Dubai" w:eastAsia="Dubai"/>
          <w:b/>
          <w:bCs/>
          <w:color w:val="9C771F"/>
          <w:sz w:val="30"/>
          <w:rtl/>
          <w:szCs w:val="30"/>
        </w:rPr>
        <w:t xml:space="preserve">[تفاعلي › أكورديون] التزامات مرتبطة بالمكتب والتصريح</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العنوان</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الإعلان غير اللائق</w:t>
            </w:r>
          </w:p>
        </w:tc>
        <w:tc>
          <w:tcPr/>
          <w:p>
            <w:pPr>
              <w:pStyle w:val="Compact"/>
              <w:bidi/>
              <w:jc w:val="right"/>
            </w:pPr>
            <w:r>
              <w:rPr>
                <w:rFonts w:ascii="Dubai" w:hAnsi="Dubai" w:cs="Dubai" w:eastAsia="Dubai"/>
                <w:color w:val="1A171C"/>
                <w:sz w:val="22"/>
                <w:rtl/>
                <w:szCs w:val="22"/>
              </w:rPr>
              <w:t xml:space="preserve">يُحظر الإعلان عن النفس بشكل لا يتفق مع تقاليد المهنة، أو السعي إلى ذلك بوسائل الدعاية أو الترغيب أو باستخدام الوسطاء (المادة 45/ح من المرسوم بقانون رقم 34 لسنة 2022).</w:t>
            </w:r>
          </w:p>
        </w:tc>
      </w:tr>
      <w:tr>
        <w:tc>
          <w:tcPr/>
          <w:p>
            <w:pPr>
              <w:pStyle w:val="Compact"/>
              <w:bidi/>
              <w:jc w:val="right"/>
            </w:pPr>
            <w:r>
              <w:rPr>
                <w:rFonts w:ascii="Dubai" w:hAnsi="Dubai" w:cs="Dubai" w:eastAsia="Dubai"/>
                <w:color w:val="1A171C"/>
                <w:sz w:val="22"/>
                <w:rtl/>
                <w:szCs w:val="22"/>
              </w:rPr>
              <w:t xml:space="preserve">تمكين غير المصرّح لهم</w:t>
            </w:r>
          </w:p>
        </w:tc>
        <w:tc>
          <w:tcPr/>
          <w:p>
            <w:pPr>
              <w:pStyle w:val="Compact"/>
              <w:bidi/>
              <w:jc w:val="right"/>
            </w:pPr>
            <w:r>
              <w:rPr>
                <w:rFonts w:ascii="Dubai" w:hAnsi="Dubai" w:cs="Dubai" w:eastAsia="Dubai"/>
                <w:color w:val="1A171C"/>
                <w:sz w:val="22"/>
                <w:rtl/>
                <w:szCs w:val="22"/>
              </w:rPr>
              <w:t xml:space="preserve">يُحظر تمكين أي شخص غير مقيد أو غير مصرّح له من عرض خدمات قانونية أو تقديمها من خلال المكتب. ولا يجوز لأي شخص مزاولة المهنة في الإمارة أو الترويج لنفسه بوصفه مستشارًا قانونيًا ما لم يكن مقيدًا (المادة 6 من القرار رقم 51 لسنة 2022).</w:t>
            </w:r>
          </w:p>
        </w:tc>
      </w:tr>
      <w:tr>
        <w:tc>
          <w:tcPr/>
          <w:p>
            <w:pPr>
              <w:pStyle w:val="Compact"/>
              <w:bidi/>
              <w:jc w:val="right"/>
            </w:pPr>
            <w:r>
              <w:rPr>
                <w:rFonts w:ascii="Dubai" w:hAnsi="Dubai" w:cs="Dubai" w:eastAsia="Dubai"/>
                <w:color w:val="1A171C"/>
                <w:sz w:val="22"/>
                <w:rtl/>
                <w:szCs w:val="22"/>
              </w:rPr>
              <w:t xml:space="preserve">العمل خارج المكتب المقيد</w:t>
            </w:r>
          </w:p>
        </w:tc>
        <w:tc>
          <w:tcPr/>
          <w:p>
            <w:pPr>
              <w:pStyle w:val="Compact"/>
              <w:bidi/>
              <w:jc w:val="right"/>
            </w:pPr>
            <w:r>
              <w:rPr>
                <w:rFonts w:ascii="Dubai" w:hAnsi="Dubai" w:cs="Dubai" w:eastAsia="Dubai"/>
                <w:color w:val="1A171C"/>
                <w:sz w:val="22"/>
                <w:rtl/>
                <w:szCs w:val="22"/>
              </w:rPr>
              <w:t xml:space="preserve">لا تُقدَّم الخدمة القانونية إلا من خلال المكتب المقيد على ذمته المهني لدى جهة الترخيص، مع التفرغ لمزاولة المهنة.</w:t>
            </w:r>
          </w:p>
        </w:tc>
      </w:tr>
      <w:tr>
        <w:tc>
          <w:tcPr/>
          <w:p>
            <w:pPr>
              <w:pStyle w:val="Compact"/>
              <w:bidi/>
              <w:jc w:val="right"/>
            </w:pPr>
            <w:r>
              <w:rPr>
                <w:rFonts w:ascii="Dubai" w:hAnsi="Dubai" w:cs="Dubai" w:eastAsia="Dubai"/>
                <w:color w:val="1A171C"/>
                <w:sz w:val="22"/>
                <w:rtl/>
                <w:szCs w:val="22"/>
              </w:rPr>
              <w:t xml:space="preserve">تمكين الغير من إدارة المكتب</w:t>
            </w:r>
          </w:p>
        </w:tc>
        <w:tc>
          <w:tcPr/>
          <w:p>
            <w:pPr>
              <w:pStyle w:val="Compact"/>
              <w:bidi/>
              <w:jc w:val="right"/>
            </w:pPr>
            <w:r>
              <w:rPr>
                <w:rFonts w:ascii="Dubai" w:hAnsi="Dubai" w:cs="Dubai" w:eastAsia="Dubai"/>
                <w:color w:val="1A171C"/>
                <w:sz w:val="22"/>
                <w:rtl/>
                <w:szCs w:val="22"/>
              </w:rPr>
              <w:t xml:space="preserve">المدير المسؤول يدير المكتب بنفسه ولا يتنازل عن ذلك أو يفوّضه دون تصريح. وتأجير الرخصة للغير مقابل مال مخالفة تأديبية وجريمة جزائية في آن واحد.</w:t>
            </w:r>
          </w:p>
        </w:tc>
      </w:tr>
    </w:tbl>
    <w:bookmarkEnd w:id="94"/>
    <w:bookmarkStart w:id="95" w:name="تفاعلي-أكورديون-التزامات-مسلكية-عامة"/>
    <w:p>
      <w:pPr>
        <w:pStyle w:val="Heading2"/>
        <w:bidi/>
        <w:jc w:val="right"/>
      </w:pPr>
      <w:r>
        <w:rPr>
          <w:rFonts w:ascii="Dubai" w:hAnsi="Dubai" w:cs="Dubai" w:eastAsia="Dubai"/>
          <w:b/>
          <w:bCs/>
          <w:color w:val="9C771F"/>
          <w:sz w:val="30"/>
          <w:rtl/>
          <w:szCs w:val="30"/>
        </w:rPr>
        <w:t xml:space="preserve">[تفاعلي › أكورديون] التزامات مسلكية عامة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العنوان</w:t>
            </w:r>
          </w:p>
        </w:tc>
        <w:tc>
          <w:tcPr>
            <w:shd w:val="clear" w:fill="1A171C"/>
          </w:tcPr>
          <w:p>
            <w:pPr>
              <w:pStyle w:val="Compact"/>
              <w:bidi/>
              <w:jc w:val="right"/>
            </w:pPr>
            <w:r>
              <w:rPr>
                <w:rFonts w:ascii="Dubai" w:hAnsi="Dubai" w:cs="Dubai" w:eastAsia="Dubai"/>
                <w:b/>
                <w:bCs/>
                <w:color w:val="FFFFFF"/>
                <w:sz w:val="22"/>
                <w:rtl/>
                <w:szCs w:val="22"/>
              </w:rPr>
              <w:t xml:space="preserve">المحتوى</w:t>
            </w:r>
          </w:p>
        </w:tc>
      </w:tr>
      <w:tr>
        <w:tc>
          <w:tcPr/>
          <w:p>
            <w:pPr>
              <w:pStyle w:val="Compact"/>
              <w:bidi/>
              <w:jc w:val="right"/>
            </w:pPr>
            <w:r>
              <w:rPr>
                <w:rFonts w:ascii="Dubai" w:hAnsi="Dubai" w:cs="Dubai" w:eastAsia="Dubai"/>
                <w:color w:val="1A171C"/>
                <w:sz w:val="22"/>
                <w:rtl/>
                <w:szCs w:val="22"/>
              </w:rPr>
              <w:t xml:space="preserve">ممارسة التجارة</w:t>
            </w:r>
          </w:p>
        </w:tc>
        <w:tc>
          <w:tcPr/>
          <w:p>
            <w:pPr>
              <w:pStyle w:val="Compact"/>
              <w:bidi/>
              <w:jc w:val="right"/>
            </w:pPr>
            <w:r>
              <w:rPr>
                <w:rFonts w:ascii="Dubai" w:hAnsi="Dubai" w:cs="Dubai" w:eastAsia="Dubai"/>
                <w:color w:val="1A171C"/>
                <w:sz w:val="22"/>
                <w:rtl/>
                <w:szCs w:val="22"/>
              </w:rPr>
              <w:t xml:space="preserve">المهنة رسالة لمعاونة طالبي العدالة، لا غايتها الربح، وتتطلب التفرغ؛ فلا تجوز ممارسة أعمال التجارة بما يتعارض مع ذلك.</w:t>
            </w:r>
          </w:p>
        </w:tc>
      </w:tr>
      <w:tr>
        <w:tc>
          <w:tcPr/>
          <w:p>
            <w:pPr>
              <w:pStyle w:val="Compact"/>
              <w:bidi/>
              <w:jc w:val="right"/>
            </w:pPr>
            <w:r>
              <w:rPr>
                <w:rFonts w:ascii="Dubai" w:hAnsi="Dubai" w:cs="Dubai" w:eastAsia="Dubai"/>
                <w:color w:val="1A171C"/>
                <w:sz w:val="22"/>
                <w:rtl/>
                <w:szCs w:val="22"/>
              </w:rPr>
              <w:t xml:space="preserve">الإساءة لخصم العميل</w:t>
            </w:r>
          </w:p>
        </w:tc>
        <w:tc>
          <w:tcPr/>
          <w:p>
            <w:pPr>
              <w:pStyle w:val="Compact"/>
              <w:bidi/>
              <w:jc w:val="right"/>
            </w:pPr>
            <w:r>
              <w:rPr>
                <w:rFonts w:ascii="Dubai" w:hAnsi="Dubai" w:cs="Dubai" w:eastAsia="Dubai"/>
                <w:color w:val="1A171C"/>
                <w:sz w:val="22"/>
                <w:rtl/>
                <w:szCs w:val="22"/>
              </w:rPr>
              <w:t xml:space="preserve">حرية الدفاع حق مكفول، لكنها مقيدة بعدم تجاوز مقتضيات الدفاع إلى الإساءة للخصوم.</w:t>
            </w:r>
          </w:p>
        </w:tc>
      </w:tr>
      <w:tr>
        <w:tc>
          <w:tcPr/>
          <w:p>
            <w:pPr>
              <w:pStyle w:val="Compact"/>
              <w:bidi/>
              <w:jc w:val="right"/>
            </w:pPr>
            <w:r>
              <w:rPr>
                <w:rFonts w:ascii="Dubai" w:hAnsi="Dubai" w:cs="Dubai" w:eastAsia="Dubai"/>
                <w:color w:val="1A171C"/>
                <w:sz w:val="22"/>
                <w:rtl/>
                <w:szCs w:val="22"/>
              </w:rPr>
              <w:t xml:space="preserve">المعلومات المغلوطة على التواصل الاجتماعي</w:t>
            </w:r>
          </w:p>
        </w:tc>
        <w:tc>
          <w:tcPr/>
          <w:p>
            <w:pPr>
              <w:pStyle w:val="Compact"/>
              <w:bidi/>
              <w:jc w:val="right"/>
            </w:pPr>
            <w:r>
              <w:rPr>
                <w:rFonts w:ascii="Dubai" w:hAnsi="Dubai" w:cs="Dubai" w:eastAsia="Dubai"/>
                <w:color w:val="1A171C"/>
                <w:sz w:val="22"/>
                <w:rtl/>
                <w:szCs w:val="22"/>
              </w:rPr>
              <w:t xml:space="preserve">لا يجوز الظهور في وسائل الإعلام أو النشر عبر وسائل التواصل الاجتماعي على نحو يحمل تفسيرًا أو تأويلًا خاطئًا للنصوص التشريعية يثير البلبلة حول أحكامها (المادة 17/7 من قرار مجلس الوزراء رقم 8 لسنة 2025).</w:t>
            </w:r>
          </w:p>
        </w:tc>
      </w:tr>
      <w:tr>
        <w:tc>
          <w:tcPr/>
          <w:p>
            <w:pPr>
              <w:pStyle w:val="Compact"/>
              <w:bidi/>
              <w:jc w:val="right"/>
            </w:pPr>
            <w:r>
              <w:rPr>
                <w:rFonts w:ascii="Dubai" w:hAnsi="Dubai" w:cs="Dubai" w:eastAsia="Dubai"/>
                <w:color w:val="1A171C"/>
                <w:sz w:val="22"/>
                <w:rtl/>
                <w:szCs w:val="22"/>
              </w:rPr>
              <w:t xml:space="preserve">الخروج عن آداب المهنة</w:t>
            </w:r>
          </w:p>
        </w:tc>
        <w:tc>
          <w:tcPr/>
          <w:p>
            <w:pPr>
              <w:pStyle w:val="Compact"/>
              <w:bidi/>
              <w:jc w:val="right"/>
            </w:pPr>
            <w:r>
              <w:rPr>
                <w:rFonts w:ascii="Dubai" w:hAnsi="Dubai" w:cs="Dubai" w:eastAsia="Dubai"/>
                <w:color w:val="1A171C"/>
                <w:sz w:val="22"/>
                <w:rtl/>
                <w:szCs w:val="22"/>
              </w:rPr>
              <w:t xml:space="preserve">التزام عام بالصدق والأمانة والشرف والشفافية والاستقامة وحسن السيرة، وعدم إتيان ما يحطّ من قدر المهنة.</w:t>
            </w:r>
          </w:p>
        </w:tc>
      </w:tr>
    </w:tbl>
    <w:bookmarkEnd w:id="95"/>
    <w:bookmarkStart w:id="96" w:name="تحقق-من-فهمك-اختيار-من-متعدد-سؤال-10"/>
    <w:p>
      <w:pPr>
        <w:pStyle w:val="Heading2"/>
        <w:bidi/>
        <w:jc w:val="right"/>
      </w:pPr>
      <w:r>
        <w:rPr>
          <w:rFonts w:ascii="Dubai" w:hAnsi="Dubai" w:cs="Dubai" w:eastAsia="Dubai"/>
          <w:b/>
          <w:bCs/>
          <w:color w:val="9C771F"/>
          <w:sz w:val="30"/>
          <w:rtl/>
          <w:szCs w:val="30"/>
        </w:rPr>
        <w:t xml:space="preserve">[تحقق من فهمك › اختيار من متعدد] سؤال 10</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تنشر مقاطع قصيرة على وسائل التواصل الاجتماعي حول قانون الأحوال الشخصية. ما الذي يجعل منشورك مخالفة تأديبية؟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مجرد النشر عن مسائل قانونية على وسائل التواصل.</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للمهني حرية طرح رؤيته؛ المحظور هو التفسير الخاطئ الذي يثير البلبلة، والإعلان غير اللائق.</w:t>
            </w:r>
          </w:p>
        </w:tc>
      </w:tr>
      <w:tr>
        <w:tc>
          <w:tcPr/>
          <w:p>
            <w:pPr>
              <w:pStyle w:val="Compact"/>
              <w:bidi/>
              <w:jc w:val="right"/>
            </w:pPr>
            <w:r>
              <w:rPr>
                <w:rFonts w:ascii="Dubai" w:hAnsi="Dubai" w:cs="Dubai" w:eastAsia="Dubai"/>
                <w:color w:val="1A171C"/>
                <w:sz w:val="22"/>
                <w:rtl/>
                <w:szCs w:val="22"/>
              </w:rPr>
              <w:t xml:space="preserve">تقديم تفسير خاطئ لنص تشريعي يثير البلبلة حول أحكامه.</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هذا ما تحظره المادة (17/7) من قرار مجلس الوزراء رقم (8) لسنة 2025.</w:t>
            </w:r>
          </w:p>
        </w:tc>
      </w:tr>
      <w:tr>
        <w:tc>
          <w:tcPr/>
          <w:p>
            <w:pPr>
              <w:pStyle w:val="Compact"/>
              <w:bidi/>
              <w:jc w:val="right"/>
            </w:pPr>
            <w:r>
              <w:rPr>
                <w:rFonts w:ascii="Dubai" w:hAnsi="Dubai" w:cs="Dubai" w:eastAsia="Dubai"/>
                <w:color w:val="1A171C"/>
                <w:sz w:val="22"/>
                <w:rtl/>
                <w:szCs w:val="22"/>
              </w:rPr>
              <w:t xml:space="preserve">النشر باللغة الإنجليزية بدلًا من العربية.</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لغة النشر ليست معيارًا للمخالفة؛ المعيار دقة المحتوى ولياقة الأسلوب.</w:t>
            </w:r>
          </w:p>
        </w:tc>
      </w:tr>
    </w:tbl>
    <w:bookmarkEnd w:id="96"/>
    <w:bookmarkStart w:id="97" w:name="فاصل-متابعة-9"/>
    <w:p>
      <w:pPr>
        <w:pStyle w:val="Heading2"/>
        <w:bidi/>
        <w:jc w:val="right"/>
      </w:pPr>
      <w:r>
        <w:rPr>
          <w:rFonts w:ascii="Dubai" w:hAnsi="Dubai" w:cs="Dubai" w:eastAsia="Dubai"/>
          <w:b/>
          <w:bCs/>
          <w:color w:val="9C771F"/>
          <w:sz w:val="30"/>
          <w:rtl/>
          <w:szCs w:val="30"/>
        </w:rPr>
        <w:t xml:space="preserve">[فاصل › متابعة]</w:t>
      </w:r>
    </w:p>
    <w:bookmarkEnd w:id="97"/>
    <w:bookmarkEnd w:id="98"/>
    <w:bookmarkStart w:id="105" w:name="الدرس-11-طبق-حالة-المستشار-سالم"/>
    <w:p>
      <w:pPr>
        <w:pStyle w:val="Heading1"/>
        <w:bidi/>
        <w:jc w:val="right"/>
      </w:pPr>
      <w:r>
        <w:rPr>
          <w:rFonts w:ascii="Dubai" w:hAnsi="Dubai" w:cs="Dubai" w:eastAsia="Dubai"/>
          <w:b/>
          <w:bCs/>
          <w:color w:val="1A171C"/>
          <w:sz w:val="40"/>
          <w:rtl/>
          <w:szCs w:val="40"/>
        </w:rPr>
        <w:t xml:space="preserve">الدرس 11: طبّق — حالة المستشار سالم</w:t>
      </w:r>
    </w:p>
    <w:bookmarkStart w:id="99" w:name="نص-عنوان-وفقرة-الحالة"/>
    <w:p>
      <w:pPr>
        <w:pStyle w:val="Heading2"/>
        <w:bidi/>
        <w:jc w:val="right"/>
      </w:pPr>
      <w:r>
        <w:rPr>
          <w:rFonts w:ascii="Dubai" w:hAnsi="Dubai" w:cs="Dubai" w:eastAsia="Dubai"/>
          <w:b/>
          <w:bCs/>
          <w:color w:val="9C771F"/>
          <w:sz w:val="30"/>
          <w:rtl/>
          <w:szCs w:val="30"/>
        </w:rPr>
        <w:t xml:space="preserve">[نص › عنوان وفقرة] الحالة</w:t>
      </w:r>
    </w:p>
    <w:p>
      <w:pPr>
        <w:bidi/>
        <w:jc w:val="both"/>
      </w:pPr>
      <w:r>
        <w:rPr>
          <w:rFonts w:ascii="Dubai" w:hAnsi="Dubai" w:cs="Dubai" w:eastAsia="Dubai"/>
          <w:color w:val="1A171C"/>
          <w:sz w:val="24"/>
          <w:rtl/>
          <w:szCs w:val="24"/>
        </w:rPr>
        <w:t xml:space="preserve">سالم مستشار قانوني مستقل مصرّح له في الأحوال الشخصية والقوانين العقارية. اتفق شفويًا مع عميلة على صياغة عقد بيع عقاري مقابل أتعاب محددة، وتسلّم منها دفعة مقدمة ومبلغًا لسداد رسوم التسجيل. تأخر في التسليم ثلاثة أشهر دون مبرر، ولم يرد على رسائلها. قدّمت العميلة شكوى، ثم تصالحت معه وسحبتها.</w:t>
      </w:r>
    </w:p>
    <w:p>
      <w:pPr>
        <w:bidi/>
        <w:jc w:val="both"/>
      </w:pPr>
      <w:r>
        <w:rPr>
          <w:rFonts w:ascii="Dubai" w:hAnsi="Dubai" w:cs="Dubai" w:eastAsia="Dubai"/>
          <w:color w:val="1A171C"/>
          <w:sz w:val="24"/>
          <w:rtl/>
          <w:szCs w:val="24"/>
        </w:rPr>
        <w:t xml:space="preserve">اتخذ القرار في كل نقطة.</w:t>
      </w:r>
    </w:p>
    <w:bookmarkEnd w:id="99"/>
    <w:bookmarkStart w:id="100" w:name="Xa312a55770c8a88538296af26fd83e8482e99f0"/>
    <w:p>
      <w:pPr>
        <w:pStyle w:val="Heading2"/>
        <w:bidi/>
        <w:jc w:val="right"/>
      </w:pPr>
      <w:r>
        <w:rPr>
          <w:rFonts w:ascii="Dubai" w:hAnsi="Dubai" w:cs="Dubai" w:eastAsia="Dubai"/>
          <w:b/>
          <w:bCs/>
          <w:color w:val="9C771F"/>
          <w:sz w:val="30"/>
          <w:rtl/>
          <w:szCs w:val="30"/>
        </w:rPr>
        <w:t xml:space="preserve">[تحقق من فهمك › اختيار متعدد الإجابات] القرار 1: ما المخالفات المحتملة؟</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ما المخالفات التي تثيرها وقائع الحالة؟ (اختر كل ما ينطبق)</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عدم تحرير اتفاقية خدمة قانونية مكتوبة.</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الاتفاق كان شفويًا، والكتابة واجبة قبل ممارسة العمل.</w:t>
            </w:r>
          </w:p>
        </w:tc>
      </w:tr>
      <w:tr>
        <w:tc>
          <w:tcPr/>
          <w:p>
            <w:pPr>
              <w:pStyle w:val="Compact"/>
              <w:bidi/>
              <w:jc w:val="right"/>
            </w:pPr>
            <w:r>
              <w:rPr>
                <w:rFonts w:ascii="Dubai" w:hAnsi="Dubai" w:cs="Dubai" w:eastAsia="Dubai"/>
                <w:color w:val="1A171C"/>
                <w:sz w:val="22"/>
                <w:rtl/>
                <w:szCs w:val="22"/>
              </w:rPr>
              <w:t xml:space="preserve">التقاعس والإهمال في تقديم الخدمة.</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تأخر ثلاثة أشهر دون مبرر مشروع.</w:t>
            </w:r>
          </w:p>
        </w:tc>
      </w:tr>
      <w:tr>
        <w:tc>
          <w:tcPr/>
          <w:p>
            <w:pPr>
              <w:pStyle w:val="Compact"/>
              <w:bidi/>
              <w:jc w:val="right"/>
            </w:pPr>
            <w:r>
              <w:rPr>
                <w:rFonts w:ascii="Dubai" w:hAnsi="Dubai" w:cs="Dubai" w:eastAsia="Dubai"/>
                <w:color w:val="1A171C"/>
                <w:sz w:val="22"/>
                <w:rtl/>
                <w:szCs w:val="22"/>
              </w:rPr>
              <w:t xml:space="preserve">عدم إطلاع العميل على المستجدات.</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لم يرد على رسائلها، ولم يطلعها على مسار العمل.</w:t>
            </w:r>
          </w:p>
        </w:tc>
      </w:tr>
      <w:tr>
        <w:tc>
          <w:tcPr/>
          <w:p>
            <w:pPr>
              <w:pStyle w:val="Compact"/>
              <w:bidi/>
              <w:jc w:val="right"/>
            </w:pPr>
            <w:r>
              <w:rPr>
                <w:rFonts w:ascii="Dubai" w:hAnsi="Dubai" w:cs="Dubai" w:eastAsia="Dubai"/>
                <w:color w:val="1A171C"/>
                <w:sz w:val="22"/>
                <w:rtl/>
                <w:szCs w:val="22"/>
              </w:rPr>
              <w:t xml:space="preserve">تجاوز نطاق التصريح.</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صياغة العقود العقارية تقع ضمن الفروع المصرّح بها.</w:t>
            </w:r>
          </w:p>
        </w:tc>
      </w:tr>
    </w:tbl>
    <w:bookmarkEnd w:id="100"/>
    <w:bookmarkStart w:id="101" w:name="X5992f677a08261d3bf1ae1311daea0b1c513199"/>
    <w:p>
      <w:pPr>
        <w:pStyle w:val="Heading2"/>
        <w:bidi/>
        <w:jc w:val="right"/>
      </w:pPr>
      <w:r>
        <w:rPr>
          <w:rFonts w:ascii="Dubai" w:hAnsi="Dubai" w:cs="Dubai" w:eastAsia="Dubai"/>
          <w:b/>
          <w:bCs/>
          <w:color w:val="9C771F"/>
          <w:sz w:val="30"/>
          <w:rtl/>
          <w:szCs w:val="30"/>
        </w:rPr>
        <w:t xml:space="preserve">[تحقق من فهمك › اختيار من متعدد] القرار 2: أثر السحب</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بعد أن سحبت العميلة الشكوى، ما الموقف السليم للإدارة؟</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حفظ الشكوى وجوبًا لانتفاء الشاكي.</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السحب لا يمنع الإدارة من الاستمرار (المادة 7/ج).</w:t>
            </w:r>
          </w:p>
        </w:tc>
      </w:tr>
      <w:tr>
        <w:tc>
          <w:tcPr/>
          <w:p>
            <w:pPr>
              <w:pStyle w:val="Compact"/>
              <w:bidi/>
              <w:jc w:val="right"/>
            </w:pPr>
            <w:r>
              <w:rPr>
                <w:rFonts w:ascii="Dubai" w:hAnsi="Dubai" w:cs="Dubai" w:eastAsia="Dubai"/>
                <w:color w:val="1A171C"/>
                <w:sz w:val="22"/>
                <w:rtl/>
                <w:szCs w:val="22"/>
              </w:rPr>
              <w:t xml:space="preserve">الاستمرار وإحالة التقرير إلى اللجنة إن رأت أن الوقائع تشكّل مخالفة.</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الإدارة صاحبة الصفة في الشكوى، والعميلة كانت مجرد مُخبِرة.</w:t>
            </w:r>
          </w:p>
        </w:tc>
      </w:tr>
      <w:tr>
        <w:tc>
          <w:tcPr/>
          <w:p>
            <w:pPr>
              <w:pStyle w:val="Compact"/>
              <w:bidi/>
              <w:jc w:val="right"/>
            </w:pPr>
            <w:r>
              <w:rPr>
                <w:rFonts w:ascii="Dubai" w:hAnsi="Dubai" w:cs="Dubai" w:eastAsia="Dubai"/>
                <w:color w:val="1A171C"/>
                <w:sz w:val="22"/>
                <w:rtl/>
                <w:szCs w:val="22"/>
              </w:rPr>
              <w:t xml:space="preserve">الفصل في المخالفة بنفسها لتوفير الوقت.</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الفصل في المخالفة اختصاص لجنة السلوك المهني وحدها.</w:t>
            </w:r>
          </w:p>
        </w:tc>
      </w:tr>
    </w:tbl>
    <w:bookmarkEnd w:id="101"/>
    <w:bookmarkStart w:id="102" w:name="X44eb48fd3114dd59731dfdf7c4755ca80bf550d"/>
    <w:p>
      <w:pPr>
        <w:pStyle w:val="Heading2"/>
        <w:bidi/>
        <w:jc w:val="right"/>
      </w:pPr>
      <w:r>
        <w:rPr>
          <w:rFonts w:ascii="Dubai" w:hAnsi="Dubai" w:cs="Dubai" w:eastAsia="Dubai"/>
          <w:b/>
          <w:bCs/>
          <w:color w:val="9C771F"/>
          <w:sz w:val="30"/>
          <w:rtl/>
          <w:szCs w:val="30"/>
        </w:rPr>
        <w:t xml:space="preserve">[تحقق من فهمك › اختيار من متعدد] القرار 3: الدفع بالمسؤولية المدنية</w:t>
      </w:r>
    </w:p>
    <w:p>
      <w:pPr>
        <w:bidi/>
        <w:jc w:val="both"/>
      </w:pPr>
      <w:r>
        <w:rPr>
          <w:rFonts w:ascii="Dubai" w:hAnsi="Dubai" w:cs="Dubai" w:eastAsia="Dubai"/>
          <w:color w:val="1A171C"/>
          <w:sz w:val="24"/>
          <w:rtl/>
          <w:bCs/>
          <w:b/>
          <w:szCs w:val="24"/>
        </w:rPr>
        <w:t xml:space="preserve">السؤال:</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دفع سالم أمام اللجنة بأن العميلة لم يلحقها أي ضرر، لأن العقد سُلّم في النهاية. ما تقييمك لهذا الدفع؟</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الخيار</w:t>
            </w:r>
          </w:p>
        </w:tc>
        <w:tc>
          <w:tcPr>
            <w:shd w:val="clear" w:fill="1A171C"/>
          </w:tcPr>
          <w:p>
            <w:pPr>
              <w:pStyle w:val="Compact"/>
              <w:bidi/>
              <w:jc w:val="right"/>
            </w:pPr>
            <w:r>
              <w:rPr>
                <w:rFonts w:ascii="Dubai" w:hAnsi="Dubai" w:cs="Dubai" w:eastAsia="Dubai"/>
                <w:b/>
                <w:bCs/>
                <w:color w:val="FFFFFF"/>
                <w:sz w:val="22"/>
                <w:rtl/>
                <w:szCs w:val="22"/>
              </w:rPr>
              <w:t xml:space="preserve">صحيح</w:t>
            </w:r>
          </w:p>
        </w:tc>
        <w:tc>
          <w:tcPr>
            <w:shd w:val="clear" w:fill="1A171C"/>
          </w:tcPr>
          <w:p>
            <w:pPr>
              <w:pStyle w:val="Compact"/>
              <w:bidi/>
              <w:jc w:val="right"/>
            </w:pPr>
            <w:r>
              <w:rPr>
                <w:rFonts w:ascii="Dubai" w:hAnsi="Dubai" w:cs="Dubai" w:eastAsia="Dubai"/>
                <w:b/>
                <w:bCs/>
                <w:color w:val="FFFFFF"/>
                <w:sz w:val="22"/>
                <w:rtl/>
                <w:szCs w:val="22"/>
              </w:rPr>
              <w:t xml:space="preserve">التغذية الراجعة</w:t>
            </w:r>
          </w:p>
        </w:tc>
      </w:tr>
      <w:tr>
        <w:tc>
          <w:tcPr/>
          <w:p>
            <w:pPr>
              <w:pStyle w:val="Compact"/>
              <w:bidi/>
              <w:jc w:val="right"/>
            </w:pPr>
            <w:r>
              <w:rPr>
                <w:rFonts w:ascii="Dubai" w:hAnsi="Dubai" w:cs="Dubai" w:eastAsia="Dubai"/>
                <w:color w:val="1A171C"/>
                <w:sz w:val="22"/>
                <w:rtl/>
                <w:szCs w:val="22"/>
              </w:rPr>
              <w:t xml:space="preserve">دفع منتج؛ لا مسؤولية دون ضرر.</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هذا منطق المسؤولية المدنية؛ الضرر ليس ركنًا في المسؤولية التأديبية.</w:t>
            </w:r>
          </w:p>
        </w:tc>
      </w:tr>
      <w:tr>
        <w:tc>
          <w:tcPr/>
          <w:p>
            <w:pPr>
              <w:pStyle w:val="Compact"/>
              <w:bidi/>
              <w:jc w:val="right"/>
            </w:pPr>
            <w:r>
              <w:rPr>
                <w:rFonts w:ascii="Dubai" w:hAnsi="Dubai" w:cs="Dubai" w:eastAsia="Dubai"/>
                <w:color w:val="1A171C"/>
                <w:sz w:val="22"/>
                <w:rtl/>
                <w:szCs w:val="22"/>
              </w:rPr>
              <w:t xml:space="preserve">دفع غير منتج؛ المسؤولية التأديبية تقوم بمجرد الإخلال.</w:t>
            </w:r>
          </w:p>
        </w:tc>
        <w:tc>
          <w:tcPr/>
          <w:p>
            <w:pPr>
              <w:pStyle w:val="Compact"/>
              <w:bidi/>
              <w:jc w:val="right"/>
            </w:pPr>
            <w:r>
              <w:rPr>
                <w:rFonts w:ascii="Dubai" w:hAnsi="Dubai" w:cs="Dubai" w:eastAsia="Dubai"/>
                <w:color w:val="1A171C"/>
                <w:sz w:val="22"/>
                <w:rtl/>
                <w:szCs w:val="22"/>
              </w:rPr>
              <w:t xml:space="preserve">✅</w:t>
            </w:r>
          </w:p>
        </w:tc>
        <w:tc>
          <w:tcPr/>
          <w:p>
            <w:pPr>
              <w:pStyle w:val="Compact"/>
              <w:bidi/>
              <w:jc w:val="right"/>
            </w:pPr>
            <w:r>
              <w:rPr>
                <w:rFonts w:ascii="Dubai" w:hAnsi="Dubai" w:cs="Dubai" w:eastAsia="Dubai"/>
                <w:color w:val="1A171C"/>
                <w:sz w:val="22"/>
                <w:rtl/>
                <w:szCs w:val="22"/>
              </w:rPr>
              <w:t xml:space="preserve">صحيح. يكفي ثبوت الإخلال بالالتزام المهني. وقد تراعي اللجنة التسليم والتصالح عند تقدير الجزاء.</w:t>
            </w:r>
          </w:p>
        </w:tc>
      </w:tr>
      <w:tr>
        <w:tc>
          <w:tcPr/>
          <w:p>
            <w:pPr>
              <w:pStyle w:val="Compact"/>
              <w:bidi/>
              <w:jc w:val="right"/>
            </w:pPr>
            <w:r>
              <w:rPr>
                <w:rFonts w:ascii="Dubai" w:hAnsi="Dubai" w:cs="Dubai" w:eastAsia="Dubai"/>
                <w:color w:val="1A171C"/>
                <w:sz w:val="22"/>
                <w:rtl/>
                <w:szCs w:val="22"/>
              </w:rPr>
              <w:t xml:space="preserve">دفع منتج إذا قدّم ما يثبت رضا العميلة.</w:t>
            </w:r>
          </w:p>
        </w:tc>
        <w:tc>
          <w:tcPr/>
          <w:p>
            <w:pPr>
              <w:pStyle w:val="Compact"/>
              <w:bidi/>
              <w:jc w:val="right"/>
            </w:pPr>
          </w:p>
        </w:tc>
        <w:tc>
          <w:tcPr/>
          <w:p>
            <w:pPr>
              <w:pStyle w:val="Compact"/>
              <w:bidi/>
              <w:jc w:val="right"/>
            </w:pPr>
            <w:r>
              <w:rPr>
                <w:rFonts w:ascii="Dubai" w:hAnsi="Dubai" w:cs="Dubai" w:eastAsia="Dubai"/>
                <w:color w:val="1A171C"/>
                <w:sz w:val="22"/>
                <w:rtl/>
                <w:szCs w:val="22"/>
              </w:rPr>
              <w:t xml:space="preserve">غير صحيح. رضا العميلة قد يؤثر في تقدير الجزاء، لا في قيام المسؤولية.</w:t>
            </w:r>
          </w:p>
        </w:tc>
      </w:tr>
    </w:tbl>
    <w:bookmarkEnd w:id="102"/>
    <w:bookmarkStart w:id="103" w:name="قائمة-قائمة-تحقق-ما-الذي-كان-سيحمي-سالم"/>
    <w:p>
      <w:pPr>
        <w:pStyle w:val="Heading2"/>
        <w:bidi/>
        <w:jc w:val="right"/>
      </w:pPr>
      <w:r>
        <w:rPr>
          <w:rFonts w:ascii="Dubai" w:hAnsi="Dubai" w:cs="Dubai" w:eastAsia="Dubai"/>
          <w:b/>
          <w:bCs/>
          <w:color w:val="9C771F"/>
          <w:sz w:val="30"/>
          <w:rtl/>
          <w:szCs w:val="30"/>
        </w:rPr>
        <w:t xml:space="preserve">[قائمة › قائمة تحقق] ما الذي كان سيحمي سالم؟</w:t>
      </w:r>
    </w:p>
    <w:p>
      <w:pPr>
        <w:numPr>
          <w:ilvl w:val="0"/>
          <w:numId w:val="1003"/>
        </w:numPr>
        <w:pStyle w:val="Compact"/>
        <w:bidi/>
        <w:jc w:val="both"/>
      </w:pPr>
      <w:r>
        <w:rPr>
          <w:rFonts w:ascii="Dubai" w:hAnsi="Dubai" w:cs="Dubai" w:eastAsia="Dubai"/>
          <w:color w:val="1A171C"/>
          <w:sz w:val="24"/>
          <w:rtl/>
          <w:szCs w:val="24"/>
        </w:rPr>
        <w:t xml:space="preserve">اتفاقية مكتوبة توقَّع قبل بدء العمل، تحدد النطاق والأتعاب والمدة.</w:t>
      </w:r>
    </w:p>
    <w:p>
      <w:pPr>
        <w:numPr>
          <w:ilvl w:val="0"/>
          <w:numId w:val="1003"/>
        </w:numPr>
        <w:pStyle w:val="Compact"/>
        <w:bidi/>
        <w:jc w:val="both"/>
      </w:pPr>
      <w:r>
        <w:rPr>
          <w:rFonts w:ascii="Dubai" w:hAnsi="Dubai" w:cs="Dubai" w:eastAsia="Dubai"/>
          <w:color w:val="1A171C"/>
          <w:sz w:val="24"/>
          <w:rtl/>
          <w:szCs w:val="24"/>
        </w:rPr>
        <w:t xml:space="preserve">إيداع مبلغ الرسوم في حساب منفصل عن أمواله.</w:t>
      </w:r>
    </w:p>
    <w:p>
      <w:pPr>
        <w:numPr>
          <w:ilvl w:val="0"/>
          <w:numId w:val="1003"/>
        </w:numPr>
        <w:pStyle w:val="Compact"/>
        <w:bidi/>
        <w:jc w:val="both"/>
      </w:pPr>
      <w:r>
        <w:rPr>
          <w:rFonts w:ascii="Dubai" w:hAnsi="Dubai" w:cs="Dubai" w:eastAsia="Dubai"/>
          <w:color w:val="1A171C"/>
          <w:sz w:val="24"/>
          <w:rtl/>
          <w:szCs w:val="24"/>
        </w:rPr>
        <w:t xml:space="preserve">جدول زمني معلن للعميلة، وإطلاعها على أي تأخير وسببه.</w:t>
      </w:r>
    </w:p>
    <w:p>
      <w:pPr>
        <w:numPr>
          <w:ilvl w:val="0"/>
          <w:numId w:val="1003"/>
        </w:numPr>
        <w:pStyle w:val="Compact"/>
        <w:bidi/>
        <w:jc w:val="both"/>
      </w:pPr>
      <w:r>
        <w:rPr>
          <w:rFonts w:ascii="Dubai" w:hAnsi="Dubai" w:cs="Dubai" w:eastAsia="Dubai"/>
          <w:color w:val="1A171C"/>
          <w:sz w:val="24"/>
          <w:rtl/>
          <w:szCs w:val="24"/>
        </w:rPr>
        <w:t xml:space="preserve">الرد على رسائل العميلة خلال مدة معقولة وتوثيق المراسلات.</w:t>
      </w:r>
    </w:p>
    <w:bookmarkEnd w:id="103"/>
    <w:bookmarkStart w:id="104" w:name="فاصل-متابعة-10"/>
    <w:p>
      <w:pPr>
        <w:pStyle w:val="Heading2"/>
        <w:bidi/>
        <w:jc w:val="right"/>
      </w:pPr>
      <w:r>
        <w:rPr>
          <w:rFonts w:ascii="Dubai" w:hAnsi="Dubai" w:cs="Dubai" w:eastAsia="Dubai"/>
          <w:b/>
          <w:bCs/>
          <w:color w:val="9C771F"/>
          <w:sz w:val="30"/>
          <w:rtl/>
          <w:szCs w:val="30"/>
        </w:rPr>
        <w:t xml:space="preserve">[فاصل › متابعة]</w:t>
      </w:r>
    </w:p>
    <w:bookmarkEnd w:id="104"/>
    <w:bookmarkEnd w:id="105"/>
    <w:bookmarkStart w:id="111" w:name="الدرس-12-الخلاصة-والتزامك-المهني"/>
    <w:p>
      <w:pPr>
        <w:pStyle w:val="Heading1"/>
        <w:bidi/>
        <w:jc w:val="right"/>
      </w:pPr>
      <w:r>
        <w:rPr>
          <w:rFonts w:ascii="Dubai" w:hAnsi="Dubai" w:cs="Dubai" w:eastAsia="Dubai"/>
          <w:b/>
          <w:bCs/>
          <w:color w:val="1A171C"/>
          <w:sz w:val="40"/>
          <w:rtl/>
          <w:szCs w:val="40"/>
        </w:rPr>
        <w:t xml:space="preserve">الدرس 12: الخلاصة والتزامك المهني</w:t>
      </w:r>
    </w:p>
    <w:bookmarkStart w:id="106" w:name="نص-فقرة-الخلاصة"/>
    <w:p>
      <w:pPr>
        <w:pStyle w:val="Heading2"/>
        <w:bidi/>
        <w:jc w:val="right"/>
      </w:pPr>
      <w:r>
        <w:rPr>
          <w:rFonts w:ascii="Dubai" w:hAnsi="Dubai" w:cs="Dubai" w:eastAsia="Dubai"/>
          <w:b/>
          <w:bCs/>
          <w:color w:val="9C771F"/>
          <w:sz w:val="30"/>
          <w:rtl/>
          <w:szCs w:val="30"/>
        </w:rPr>
        <w:t xml:space="preserve">[نص › فقرة] الخلاصة</w:t>
      </w:r>
    </w:p>
    <w:p>
      <w:pPr>
        <w:bidi/>
        <w:jc w:val="both"/>
      </w:pPr>
      <w:r>
        <w:rPr>
          <w:rFonts w:ascii="Dubai" w:hAnsi="Dubai" w:cs="Dubai" w:eastAsia="Dubai"/>
          <w:color w:val="1A171C"/>
          <w:sz w:val="24"/>
          <w:rtl/>
          <w:szCs w:val="24"/>
        </w:rPr>
        <w:t xml:space="preserve">التأديب المهني، وفق الفلسفة القانونية الحديثة، لا يقصد التضييق والانتقام ممن أخطأ، بل يستهدف المحافظة على المهنة، والحيلولة دون تدني مستوى المهنيين مسلكيًا ومهنيًا، ورفع جودة الخدمة القانونية المقدمة للجمهور.</w:t>
      </w:r>
    </w:p>
    <w:bookmarkEnd w:id="106"/>
    <w:bookmarkStart w:id="107" w:name="X1b3ddda14501d28d43b85fee9bf7d08be1f7e2c"/>
    <w:p>
      <w:pPr>
        <w:pStyle w:val="Heading2"/>
        <w:bidi/>
        <w:jc w:val="right"/>
      </w:pPr>
      <w:r>
        <w:rPr>
          <w:rFonts w:ascii="Dubai" w:hAnsi="Dubai" w:cs="Dubai" w:eastAsia="Dubai"/>
          <w:b/>
          <w:bCs/>
          <w:color w:val="9C771F"/>
          <w:sz w:val="30"/>
          <w:rtl/>
          <w:szCs w:val="30"/>
        </w:rPr>
        <w:t xml:space="preserve">[تفاعلي › بطاقات تعليمية] خمس أفكار تأخذها معك</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3960"/>
        <w:gridCol w:w="396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الوجه الأمامي</w:t>
            </w:r>
          </w:p>
        </w:tc>
        <w:tc>
          <w:tcPr>
            <w:shd w:val="clear" w:fill="1A171C"/>
          </w:tcPr>
          <w:p>
            <w:pPr>
              <w:pStyle w:val="Compact"/>
              <w:bidi/>
              <w:jc w:val="right"/>
            </w:pPr>
            <w:r>
              <w:rPr>
                <w:rFonts w:ascii="Dubai" w:hAnsi="Dubai" w:cs="Dubai" w:eastAsia="Dubai"/>
                <w:b/>
                <w:bCs/>
                <w:color w:val="FFFFFF"/>
                <w:sz w:val="22"/>
                <w:rtl/>
                <w:szCs w:val="22"/>
              </w:rPr>
              <w:t xml:space="preserve">الوجه الخلفي</w:t>
            </w:r>
          </w:p>
        </w:tc>
      </w:tr>
      <w:tr>
        <w:tc>
          <w:tcPr/>
          <w:p>
            <w:pPr>
              <w:pStyle w:val="Compact"/>
              <w:bidi/>
              <w:jc w:val="right"/>
            </w:pPr>
            <w:r>
              <w:rPr>
                <w:rFonts w:ascii="Dubai" w:hAnsi="Dubai" w:cs="Dubai" w:eastAsia="Dubai"/>
                <w:color w:val="1A171C"/>
                <w:sz w:val="22"/>
                <w:rtl/>
                <w:szCs w:val="22"/>
              </w:rPr>
              <w:t xml:space="preserve">حدودك</w:t>
            </w:r>
          </w:p>
        </w:tc>
        <w:tc>
          <w:tcPr/>
          <w:p>
            <w:pPr>
              <w:pStyle w:val="Compact"/>
              <w:bidi/>
              <w:jc w:val="right"/>
            </w:pPr>
            <w:r>
              <w:rPr>
                <w:rFonts w:ascii="Dubai" w:hAnsi="Dubai" w:cs="Dubai" w:eastAsia="Dubai"/>
                <w:color w:val="1A171C"/>
                <w:sz w:val="22"/>
                <w:rtl/>
                <w:szCs w:val="22"/>
              </w:rPr>
              <w:t xml:space="preserve">استشارة في الأحوال الشخصية والعقارات؛ لا مرافعة أبدًا.</w:t>
            </w:r>
          </w:p>
        </w:tc>
      </w:tr>
      <w:tr>
        <w:tc>
          <w:tcPr/>
          <w:p>
            <w:pPr>
              <w:pStyle w:val="Compact"/>
              <w:bidi/>
              <w:jc w:val="right"/>
            </w:pPr>
            <w:r>
              <w:rPr>
                <w:rFonts w:ascii="Dubai" w:hAnsi="Dubai" w:cs="Dubai" w:eastAsia="Dubai"/>
                <w:color w:val="1A171C"/>
                <w:sz w:val="22"/>
                <w:rtl/>
                <w:szCs w:val="22"/>
              </w:rPr>
              <w:t xml:space="preserve">الشكوى</w:t>
            </w:r>
          </w:p>
        </w:tc>
        <w:tc>
          <w:tcPr/>
          <w:p>
            <w:pPr>
              <w:pStyle w:val="Compact"/>
              <w:bidi/>
              <w:jc w:val="right"/>
            </w:pPr>
            <w:r>
              <w:rPr>
                <w:rFonts w:ascii="Dubai" w:hAnsi="Dubai" w:cs="Dubai" w:eastAsia="Dubai"/>
                <w:color w:val="1A171C"/>
                <w:sz w:val="22"/>
                <w:rtl/>
                <w:szCs w:val="22"/>
              </w:rPr>
              <w:t xml:space="preserve">الإدارة صاحبة الصفة؛ والسحب لا يُنهيها.</w:t>
            </w:r>
          </w:p>
        </w:tc>
      </w:tr>
      <w:tr>
        <w:tc>
          <w:tcPr/>
          <w:p>
            <w:pPr>
              <w:pStyle w:val="Compact"/>
              <w:bidi/>
              <w:jc w:val="right"/>
            </w:pPr>
            <w:r>
              <w:rPr>
                <w:rFonts w:ascii="Dubai" w:hAnsi="Dubai" w:cs="Dubai" w:eastAsia="Dubai"/>
                <w:color w:val="1A171C"/>
                <w:sz w:val="22"/>
                <w:rtl/>
                <w:szCs w:val="22"/>
              </w:rPr>
              <w:t xml:space="preserve">الجزاءات</w:t>
            </w:r>
          </w:p>
        </w:tc>
        <w:tc>
          <w:tcPr/>
          <w:p>
            <w:pPr>
              <w:pStyle w:val="Compact"/>
              <w:bidi/>
              <w:jc w:val="right"/>
            </w:pPr>
            <w:r>
              <w:rPr>
                <w:rFonts w:ascii="Dubai" w:hAnsi="Dubai" w:cs="Dubai" w:eastAsia="Dubai"/>
                <w:color w:val="1A171C"/>
                <w:sz w:val="22"/>
                <w:rtl/>
                <w:szCs w:val="22"/>
              </w:rPr>
              <w:t xml:space="preserve">تنبيه، إنذار، وقف حتى سنتين، شطب.</w:t>
            </w:r>
          </w:p>
        </w:tc>
      </w:tr>
      <w:tr>
        <w:tc>
          <w:tcPr/>
          <w:p>
            <w:pPr>
              <w:pStyle w:val="Compact"/>
              <w:bidi/>
              <w:jc w:val="right"/>
            </w:pPr>
            <w:r>
              <w:rPr>
                <w:rFonts w:ascii="Dubai" w:hAnsi="Dubai" w:cs="Dubai" w:eastAsia="Dubai"/>
                <w:color w:val="1A171C"/>
                <w:sz w:val="22"/>
                <w:rtl/>
                <w:szCs w:val="22"/>
              </w:rPr>
              <w:t xml:space="preserve">الطعن</w:t>
            </w:r>
          </w:p>
        </w:tc>
        <w:tc>
          <w:tcPr/>
          <w:p>
            <w:pPr>
              <w:pStyle w:val="Compact"/>
              <w:bidi/>
              <w:jc w:val="right"/>
            </w:pPr>
            <w:r>
              <w:rPr>
                <w:rFonts w:ascii="Dubai" w:hAnsi="Dubai" w:cs="Dubai" w:eastAsia="Dubai"/>
                <w:color w:val="1A171C"/>
                <w:sz w:val="22"/>
                <w:rtl/>
                <w:szCs w:val="22"/>
              </w:rPr>
              <w:t xml:space="preserve">تظلم خلال 30 يومًا؛ ثم طعن قضائي خلال 60 يومًا قبل أن يتحصّن القرار.</w:t>
            </w:r>
          </w:p>
        </w:tc>
      </w:tr>
      <w:tr>
        <w:tc>
          <w:tcPr/>
          <w:p>
            <w:pPr>
              <w:pStyle w:val="Compact"/>
              <w:bidi/>
              <w:jc w:val="right"/>
            </w:pPr>
            <w:r>
              <w:rPr>
                <w:rFonts w:ascii="Dubai" w:hAnsi="Dubai" w:cs="Dubai" w:eastAsia="Dubai"/>
                <w:color w:val="1A171C"/>
                <w:sz w:val="22"/>
                <w:rtl/>
                <w:szCs w:val="22"/>
              </w:rPr>
              <w:t xml:space="preserve">المسؤولية</w:t>
            </w:r>
          </w:p>
        </w:tc>
        <w:tc>
          <w:tcPr/>
          <w:p>
            <w:pPr>
              <w:pStyle w:val="Compact"/>
              <w:bidi/>
              <w:jc w:val="right"/>
            </w:pPr>
            <w:r>
              <w:rPr>
                <w:rFonts w:ascii="Dubai" w:hAnsi="Dubai" w:cs="Dubai" w:eastAsia="Dubai"/>
                <w:color w:val="1A171C"/>
                <w:sz w:val="22"/>
                <w:rtl/>
                <w:szCs w:val="22"/>
              </w:rPr>
              <w:t xml:space="preserve">لا يُشترط الضرر، ولا يُشترط نص خاص؛ يكفي الإخلال بالتزام عام.</w:t>
            </w:r>
          </w:p>
        </w:tc>
      </w:tr>
    </w:tbl>
    <w:bookmarkEnd w:id="107"/>
    <w:bookmarkStart w:id="108" w:name="نص-فقرة-التزامك"/>
    <w:p>
      <w:pPr>
        <w:pStyle w:val="Heading2"/>
        <w:bidi/>
        <w:jc w:val="right"/>
      </w:pPr>
      <w:r>
        <w:rPr>
          <w:rFonts w:ascii="Dubai" w:hAnsi="Dubai" w:cs="Dubai" w:eastAsia="Dubai"/>
          <w:b/>
          <w:bCs/>
          <w:color w:val="9C771F"/>
          <w:sz w:val="30"/>
          <w:rtl/>
          <w:szCs w:val="30"/>
        </w:rPr>
        <w:t xml:space="preserve">[نص › فقرة] التزامك</w:t>
      </w:r>
    </w:p>
    <w:p>
      <w:pPr>
        <w:bidi/>
        <w:jc w:val="both"/>
      </w:pPr>
      <w:r>
        <w:rPr>
          <w:rFonts w:ascii="Dubai" w:hAnsi="Dubai" w:cs="Dubai" w:eastAsia="Dubai"/>
          <w:color w:val="1A171C"/>
          <w:sz w:val="24"/>
          <w:rtl/>
          <w:szCs w:val="24"/>
        </w:rPr>
        <w:t xml:space="preserve">اختر ممارسة واحدة من ممارساتك الحالية تحمل خطرًا تأديبيًا — مثل اتفاق شفوي، أو تأخر في الرد على العملاء، أو منشور على وسائل التواصل — واكتب الخطوة التي ستتخذها خلال الأسبوعين القادمين لمعالجتها، وتاريخ تنفيذها.</w:t>
      </w:r>
    </w:p>
    <w:bookmarkEnd w:id="108"/>
    <w:bookmarkStart w:id="109" w:name="وسائط-مرفق-قائمة-التحقق-المهنية"/>
    <w:p>
      <w:pPr>
        <w:pStyle w:val="Heading2"/>
        <w:bidi/>
        <w:jc w:val="right"/>
      </w:pPr>
      <w:r>
        <w:rPr>
          <w:rFonts w:ascii="Dubai" w:hAnsi="Dubai" w:cs="Dubai" w:eastAsia="Dubai"/>
          <w:b/>
          <w:bCs/>
          <w:color w:val="9C771F"/>
          <w:sz w:val="30"/>
          <w:rtl/>
          <w:szCs w:val="30"/>
        </w:rPr>
        <w:t xml:space="preserve">[وسائط › مرفق] قائمة التحقق المهنية</w:t>
      </w:r>
    </w:p>
    <w:p>
      <w:pPr>
        <w:bidi/>
        <w:jc w:val="both"/>
      </w:pPr>
      <w:r>
        <w:rPr>
          <w:rFonts w:ascii="Dubai" w:hAnsi="Dubai" w:cs="Dubai" w:eastAsia="Dubai"/>
          <w:color w:val="1A171C"/>
          <w:sz w:val="24"/>
          <w:rtl/>
          <w:bCs/>
          <w:b/>
          <w:szCs w:val="24"/>
        </w:rPr>
        <w:t xml:space="preserve">الملف:</w:t>
      </w:r>
      <w:r>
        <w:rPr>
          <w:rFonts w:ascii="Dubai" w:hAnsi="Dubai" w:cs="Dubai" w:eastAsia="Dubai"/>
          <w:color w:val="1A171C"/>
          <w:sz w:val="24"/>
          <w:rtl/>
          <w:szCs w:val="24"/>
        </w:rPr>
        <w:t xml:space="preserve"> </w:t>
      </w:r>
      <w:r>
        <w:rPr>
          <w:rFonts w:ascii="Dubai" w:hAnsi="Dubai" w:cs="Dubai" w:eastAsia="Dubai"/>
          <w:rStyle w:val="VerbatimChar"/>
          <w:color w:val="1A171C"/>
          <w:sz w:val="24"/>
          <w:rtl/>
          <w:szCs w:val="24"/>
        </w:rPr>
        <w:t xml:space="preserve">قائمة-التحقق-المهنية-للمستشار-القانوني-المستقل.pdf</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التسمية: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حمّل قائمة التحقق المهنية</w:t>
      </w:r>
    </w:p>
    <w:p>
      <w:pPr>
        <w:bidi/>
        <w:jc w:val="both"/>
      </w:pPr>
      <w:r>
        <w:rPr>
          <w:rFonts w:ascii="Dubai" w:hAnsi="Dubai" w:cs="Dubai" w:eastAsia="Dubai"/>
          <w:color w:val="1A171C"/>
          <w:sz w:val="24"/>
          <w:rtl/>
          <w:szCs w:val="24"/>
        </w:rPr>
        <w:t xml:space="preserve">[مرفق مطلوب: قائمة تحقق من صفحة واحدة تتضمن البنود الأربعة من الدرس 11، إضافة إلى: التحقق من نطاق التصريح قبل قبول التكليف، وفحص تعارض المصالح، وإخطار الزميل عند الحلول محله، ومراجعة المحتوى قبل النشر على وسائل التواصل.]</w:t>
      </w:r>
    </w:p>
    <w:bookmarkEnd w:id="109"/>
    <w:bookmarkStart w:id="110" w:name="فاصل-متابعة-11"/>
    <w:p>
      <w:pPr>
        <w:pStyle w:val="Heading2"/>
        <w:bidi/>
        <w:jc w:val="right"/>
      </w:pPr>
      <w:r>
        <w:rPr>
          <w:rFonts w:ascii="Dubai" w:hAnsi="Dubai" w:cs="Dubai" w:eastAsia="Dubai"/>
          <w:b/>
          <w:bCs/>
          <w:color w:val="9C771F"/>
          <w:sz w:val="30"/>
          <w:rtl/>
          <w:szCs w:val="30"/>
        </w:rPr>
        <w:t xml:space="preserve">[فاصل › متابعة]</w:t>
      </w:r>
    </w:p>
    <w:bookmarkEnd w:id="110"/>
    <w:bookmarkEnd w:id="111"/>
    <w:bookmarkStart w:id="122" w:name="الدرس-13-الاختبار-النهائي"/>
    <w:p>
      <w:pPr>
        <w:pStyle w:val="Heading1"/>
        <w:bidi/>
        <w:jc w:val="right"/>
      </w:pPr>
      <w:r>
        <w:rPr>
          <w:rFonts w:ascii="Dubai" w:hAnsi="Dubai" w:cs="Dubai" w:eastAsia="Dubai"/>
          <w:b/>
          <w:bCs/>
          <w:color w:val="1A171C"/>
          <w:sz w:val="40"/>
          <w:rtl/>
          <w:szCs w:val="40"/>
        </w:rPr>
        <w:t xml:space="preserve">الدرس 13: الاختبار النهائي</w:t>
      </w:r>
    </w:p>
    <w:p>
      <w:pPr>
        <w:bidi/>
        <w:jc w:val="both"/>
      </w:pPr>
      <w:r>
        <w:rPr>
          <w:rFonts w:ascii="Dubai" w:hAnsi="Dubai" w:cs="Dubai" w:eastAsia="Dubai"/>
          <w:color w:val="1A171C"/>
          <w:sz w:val="24"/>
          <w:rtl/>
          <w:bCs/>
          <w:b/>
          <w:szCs w:val="24"/>
        </w:rPr>
        <w:t xml:space="preserve">إعدادات الاختبار:</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درجة النجاح 80%، خلط ترتيب الأسئلة والخيارات، عدد غير محدود من المحاولات، إظهار التغذية الراجعة بعد كل سؤال.</w:t>
      </w:r>
    </w:p>
    <w:bookmarkStart w:id="112" w:name="سؤال-1-اختيار-من-متعدد"/>
    <w:p>
      <w:pPr>
        <w:pStyle w:val="Heading2"/>
        <w:bidi/>
        <w:jc w:val="right"/>
      </w:pPr>
      <w:r>
        <w:rPr>
          <w:rFonts w:ascii="Dubai" w:hAnsi="Dubai" w:cs="Dubai" w:eastAsia="Dubai"/>
          <w:b/>
          <w:bCs/>
          <w:color w:val="9C771F"/>
          <w:sz w:val="30"/>
          <w:rtl/>
          <w:szCs w:val="30"/>
        </w:rPr>
        <w:t xml:space="preserve">سؤال 1 [اختيار من متعدد]</w:t>
      </w:r>
    </w:p>
    <w:p>
      <w:pPr>
        <w:bidi/>
        <w:jc w:val="both"/>
      </w:pPr>
      <w:r>
        <w:rPr>
          <w:rFonts w:ascii="Dubai" w:hAnsi="Dubai" w:cs="Dubai" w:eastAsia="Dubai"/>
          <w:color w:val="1A171C"/>
          <w:sz w:val="24"/>
          <w:rtl/>
          <w:szCs w:val="24"/>
        </w:rPr>
        <w:t xml:space="preserve">أيٌّ مما يلي يقع ضمن صلاحيات المستشار القانوني المستقل؟</w:t>
      </w:r>
    </w:p>
    <w:p>
      <w:pPr>
        <w:numPr>
          <w:ilvl w:val="0"/>
          <w:numId w:val="1004"/>
        </w:numPr>
        <w:pStyle w:val="Compact"/>
        <w:bidi/>
        <w:jc w:val="both"/>
      </w:pPr>
      <w:r>
        <w:rPr>
          <w:rFonts w:ascii="Dubai" w:hAnsi="Dubai" w:cs="Dubai" w:eastAsia="Dubai"/>
          <w:color w:val="1A171C"/>
          <w:sz w:val="24"/>
          <w:rtl/>
          <w:szCs w:val="24"/>
        </w:rPr>
        <w:t xml:space="preserve">صياغة عقد إيجار عقاري ومراجعته.</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04"/>
        </w:numPr>
        <w:pStyle w:val="Compact"/>
        <w:bidi/>
        <w:jc w:val="both"/>
      </w:pPr>
      <w:r>
        <w:rPr>
          <w:rFonts w:ascii="Dubai" w:hAnsi="Dubai" w:cs="Dubai" w:eastAsia="Dubai"/>
          <w:color w:val="1A171C"/>
          <w:sz w:val="24"/>
          <w:rtl/>
          <w:szCs w:val="24"/>
        </w:rPr>
        <w:t xml:space="preserve">تقديم مذكرة دفاع مكتوبة أمام محكمة عقارية.</w:t>
      </w:r>
    </w:p>
    <w:p>
      <w:pPr>
        <w:numPr>
          <w:ilvl w:val="0"/>
          <w:numId w:val="1004"/>
        </w:numPr>
        <w:pStyle w:val="Compact"/>
        <w:bidi/>
        <w:jc w:val="both"/>
      </w:pPr>
      <w:r>
        <w:rPr>
          <w:rFonts w:ascii="Dubai" w:hAnsi="Dubai" w:cs="Dubai" w:eastAsia="Dubai"/>
          <w:color w:val="1A171C"/>
          <w:sz w:val="24"/>
          <w:rtl/>
          <w:szCs w:val="24"/>
        </w:rPr>
        <w:t xml:space="preserve">المرافعة أمام محاكم مركز دبي المالي العالمي.</w:t>
      </w:r>
    </w:p>
    <w:p>
      <w:pPr>
        <w:numPr>
          <w:ilvl w:val="0"/>
          <w:numId w:val="1004"/>
        </w:numPr>
        <w:pStyle w:val="Compact"/>
        <w:bidi/>
        <w:jc w:val="both"/>
      </w:pPr>
      <w:r>
        <w:rPr>
          <w:rFonts w:ascii="Dubai" w:hAnsi="Dubai" w:cs="Dubai" w:eastAsia="Dubai"/>
          <w:color w:val="1A171C"/>
          <w:sz w:val="24"/>
          <w:rtl/>
          <w:szCs w:val="24"/>
        </w:rPr>
        <w:t xml:space="preserve">تقديم استشارة في نزاع تجاري بين شركتين.</w:t>
      </w:r>
    </w:p>
    <w:p>
      <w:pPr>
        <w:bidi/>
        <w:jc w:val="both"/>
      </w:pPr>
      <w:r>
        <w:rPr>
          <w:rFonts w:ascii="Dubai" w:hAnsi="Dubai" w:cs="Dubai" w:eastAsia="Dubai"/>
          <w:color w:val="1A171C"/>
          <w:sz w:val="24"/>
          <w:rtl/>
          <w:bCs/>
          <w:b/>
          <w:szCs w:val="24"/>
        </w:rPr>
        <w:t xml:space="preserve">التغذية الراجعة: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صياغة العقود العقارية ومراجعتها ضمن صلاحياتك. المرافعة — ولو مكتوبة — محظورة، والقانون التجاري خارج فروع التصريح الحالية.</w:t>
      </w:r>
    </w:p>
    <w:bookmarkEnd w:id="112"/>
    <w:bookmarkStart w:id="113" w:name="سؤال-2-اختيار-من-متعدد"/>
    <w:p>
      <w:pPr>
        <w:pStyle w:val="Heading2"/>
        <w:bidi/>
        <w:jc w:val="right"/>
      </w:pPr>
      <w:r>
        <w:rPr>
          <w:rFonts w:ascii="Dubai" w:hAnsi="Dubai" w:cs="Dubai" w:eastAsia="Dubai"/>
          <w:b/>
          <w:bCs/>
          <w:color w:val="9C771F"/>
          <w:sz w:val="30"/>
          <w:rtl/>
          <w:szCs w:val="30"/>
        </w:rPr>
        <w:t xml:space="preserve">سؤال 2 [اختيار من متعدد]</w:t>
      </w:r>
    </w:p>
    <w:p>
      <w:pPr>
        <w:bidi/>
        <w:jc w:val="both"/>
      </w:pPr>
      <w:r>
        <w:rPr>
          <w:rFonts w:ascii="Dubai" w:hAnsi="Dubai" w:cs="Dubai" w:eastAsia="Dubai"/>
          <w:color w:val="1A171C"/>
          <w:sz w:val="24"/>
          <w:rtl/>
          <w:szCs w:val="24"/>
        </w:rPr>
        <w:t xml:space="preserve">خطأ مهني يمثّل انحرافًا عن الحد الأدنى للمبادئ الأساسية في القانون يُعدّ:</w:t>
      </w:r>
    </w:p>
    <w:p>
      <w:pPr>
        <w:numPr>
          <w:ilvl w:val="0"/>
          <w:numId w:val="1005"/>
        </w:numPr>
        <w:pStyle w:val="Compact"/>
        <w:bidi/>
        <w:jc w:val="both"/>
      </w:pPr>
      <w:r>
        <w:rPr>
          <w:rFonts w:ascii="Dubai" w:hAnsi="Dubai" w:cs="Dubai" w:eastAsia="Dubai"/>
          <w:color w:val="1A171C"/>
          <w:sz w:val="24"/>
          <w:rtl/>
          <w:szCs w:val="24"/>
        </w:rPr>
        <w:t xml:space="preserve">مخالفة مهنية.</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05"/>
        </w:numPr>
        <w:pStyle w:val="Compact"/>
        <w:bidi/>
        <w:jc w:val="both"/>
      </w:pPr>
      <w:r>
        <w:rPr>
          <w:rFonts w:ascii="Dubai" w:hAnsi="Dubai" w:cs="Dubai" w:eastAsia="Dubai"/>
          <w:color w:val="1A171C"/>
          <w:sz w:val="24"/>
          <w:rtl/>
          <w:szCs w:val="24"/>
        </w:rPr>
        <w:t xml:space="preserve">مخالفة مسلكية.</w:t>
      </w:r>
    </w:p>
    <w:p>
      <w:pPr>
        <w:numPr>
          <w:ilvl w:val="0"/>
          <w:numId w:val="1005"/>
        </w:numPr>
        <w:pStyle w:val="Compact"/>
        <w:bidi/>
        <w:jc w:val="both"/>
      </w:pPr>
      <w:r>
        <w:rPr>
          <w:rFonts w:ascii="Dubai" w:hAnsi="Dubai" w:cs="Dubai" w:eastAsia="Dubai"/>
          <w:color w:val="1A171C"/>
          <w:sz w:val="24"/>
          <w:rtl/>
          <w:szCs w:val="24"/>
        </w:rPr>
        <w:t xml:space="preserve">جريمة جزائية بالضرورة.</w:t>
      </w:r>
    </w:p>
    <w:p>
      <w:pPr>
        <w:numPr>
          <w:ilvl w:val="0"/>
          <w:numId w:val="1005"/>
        </w:numPr>
        <w:pStyle w:val="Compact"/>
        <w:bidi/>
        <w:jc w:val="both"/>
      </w:pPr>
      <w:r>
        <w:rPr>
          <w:rFonts w:ascii="Dubai" w:hAnsi="Dubai" w:cs="Dubai" w:eastAsia="Dubai"/>
          <w:color w:val="1A171C"/>
          <w:sz w:val="24"/>
          <w:rtl/>
          <w:szCs w:val="24"/>
        </w:rPr>
        <w:t xml:space="preserve">مسؤولية مدنية بالضرورة.</w:t>
      </w:r>
    </w:p>
    <w:p>
      <w:pPr>
        <w:bidi/>
        <w:jc w:val="both"/>
      </w:pPr>
      <w:r>
        <w:rPr>
          <w:rFonts w:ascii="Dubai" w:hAnsi="Dubai" w:cs="Dubai" w:eastAsia="Dubai"/>
          <w:color w:val="1A171C"/>
          <w:sz w:val="24"/>
          <w:rtl/>
          <w:bCs/>
          <w:b/>
          <w:szCs w:val="24"/>
        </w:rPr>
        <w:t xml:space="preserve">التغذية الراجعة: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هذا تعريف المخالفة المهنية. المسلكية تتعلق بكرامة المهنة وآدابها، والمسؤوليات الأخرى مستقلة ولا تقوم بالضرورة.</w:t>
      </w:r>
    </w:p>
    <w:bookmarkEnd w:id="113"/>
    <w:bookmarkStart w:id="114" w:name="سؤال-3-اختيار-من-متعدد"/>
    <w:p>
      <w:pPr>
        <w:pStyle w:val="Heading2"/>
        <w:bidi/>
        <w:jc w:val="right"/>
      </w:pPr>
      <w:r>
        <w:rPr>
          <w:rFonts w:ascii="Dubai" w:hAnsi="Dubai" w:cs="Dubai" w:eastAsia="Dubai"/>
          <w:b/>
          <w:bCs/>
          <w:color w:val="9C771F"/>
          <w:sz w:val="30"/>
          <w:rtl/>
          <w:szCs w:val="30"/>
        </w:rPr>
        <w:t xml:space="preserve">سؤال 3 [اختيار من متعدد]</w:t>
      </w:r>
    </w:p>
    <w:p>
      <w:pPr>
        <w:bidi/>
        <w:jc w:val="both"/>
      </w:pPr>
      <w:r>
        <w:rPr>
          <w:rFonts w:ascii="Dubai" w:hAnsi="Dubai" w:cs="Dubai" w:eastAsia="Dubai"/>
          <w:color w:val="1A171C"/>
          <w:sz w:val="24"/>
          <w:rtl/>
          <w:szCs w:val="24"/>
        </w:rPr>
        <w:t xml:space="preserve">من صاحب الصفة في تحريك الشكوى التأديبية؟</w:t>
      </w:r>
    </w:p>
    <w:p>
      <w:pPr>
        <w:numPr>
          <w:ilvl w:val="0"/>
          <w:numId w:val="1006"/>
        </w:numPr>
        <w:pStyle w:val="Compact"/>
        <w:bidi/>
        <w:jc w:val="both"/>
      </w:pPr>
      <w:r>
        <w:rPr>
          <w:rFonts w:ascii="Dubai" w:hAnsi="Dubai" w:cs="Dubai" w:eastAsia="Dubai"/>
          <w:color w:val="1A171C"/>
          <w:sz w:val="24"/>
          <w:rtl/>
          <w:szCs w:val="24"/>
        </w:rPr>
        <w:t xml:space="preserve">إدارة شؤون المحامين والمستشارين القانونيين.</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06"/>
        </w:numPr>
        <w:pStyle w:val="Compact"/>
        <w:bidi/>
        <w:jc w:val="both"/>
      </w:pPr>
      <w:r>
        <w:rPr>
          <w:rFonts w:ascii="Dubai" w:hAnsi="Dubai" w:cs="Dubai" w:eastAsia="Dubai"/>
          <w:color w:val="1A171C"/>
          <w:sz w:val="24"/>
          <w:rtl/>
          <w:szCs w:val="24"/>
        </w:rPr>
        <w:t xml:space="preserve">العميل المتضرر وحده.</w:t>
      </w:r>
    </w:p>
    <w:p>
      <w:pPr>
        <w:numPr>
          <w:ilvl w:val="0"/>
          <w:numId w:val="1006"/>
        </w:numPr>
        <w:pStyle w:val="Compact"/>
        <w:bidi/>
        <w:jc w:val="both"/>
      </w:pPr>
      <w:r>
        <w:rPr>
          <w:rFonts w:ascii="Dubai" w:hAnsi="Dubai" w:cs="Dubai" w:eastAsia="Dubai"/>
          <w:color w:val="1A171C"/>
          <w:sz w:val="24"/>
          <w:rtl/>
          <w:szCs w:val="24"/>
        </w:rPr>
        <w:t xml:space="preserve">لجنة التظلمات.</w:t>
      </w:r>
    </w:p>
    <w:p>
      <w:pPr>
        <w:numPr>
          <w:ilvl w:val="0"/>
          <w:numId w:val="1006"/>
        </w:numPr>
        <w:pStyle w:val="Compact"/>
        <w:bidi/>
        <w:jc w:val="both"/>
      </w:pPr>
      <w:r>
        <w:rPr>
          <w:rFonts w:ascii="Dubai" w:hAnsi="Dubai" w:cs="Dubai" w:eastAsia="Dubai"/>
          <w:color w:val="1A171C"/>
          <w:sz w:val="24"/>
          <w:rtl/>
          <w:szCs w:val="24"/>
        </w:rPr>
        <w:t xml:space="preserve">النيابة العامة.</w:t>
      </w:r>
    </w:p>
    <w:p>
      <w:pPr>
        <w:bidi/>
        <w:jc w:val="both"/>
      </w:pPr>
      <w:r>
        <w:rPr>
          <w:rFonts w:ascii="Dubai" w:hAnsi="Dubai" w:cs="Dubai" w:eastAsia="Dubai"/>
          <w:color w:val="1A171C"/>
          <w:sz w:val="24"/>
          <w:rtl/>
          <w:bCs/>
          <w:b/>
          <w:szCs w:val="24"/>
        </w:rPr>
        <w:t xml:space="preserve">التغذية الراجعة: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الإدارة هي المدعي والأمينة على الشكوى، والشاكي مجرد مُخبِر.</w:t>
      </w:r>
    </w:p>
    <w:bookmarkEnd w:id="114"/>
    <w:bookmarkStart w:id="115" w:name="سؤال-4-اختيار-من-متعدد"/>
    <w:p>
      <w:pPr>
        <w:pStyle w:val="Heading2"/>
        <w:bidi/>
        <w:jc w:val="right"/>
      </w:pPr>
      <w:r>
        <w:rPr>
          <w:rFonts w:ascii="Dubai" w:hAnsi="Dubai" w:cs="Dubai" w:eastAsia="Dubai"/>
          <w:b/>
          <w:bCs/>
          <w:color w:val="9C771F"/>
          <w:sz w:val="30"/>
          <w:rtl/>
          <w:szCs w:val="30"/>
        </w:rPr>
        <w:t xml:space="preserve">سؤال 4 [اختيار من متعدد]</w:t>
      </w:r>
    </w:p>
    <w:p>
      <w:pPr>
        <w:bidi/>
        <w:jc w:val="both"/>
      </w:pPr>
      <w:r>
        <w:rPr>
          <w:rFonts w:ascii="Dubai" w:hAnsi="Dubai" w:cs="Dubai" w:eastAsia="Dubai"/>
          <w:color w:val="1A171C"/>
          <w:sz w:val="24"/>
          <w:rtl/>
          <w:szCs w:val="24"/>
        </w:rPr>
        <w:t xml:space="preserve">ما أثر تصالح الشاكي مع المشكو ضده وسحبه الشكوى؟</w:t>
      </w:r>
    </w:p>
    <w:p>
      <w:pPr>
        <w:numPr>
          <w:ilvl w:val="0"/>
          <w:numId w:val="1007"/>
        </w:numPr>
        <w:pStyle w:val="Compact"/>
        <w:bidi/>
        <w:jc w:val="both"/>
      </w:pPr>
      <w:r>
        <w:rPr>
          <w:rFonts w:ascii="Dubai" w:hAnsi="Dubai" w:cs="Dubai" w:eastAsia="Dubai"/>
          <w:color w:val="1A171C"/>
          <w:sz w:val="24"/>
          <w:rtl/>
          <w:szCs w:val="24"/>
        </w:rPr>
        <w:t xml:space="preserve">لا يمنع استمرار نظر الشكوى، وقد يُراعى عند تقدير الجزاء.</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07"/>
        </w:numPr>
        <w:pStyle w:val="Compact"/>
        <w:bidi/>
        <w:jc w:val="both"/>
      </w:pPr>
      <w:r>
        <w:rPr>
          <w:rFonts w:ascii="Dubai" w:hAnsi="Dubai" w:cs="Dubai" w:eastAsia="Dubai"/>
          <w:color w:val="1A171C"/>
          <w:sz w:val="24"/>
          <w:rtl/>
          <w:szCs w:val="24"/>
        </w:rPr>
        <w:t xml:space="preserve">تنقضي الشكوى بقوة القانون.</w:t>
      </w:r>
    </w:p>
    <w:p>
      <w:pPr>
        <w:numPr>
          <w:ilvl w:val="0"/>
          <w:numId w:val="1007"/>
        </w:numPr>
        <w:pStyle w:val="Compact"/>
        <w:bidi/>
        <w:jc w:val="both"/>
      </w:pPr>
      <w:r>
        <w:rPr>
          <w:rFonts w:ascii="Dubai" w:hAnsi="Dubai" w:cs="Dubai" w:eastAsia="Dubai"/>
          <w:color w:val="1A171C"/>
          <w:sz w:val="24"/>
          <w:rtl/>
          <w:szCs w:val="24"/>
        </w:rPr>
        <w:t xml:space="preserve">تُحفظ الشكوى إذا كان السحب قبل الإحالة.</w:t>
      </w:r>
    </w:p>
    <w:p>
      <w:pPr>
        <w:numPr>
          <w:ilvl w:val="0"/>
          <w:numId w:val="1007"/>
        </w:numPr>
        <w:pStyle w:val="Compact"/>
        <w:bidi/>
        <w:jc w:val="both"/>
      </w:pPr>
      <w:r>
        <w:rPr>
          <w:rFonts w:ascii="Dubai" w:hAnsi="Dubai" w:cs="Dubai" w:eastAsia="Dubai"/>
          <w:color w:val="1A171C"/>
          <w:sz w:val="24"/>
          <w:rtl/>
          <w:szCs w:val="24"/>
        </w:rPr>
        <w:t xml:space="preserve">يُحال المشكو ضده إلى النيابة العامة.</w:t>
      </w:r>
    </w:p>
    <w:p>
      <w:pPr>
        <w:bidi/>
        <w:jc w:val="both"/>
      </w:pPr>
      <w:r>
        <w:rPr>
          <w:rFonts w:ascii="Dubai" w:hAnsi="Dubai" w:cs="Dubai" w:eastAsia="Dubai"/>
          <w:color w:val="1A171C"/>
          <w:sz w:val="24"/>
          <w:rtl/>
          <w:bCs/>
          <w:b/>
          <w:szCs w:val="24"/>
        </w:rPr>
        <w:t xml:space="preserve">التغذية الراجعة: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المادة (7/ج) من القرار رقم (54) لسنة 2022 صريحة في أن السحب أو التسوية لا يحولان دون الاستمرار.</w:t>
      </w:r>
    </w:p>
    <w:bookmarkEnd w:id="115"/>
    <w:bookmarkStart w:id="116" w:name="سؤال-5-اختيار-من-متعدد"/>
    <w:p>
      <w:pPr>
        <w:pStyle w:val="Heading2"/>
        <w:bidi/>
        <w:jc w:val="right"/>
      </w:pPr>
      <w:r>
        <w:rPr>
          <w:rFonts w:ascii="Dubai" w:hAnsi="Dubai" w:cs="Dubai" w:eastAsia="Dubai"/>
          <w:b/>
          <w:bCs/>
          <w:color w:val="9C771F"/>
          <w:sz w:val="30"/>
          <w:rtl/>
          <w:szCs w:val="30"/>
        </w:rPr>
        <w:t xml:space="preserve">سؤال 5 [اختيار من متعدد]</w:t>
      </w:r>
    </w:p>
    <w:p>
      <w:pPr>
        <w:bidi/>
        <w:jc w:val="both"/>
      </w:pPr>
      <w:r>
        <w:rPr>
          <w:rFonts w:ascii="Dubai" w:hAnsi="Dubai" w:cs="Dubai" w:eastAsia="Dubai"/>
          <w:color w:val="1A171C"/>
          <w:sz w:val="24"/>
          <w:rtl/>
          <w:szCs w:val="24"/>
        </w:rPr>
        <w:t xml:space="preserve">أقصى مدة للوقف عن العمل التي يجوز للجنة السلوك المهني توقيعها:</w:t>
      </w:r>
    </w:p>
    <w:p>
      <w:pPr>
        <w:numPr>
          <w:ilvl w:val="0"/>
          <w:numId w:val="1008"/>
        </w:numPr>
        <w:pStyle w:val="Compact"/>
        <w:bidi/>
        <w:jc w:val="both"/>
      </w:pPr>
      <w:r>
        <w:rPr>
          <w:rFonts w:ascii="Dubai" w:hAnsi="Dubai" w:cs="Dubai" w:eastAsia="Dubai"/>
          <w:color w:val="1A171C"/>
          <w:sz w:val="24"/>
          <w:rtl/>
          <w:szCs w:val="24"/>
        </w:rPr>
        <w:t xml:space="preserve">سنتان.</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08"/>
        </w:numPr>
        <w:pStyle w:val="Compact"/>
        <w:bidi/>
        <w:jc w:val="both"/>
      </w:pPr>
      <w:r>
        <w:rPr>
          <w:rFonts w:ascii="Dubai" w:hAnsi="Dubai" w:cs="Dubai" w:eastAsia="Dubai"/>
          <w:color w:val="1A171C"/>
          <w:sz w:val="24"/>
          <w:rtl/>
          <w:szCs w:val="24"/>
        </w:rPr>
        <w:t xml:space="preserve">ستة أشهر.</w:t>
      </w:r>
    </w:p>
    <w:p>
      <w:pPr>
        <w:numPr>
          <w:ilvl w:val="0"/>
          <w:numId w:val="1008"/>
        </w:numPr>
        <w:pStyle w:val="Compact"/>
        <w:bidi/>
        <w:jc w:val="both"/>
      </w:pPr>
      <w:r>
        <w:rPr>
          <w:rFonts w:ascii="Dubai" w:hAnsi="Dubai" w:cs="Dubai" w:eastAsia="Dubai"/>
          <w:color w:val="1A171C"/>
          <w:sz w:val="24"/>
          <w:rtl/>
          <w:szCs w:val="24"/>
        </w:rPr>
        <w:t xml:space="preserve">سنة واحدة.</w:t>
      </w:r>
    </w:p>
    <w:p>
      <w:pPr>
        <w:numPr>
          <w:ilvl w:val="0"/>
          <w:numId w:val="1008"/>
        </w:numPr>
        <w:pStyle w:val="Compact"/>
        <w:bidi/>
        <w:jc w:val="both"/>
      </w:pPr>
      <w:r>
        <w:rPr>
          <w:rFonts w:ascii="Dubai" w:hAnsi="Dubai" w:cs="Dubai" w:eastAsia="Dubai"/>
          <w:color w:val="1A171C"/>
          <w:sz w:val="24"/>
          <w:rtl/>
          <w:szCs w:val="24"/>
        </w:rPr>
        <w:t xml:space="preserve">خمس سنوات.</w:t>
      </w:r>
    </w:p>
    <w:p>
      <w:pPr>
        <w:bidi/>
        <w:jc w:val="both"/>
      </w:pPr>
      <w:r>
        <w:rPr>
          <w:rFonts w:ascii="Dubai" w:hAnsi="Dubai" w:cs="Dubai" w:eastAsia="Dubai"/>
          <w:color w:val="1A171C"/>
          <w:sz w:val="24"/>
          <w:rtl/>
          <w:bCs/>
          <w:b/>
          <w:szCs w:val="24"/>
        </w:rPr>
        <w:t xml:space="preserve">التغذية الراجعة: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الوقف عن العمل مدة لا تزيد على سنتين (المادة 14/ج).</w:t>
      </w:r>
    </w:p>
    <w:bookmarkEnd w:id="116"/>
    <w:bookmarkStart w:id="117" w:name="سؤال-6-اختيار-من-متعدد"/>
    <w:p>
      <w:pPr>
        <w:pStyle w:val="Heading2"/>
        <w:bidi/>
        <w:jc w:val="right"/>
      </w:pPr>
      <w:r>
        <w:rPr>
          <w:rFonts w:ascii="Dubai" w:hAnsi="Dubai" w:cs="Dubai" w:eastAsia="Dubai"/>
          <w:b/>
          <w:bCs/>
          <w:color w:val="9C771F"/>
          <w:sz w:val="30"/>
          <w:rtl/>
          <w:szCs w:val="30"/>
        </w:rPr>
        <w:t xml:space="preserve">سؤال 6 [اختيار من متعدد]</w:t>
      </w:r>
    </w:p>
    <w:p>
      <w:pPr>
        <w:bidi/>
        <w:jc w:val="both"/>
      </w:pPr>
      <w:r>
        <w:rPr>
          <w:rFonts w:ascii="Dubai" w:hAnsi="Dubai" w:cs="Dubai" w:eastAsia="Dubai"/>
          <w:color w:val="1A171C"/>
          <w:sz w:val="24"/>
          <w:rtl/>
          <w:szCs w:val="24"/>
        </w:rPr>
        <w:t xml:space="preserve">ميعاد تظلّم المهني من قرار لجنة السلوك المهني:</w:t>
      </w:r>
    </w:p>
    <w:p>
      <w:pPr>
        <w:numPr>
          <w:ilvl w:val="0"/>
          <w:numId w:val="1009"/>
        </w:numPr>
        <w:pStyle w:val="Compact"/>
        <w:bidi/>
        <w:jc w:val="both"/>
      </w:pPr>
      <w:r>
        <w:rPr>
          <w:rFonts w:ascii="Dubai" w:hAnsi="Dubai" w:cs="Dubai" w:eastAsia="Dubai"/>
          <w:color w:val="1A171C"/>
          <w:sz w:val="24"/>
          <w:rtl/>
          <w:szCs w:val="24"/>
        </w:rPr>
        <w:t xml:space="preserve">30 يومًا من اليوم التالي لتاريخ تبليغه بالقرار.</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09"/>
        </w:numPr>
        <w:pStyle w:val="Compact"/>
        <w:bidi/>
        <w:jc w:val="both"/>
      </w:pPr>
      <w:r>
        <w:rPr>
          <w:rFonts w:ascii="Dubai" w:hAnsi="Dubai" w:cs="Dubai" w:eastAsia="Dubai"/>
          <w:color w:val="1A171C"/>
          <w:sz w:val="24"/>
          <w:rtl/>
          <w:szCs w:val="24"/>
        </w:rPr>
        <w:t xml:space="preserve">30 يومًا من تاريخ صدور القرار.</w:t>
      </w:r>
    </w:p>
    <w:p>
      <w:pPr>
        <w:numPr>
          <w:ilvl w:val="0"/>
          <w:numId w:val="1009"/>
        </w:numPr>
        <w:pStyle w:val="Compact"/>
        <w:bidi/>
        <w:jc w:val="both"/>
      </w:pPr>
      <w:r>
        <w:rPr>
          <w:rFonts w:ascii="Dubai" w:hAnsi="Dubai" w:cs="Dubai" w:eastAsia="Dubai"/>
          <w:color w:val="1A171C"/>
          <w:sz w:val="24"/>
          <w:rtl/>
          <w:szCs w:val="24"/>
        </w:rPr>
        <w:t xml:space="preserve">60 يومًا من تاريخ التبليغ.</w:t>
      </w:r>
    </w:p>
    <w:p>
      <w:pPr>
        <w:numPr>
          <w:ilvl w:val="0"/>
          <w:numId w:val="1009"/>
        </w:numPr>
        <w:pStyle w:val="Compact"/>
        <w:bidi/>
        <w:jc w:val="both"/>
      </w:pPr>
      <w:r>
        <w:rPr>
          <w:rFonts w:ascii="Dubai" w:hAnsi="Dubai" w:cs="Dubai" w:eastAsia="Dubai"/>
          <w:color w:val="1A171C"/>
          <w:sz w:val="24"/>
          <w:rtl/>
          <w:szCs w:val="24"/>
        </w:rPr>
        <w:t xml:space="preserve">15 يومًا من تاريخ الجلسة.</w:t>
      </w:r>
    </w:p>
    <w:p>
      <w:pPr>
        <w:bidi/>
        <w:jc w:val="both"/>
      </w:pPr>
      <w:r>
        <w:rPr>
          <w:rFonts w:ascii="Dubai" w:hAnsi="Dubai" w:cs="Dubai" w:eastAsia="Dubai"/>
          <w:color w:val="1A171C"/>
          <w:sz w:val="24"/>
          <w:rtl/>
          <w:bCs/>
          <w:b/>
          <w:szCs w:val="24"/>
        </w:rPr>
        <w:t xml:space="preserve">التغذية الراجعة: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يُحتسب ميعاد المهني من اليوم التالي للتبليغ؛ أما اعتراض الإدارة فيُحتسب من اليوم التالي للصدور.</w:t>
      </w:r>
    </w:p>
    <w:bookmarkEnd w:id="117"/>
    <w:bookmarkStart w:id="118" w:name="سؤال-7-اختيار-من-متعدد"/>
    <w:p>
      <w:pPr>
        <w:pStyle w:val="Heading2"/>
        <w:bidi/>
        <w:jc w:val="right"/>
      </w:pPr>
      <w:r>
        <w:rPr>
          <w:rFonts w:ascii="Dubai" w:hAnsi="Dubai" w:cs="Dubai" w:eastAsia="Dubai"/>
          <w:b/>
          <w:bCs/>
          <w:color w:val="9C771F"/>
          <w:sz w:val="30"/>
          <w:rtl/>
          <w:szCs w:val="30"/>
        </w:rPr>
        <w:t xml:space="preserve">سؤال 7 [اختيار من متعدد]</w:t>
      </w:r>
    </w:p>
    <w:p>
      <w:pPr>
        <w:bidi/>
        <w:jc w:val="both"/>
      </w:pPr>
      <w:r>
        <w:rPr>
          <w:rFonts w:ascii="Dubai" w:hAnsi="Dubai" w:cs="Dubai" w:eastAsia="Dubai"/>
          <w:color w:val="1A171C"/>
          <w:sz w:val="24"/>
          <w:rtl/>
          <w:szCs w:val="24"/>
        </w:rPr>
        <w:t xml:space="preserve">يصبح القرار التأديبي «محصّنًا» عندما:</w:t>
      </w:r>
    </w:p>
    <w:p>
      <w:pPr>
        <w:numPr>
          <w:ilvl w:val="0"/>
          <w:numId w:val="1010"/>
        </w:numPr>
        <w:pStyle w:val="Compact"/>
        <w:bidi/>
        <w:jc w:val="both"/>
      </w:pPr>
      <w:r>
        <w:rPr>
          <w:rFonts w:ascii="Dubai" w:hAnsi="Dubai" w:cs="Dubai" w:eastAsia="Dubai"/>
          <w:color w:val="1A171C"/>
          <w:sz w:val="24"/>
          <w:rtl/>
          <w:szCs w:val="24"/>
        </w:rPr>
        <w:t xml:space="preserve">لا يُطعن عليه قضائيًا خلال 60 يومًا من إعلانه أو العلم اليقيني به أو نشره.</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10"/>
        </w:numPr>
        <w:pStyle w:val="Compact"/>
        <w:bidi/>
        <w:jc w:val="both"/>
      </w:pPr>
      <w:r>
        <w:rPr>
          <w:rFonts w:ascii="Dubai" w:hAnsi="Dubai" w:cs="Dubai" w:eastAsia="Dubai"/>
          <w:color w:val="1A171C"/>
          <w:sz w:val="24"/>
          <w:rtl/>
          <w:szCs w:val="24"/>
        </w:rPr>
        <w:t xml:space="preserve">يفوت ميعاد التظلم منه أمام لجنة التظلمات.</w:t>
      </w:r>
    </w:p>
    <w:p>
      <w:pPr>
        <w:numPr>
          <w:ilvl w:val="0"/>
          <w:numId w:val="1010"/>
        </w:numPr>
        <w:pStyle w:val="Compact"/>
        <w:bidi/>
        <w:jc w:val="both"/>
      </w:pPr>
      <w:r>
        <w:rPr>
          <w:rFonts w:ascii="Dubai" w:hAnsi="Dubai" w:cs="Dubai" w:eastAsia="Dubai"/>
          <w:color w:val="1A171C"/>
          <w:sz w:val="24"/>
          <w:rtl/>
          <w:szCs w:val="24"/>
        </w:rPr>
        <w:t xml:space="preserve">يصدر عن لجنة التظلمات.</w:t>
      </w:r>
    </w:p>
    <w:p>
      <w:pPr>
        <w:numPr>
          <w:ilvl w:val="0"/>
          <w:numId w:val="1010"/>
        </w:numPr>
        <w:pStyle w:val="Compact"/>
        <w:bidi/>
        <w:jc w:val="both"/>
      </w:pPr>
      <w:r>
        <w:rPr>
          <w:rFonts w:ascii="Dubai" w:hAnsi="Dubai" w:cs="Dubai" w:eastAsia="Dubai"/>
          <w:color w:val="1A171C"/>
          <w:sz w:val="24"/>
          <w:rtl/>
          <w:szCs w:val="24"/>
        </w:rPr>
        <w:t xml:space="preserve">تبدأ الدائرة في تنفيذه.</w:t>
      </w:r>
    </w:p>
    <w:p>
      <w:pPr>
        <w:bidi/>
        <w:jc w:val="both"/>
      </w:pPr>
      <w:r>
        <w:rPr>
          <w:rFonts w:ascii="Dubai" w:hAnsi="Dubai" w:cs="Dubai" w:eastAsia="Dubai"/>
          <w:color w:val="1A171C"/>
          <w:sz w:val="24"/>
          <w:rtl/>
          <w:bCs/>
          <w:b/>
          <w:szCs w:val="24"/>
        </w:rPr>
        <w:t xml:space="preserve">التغذية الراجعة: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الخيارات الأخرى تصف «النهائية» لا «التحصّن». النهائية تعني قابلية التنفيذ، والتحصّن يعني امتناع الطعن القضائي.</w:t>
      </w:r>
    </w:p>
    <w:bookmarkEnd w:id="118"/>
    <w:bookmarkStart w:id="119" w:name="سؤال-8-اختيار-متعدد-الإجابات"/>
    <w:p>
      <w:pPr>
        <w:pStyle w:val="Heading2"/>
        <w:bidi/>
        <w:jc w:val="right"/>
      </w:pPr>
      <w:r>
        <w:rPr>
          <w:rFonts w:ascii="Dubai" w:hAnsi="Dubai" w:cs="Dubai" w:eastAsia="Dubai"/>
          <w:b/>
          <w:bCs/>
          <w:color w:val="9C771F"/>
          <w:sz w:val="30"/>
          <w:rtl/>
          <w:szCs w:val="30"/>
        </w:rPr>
        <w:t xml:space="preserve">سؤال 8 [اختيار متعدد الإجابات]</w:t>
      </w:r>
    </w:p>
    <w:p>
      <w:pPr>
        <w:bidi/>
        <w:jc w:val="both"/>
      </w:pPr>
      <w:r>
        <w:rPr>
          <w:rFonts w:ascii="Dubai" w:hAnsi="Dubai" w:cs="Dubai" w:eastAsia="Dubai"/>
          <w:color w:val="1A171C"/>
          <w:sz w:val="24"/>
          <w:rtl/>
          <w:szCs w:val="24"/>
        </w:rPr>
        <w:t xml:space="preserve">أيٌّ مما يلي من الأسس المشتركة بين المسؤوليتين التأديبية والجزائية؟ (اختر كل ما ينطبق)</w:t>
      </w:r>
    </w:p>
    <w:p>
      <w:pPr>
        <w:numPr>
          <w:ilvl w:val="0"/>
          <w:numId w:val="1011"/>
        </w:numPr>
        <w:pStyle w:val="Compact"/>
        <w:bidi/>
        <w:jc w:val="both"/>
      </w:pPr>
      <w:r>
        <w:rPr>
          <w:rFonts w:ascii="Dubai" w:hAnsi="Dubai" w:cs="Dubai" w:eastAsia="Dubai"/>
          <w:color w:val="1A171C"/>
          <w:sz w:val="24"/>
          <w:rtl/>
          <w:szCs w:val="24"/>
        </w:rPr>
        <w:t xml:space="preserve">الإدانة تقوم على اليقين لا الشك.</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11"/>
        </w:numPr>
        <w:pStyle w:val="Compact"/>
        <w:bidi/>
        <w:jc w:val="both"/>
      </w:pPr>
      <w:r>
        <w:rPr>
          <w:rFonts w:ascii="Dubai" w:hAnsi="Dubai" w:cs="Dubai" w:eastAsia="Dubai"/>
          <w:color w:val="1A171C"/>
          <w:sz w:val="24"/>
          <w:rtl/>
          <w:szCs w:val="24"/>
        </w:rPr>
        <w:t xml:space="preserve">شخصية المسؤولية.</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11"/>
        </w:numPr>
        <w:pStyle w:val="Compact"/>
        <w:bidi/>
        <w:jc w:val="both"/>
      </w:pPr>
      <w:r>
        <w:rPr>
          <w:rFonts w:ascii="Dubai" w:hAnsi="Dubai" w:cs="Dubai" w:eastAsia="Dubai"/>
          <w:color w:val="1A171C"/>
          <w:sz w:val="24"/>
          <w:rtl/>
          <w:szCs w:val="24"/>
        </w:rPr>
        <w:t xml:space="preserve">تطبيق القانون الأصلح للمتهم.</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11"/>
        </w:numPr>
        <w:pStyle w:val="Compact"/>
        <w:bidi/>
        <w:jc w:val="both"/>
      </w:pPr>
      <w:r>
        <w:rPr>
          <w:rFonts w:ascii="Dubai" w:hAnsi="Dubai" w:cs="Dubai" w:eastAsia="Dubai"/>
          <w:color w:val="1A171C"/>
          <w:sz w:val="24"/>
          <w:rtl/>
          <w:szCs w:val="24"/>
        </w:rPr>
        <w:t xml:space="preserve">مبدأ «لا جريمة ولا عقوبة إلا بنص».</w:t>
      </w:r>
    </w:p>
    <w:p>
      <w:pPr>
        <w:bidi/>
        <w:jc w:val="both"/>
      </w:pPr>
      <w:r>
        <w:rPr>
          <w:rFonts w:ascii="Dubai" w:hAnsi="Dubai" w:cs="Dubai" w:eastAsia="Dubai"/>
          <w:color w:val="1A171C"/>
          <w:sz w:val="24"/>
          <w:rtl/>
          <w:bCs/>
          <w:b/>
          <w:szCs w:val="24"/>
        </w:rPr>
        <w:t xml:space="preserve">التغذية الراجعة: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مبدأ الشرعية الجزائية لا يُطبَّق في التأديب؛ يكفي أن يندرج الفعل تحت التزام مهني عام.</w:t>
      </w:r>
    </w:p>
    <w:bookmarkEnd w:id="119"/>
    <w:bookmarkStart w:id="120" w:name="سؤال-9-اختيار-من-متعدد"/>
    <w:p>
      <w:pPr>
        <w:pStyle w:val="Heading2"/>
        <w:bidi/>
        <w:jc w:val="right"/>
      </w:pPr>
      <w:r>
        <w:rPr>
          <w:rFonts w:ascii="Dubai" w:hAnsi="Dubai" w:cs="Dubai" w:eastAsia="Dubai"/>
          <w:b/>
          <w:bCs/>
          <w:color w:val="9C771F"/>
          <w:sz w:val="30"/>
          <w:rtl/>
          <w:szCs w:val="30"/>
        </w:rPr>
        <w:t xml:space="preserve">سؤال 9 [اختيار من متعدد]</w:t>
      </w:r>
    </w:p>
    <w:p>
      <w:pPr>
        <w:bidi/>
        <w:jc w:val="both"/>
      </w:pPr>
      <w:r>
        <w:rPr>
          <w:rFonts w:ascii="Dubai" w:hAnsi="Dubai" w:cs="Dubai" w:eastAsia="Dubai"/>
          <w:color w:val="1A171C"/>
          <w:sz w:val="24"/>
          <w:rtl/>
          <w:szCs w:val="24"/>
        </w:rPr>
        <w:t xml:space="preserve">قضت محكمة مدنية نهائيًا بإلزام محامٍ بالتعويض لعدم حضوره الجلسات. بماذا تتقيد جهة التأديب عند نظر الواقعة نفسها؟</w:t>
      </w:r>
    </w:p>
    <w:p>
      <w:pPr>
        <w:numPr>
          <w:ilvl w:val="0"/>
          <w:numId w:val="1012"/>
        </w:numPr>
        <w:pStyle w:val="Compact"/>
        <w:bidi/>
        <w:jc w:val="both"/>
      </w:pPr>
      <w:r>
        <w:rPr>
          <w:rFonts w:ascii="Dubai" w:hAnsi="Dubai" w:cs="Dubai" w:eastAsia="Dubai"/>
          <w:color w:val="1A171C"/>
          <w:sz w:val="24"/>
          <w:rtl/>
          <w:szCs w:val="24"/>
        </w:rPr>
        <w:t xml:space="preserve">بثبوت واقعة عدم الحضور فقط.</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12"/>
        </w:numPr>
        <w:pStyle w:val="Compact"/>
        <w:bidi/>
        <w:jc w:val="both"/>
      </w:pPr>
      <w:r>
        <w:rPr>
          <w:rFonts w:ascii="Dubai" w:hAnsi="Dubai" w:cs="Dubai" w:eastAsia="Dubai"/>
          <w:color w:val="1A171C"/>
          <w:sz w:val="24"/>
          <w:rtl/>
          <w:szCs w:val="24"/>
        </w:rPr>
        <w:t xml:space="preserve">بثبوت الضرر ومقدار التعويض.</w:t>
      </w:r>
    </w:p>
    <w:p>
      <w:pPr>
        <w:numPr>
          <w:ilvl w:val="0"/>
          <w:numId w:val="1012"/>
        </w:numPr>
        <w:pStyle w:val="Compact"/>
        <w:bidi/>
        <w:jc w:val="both"/>
      </w:pPr>
      <w:r>
        <w:rPr>
          <w:rFonts w:ascii="Dubai" w:hAnsi="Dubai" w:cs="Dubai" w:eastAsia="Dubai"/>
          <w:color w:val="1A171C"/>
          <w:sz w:val="24"/>
          <w:rtl/>
          <w:szCs w:val="24"/>
        </w:rPr>
        <w:t xml:space="preserve">بكل ما قضى به الحكم.</w:t>
      </w:r>
    </w:p>
    <w:p>
      <w:pPr>
        <w:numPr>
          <w:ilvl w:val="0"/>
          <w:numId w:val="1012"/>
        </w:numPr>
        <w:pStyle w:val="Compact"/>
        <w:bidi/>
        <w:jc w:val="both"/>
      </w:pPr>
      <w:r>
        <w:rPr>
          <w:rFonts w:ascii="Dubai" w:hAnsi="Dubai" w:cs="Dubai" w:eastAsia="Dubai"/>
          <w:color w:val="1A171C"/>
          <w:sz w:val="24"/>
          <w:rtl/>
          <w:szCs w:val="24"/>
        </w:rPr>
        <w:t xml:space="preserve">لا تتقيد بشيء لاستقلال المسؤوليتين.</w:t>
      </w:r>
    </w:p>
    <w:p>
      <w:pPr>
        <w:bidi/>
        <w:jc w:val="both"/>
      </w:pPr>
      <w:r>
        <w:rPr>
          <w:rFonts w:ascii="Dubai" w:hAnsi="Dubai" w:cs="Dubai" w:eastAsia="Dubai"/>
          <w:color w:val="1A171C"/>
          <w:sz w:val="24"/>
          <w:rtl/>
          <w:bCs/>
          <w:b/>
          <w:szCs w:val="24"/>
        </w:rPr>
        <w:t xml:space="preserve">التغذية الراجعة: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الحجية تقتصر على الأساس المشترك — ثبوت الفعل. الضرر والتعويض ليسا من أركان المخالفة التأديبية.</w:t>
      </w:r>
    </w:p>
    <w:bookmarkEnd w:id="120"/>
    <w:bookmarkStart w:id="121" w:name="سؤال-10-اختيار-من-متعدد"/>
    <w:p>
      <w:pPr>
        <w:pStyle w:val="Heading2"/>
        <w:bidi/>
        <w:jc w:val="right"/>
      </w:pPr>
      <w:r>
        <w:rPr>
          <w:rFonts w:ascii="Dubai" w:hAnsi="Dubai" w:cs="Dubai" w:eastAsia="Dubai"/>
          <w:b/>
          <w:bCs/>
          <w:color w:val="9C771F"/>
          <w:sz w:val="30"/>
          <w:rtl/>
          <w:szCs w:val="30"/>
        </w:rPr>
        <w:t xml:space="preserve">سؤال 10 [اختيار من متعدد]</w:t>
      </w:r>
    </w:p>
    <w:p>
      <w:pPr>
        <w:bidi/>
        <w:jc w:val="both"/>
      </w:pPr>
      <w:r>
        <w:rPr>
          <w:rFonts w:ascii="Dubai" w:hAnsi="Dubai" w:cs="Dubai" w:eastAsia="Dubai"/>
          <w:color w:val="1A171C"/>
          <w:sz w:val="24"/>
          <w:rtl/>
          <w:szCs w:val="24"/>
        </w:rPr>
        <w:t xml:space="preserve">طُلب منك مساعدة خصم عميل سابق في النزاع ذاته بعد انتهاء علاقتك بالعميل. ما الحكم؟</w:t>
      </w:r>
    </w:p>
    <w:p>
      <w:pPr>
        <w:numPr>
          <w:ilvl w:val="0"/>
          <w:numId w:val="1013"/>
        </w:numPr>
        <w:pStyle w:val="Compact"/>
        <w:bidi/>
        <w:jc w:val="both"/>
      </w:pPr>
      <w:r>
        <w:rPr>
          <w:rFonts w:ascii="Dubai" w:hAnsi="Dubai" w:cs="Dubai" w:eastAsia="Dubai"/>
          <w:color w:val="1A171C"/>
          <w:sz w:val="24"/>
          <w:rtl/>
          <w:szCs w:val="24"/>
        </w:rPr>
        <w:t xml:space="preserve">محظور، لأن الحظر يسري ولو بعد انتهاء الوكالة.</w:t>
      </w:r>
      <w:r>
        <w:rPr>
          <w:rFonts w:ascii="Dubai" w:hAnsi="Dubai" w:cs="Dubai" w:eastAsia="Dubai"/>
          <w:color w:val="1A171C"/>
          <w:sz w:val="24"/>
          <w:rtl/>
          <w:szCs w:val="24"/>
        </w:rPr>
        <w:t xml:space="preserve"> </w:t>
      </w:r>
      <w:r>
        <w:rPr>
          <w:rFonts w:ascii="Dubai" w:hAnsi="Dubai" w:cs="Dubai" w:eastAsia="Dubai"/>
          <w:color w:val="1A171C"/>
          <w:sz w:val="24"/>
          <w:rtl/>
          <w:bCs/>
          <w:b/>
          <w:szCs w:val="24"/>
        </w:rPr>
        <w:t xml:space="preserve">(صحيح)</w:t>
      </w:r>
    </w:p>
    <w:p>
      <w:pPr>
        <w:numPr>
          <w:ilvl w:val="0"/>
          <w:numId w:val="1013"/>
        </w:numPr>
        <w:pStyle w:val="Compact"/>
        <w:bidi/>
        <w:jc w:val="both"/>
      </w:pPr>
      <w:r>
        <w:rPr>
          <w:rFonts w:ascii="Dubai" w:hAnsi="Dubai" w:cs="Dubai" w:eastAsia="Dubai"/>
          <w:color w:val="1A171C"/>
          <w:sz w:val="24"/>
          <w:rtl/>
          <w:szCs w:val="24"/>
        </w:rPr>
        <w:t xml:space="preserve">جائز، لأن الوكالة انتهت.</w:t>
      </w:r>
    </w:p>
    <w:p>
      <w:pPr>
        <w:numPr>
          <w:ilvl w:val="0"/>
          <w:numId w:val="1013"/>
        </w:numPr>
        <w:pStyle w:val="Compact"/>
        <w:bidi/>
        <w:jc w:val="both"/>
      </w:pPr>
      <w:r>
        <w:rPr>
          <w:rFonts w:ascii="Dubai" w:hAnsi="Dubai" w:cs="Dubai" w:eastAsia="Dubai"/>
          <w:color w:val="1A171C"/>
          <w:sz w:val="24"/>
          <w:rtl/>
          <w:szCs w:val="24"/>
        </w:rPr>
        <w:t xml:space="preserve">جائز إذا اقتصرت المساعدة على المشورة.</w:t>
      </w:r>
    </w:p>
    <w:p>
      <w:pPr>
        <w:numPr>
          <w:ilvl w:val="0"/>
          <w:numId w:val="1013"/>
        </w:numPr>
        <w:pStyle w:val="Compact"/>
        <w:bidi/>
        <w:jc w:val="both"/>
      </w:pPr>
      <w:r>
        <w:rPr>
          <w:rFonts w:ascii="Dubai" w:hAnsi="Dubai" w:cs="Dubai" w:eastAsia="Dubai"/>
          <w:color w:val="1A171C"/>
          <w:sz w:val="24"/>
          <w:rtl/>
          <w:szCs w:val="24"/>
        </w:rPr>
        <w:t xml:space="preserve">جائز بموافقة لجنة السلوك المهني.</w:t>
      </w:r>
    </w:p>
    <w:p>
      <w:pPr>
        <w:bidi/>
        <w:jc w:val="both"/>
      </w:pPr>
      <w:r>
        <w:rPr>
          <w:rFonts w:ascii="Dubai" w:hAnsi="Dubai" w:cs="Dubai" w:eastAsia="Dubai"/>
          <w:color w:val="1A171C"/>
          <w:sz w:val="24"/>
          <w:rtl/>
          <w:bCs/>
          <w:b/>
          <w:szCs w:val="24"/>
        </w:rPr>
        <w:t xml:space="preserve">التغذية الراجعة:</w:t>
      </w:r>
      <w:r>
        <w:rPr>
          <w:rFonts w:ascii="Dubai" w:hAnsi="Dubai" w:cs="Dubai" w:eastAsia="Dubai"/>
          <w:color w:val="1A171C"/>
          <w:sz w:val="24"/>
          <w:rtl/>
          <w:szCs w:val="24"/>
        </w:rPr>
        <w:t xml:space="preserve"> </w:t>
      </w:r>
      <w:r>
        <w:rPr>
          <w:rFonts w:ascii="Dubai" w:hAnsi="Dubai" w:cs="Dubai" w:eastAsia="Dubai"/>
          <w:color w:val="1A171C"/>
          <w:sz w:val="24"/>
          <w:rtl/>
          <w:szCs w:val="24"/>
        </w:rPr>
        <w:t xml:space="preserve">يحظر تقديم أي مساعدة لخصم العميل، ولو مشورة، في النزاع ذاته أو نزاع مرتبط به، ولو بعد انتهاء الوكالة.</w:t>
      </w:r>
    </w:p>
    <w:bookmarkEnd w:id="121"/>
    <w:bookmarkEnd w:id="122"/>
    <w:bookmarkStart w:id="125" w:name="ملحق-قائمة-الأصول-وقائمة-البناء"/>
    <w:p>
      <w:pPr>
        <w:pStyle w:val="Heading1"/>
        <w:bidi/>
        <w:jc w:val="right"/>
      </w:pPr>
      <w:r>
        <w:rPr>
          <w:rFonts w:ascii="Dubai" w:hAnsi="Dubai" w:cs="Dubai" w:eastAsia="Dubai"/>
          <w:b/>
          <w:bCs/>
          <w:color w:val="1A171C"/>
          <w:sz w:val="40"/>
          <w:rtl/>
          <w:szCs w:val="40"/>
        </w:rPr>
        <w:t xml:space="preserve">ملحق: قائمة الأصول وقائمة البناء</w:t>
      </w:r>
    </w:p>
    <w:bookmarkStart w:id="123" w:name="قائمة-الأصول"/>
    <w:p>
      <w:pPr>
        <w:pStyle w:val="Heading2"/>
        <w:bidi/>
        <w:jc w:val="right"/>
      </w:pPr>
      <w:r>
        <w:rPr>
          <w:rFonts w:ascii="Dubai" w:hAnsi="Dubai" w:cs="Dubai" w:eastAsia="Dubai"/>
          <w:b/>
          <w:bCs/>
          <w:color w:val="9C771F"/>
          <w:sz w:val="30"/>
          <w:rtl/>
          <w:szCs w:val="30"/>
        </w:rPr>
        <w:t xml:space="preserve">قائمة الأصول</w:t>
      </w:r>
    </w:p>
    <w:tbl>
      <w:tblPr>
        <w:tblStyle w:val="Table"/>
        <w:tblW w:type="pct" w:w="5000"/>
        <w:tblLook w:firstRow="1" w:lastRow="0" w:firstColumn="0" w:lastColumn="0" w:noHBand="0" w:noVBand="0" w:val="0020"/>
        <w:jc w:val="start"/>
        <w:bidiVisual/>
        <w:tblBorders>
          <w:top w:val="single" w:sz="4" w:color="E8E8E8"/>
          <w:bottom w:val="single" w:sz="4" w:color="E8E8E8"/>
          <w:insideH w:val="single" w:sz="4" w:color="E8E8E8"/>
          <w:left w:val="nil" w:sz="4" w:color="E8E8E8"/>
          <w:right w:val="nil" w:sz="4" w:color="E8E8E8"/>
          <w:insideV w:val="nil" w:sz="4" w:color="E8E8E8"/>
        </w:tblBorders>
      </w:tblPr>
      <w:tblGrid>
        <w:gridCol w:w="2640"/>
        <w:gridCol w:w="2640"/>
        <w:gridCol w:w="2640"/>
      </w:tblGrid>
      <w:tr>
        <w:trPr>
          <w:tblHeader w:val="true"/>
        </w:trPr>
        <w:tc>
          <w:tcPr>
            <w:shd w:val="clear" w:fill="1A171C"/>
          </w:tcPr>
          <w:p>
            <w:pPr>
              <w:pStyle w:val="Compact"/>
              <w:bidi/>
              <w:jc w:val="right"/>
            </w:pPr>
            <w:r>
              <w:rPr>
                <w:rFonts w:ascii="Dubai" w:hAnsi="Dubai" w:cs="Dubai" w:eastAsia="Dubai"/>
                <w:b/>
                <w:bCs/>
                <w:color w:val="FFFFFF"/>
                <w:sz w:val="22"/>
                <w:rtl/>
                <w:szCs w:val="22"/>
              </w:rPr>
              <w:t xml:space="preserve">#</w:t>
            </w:r>
          </w:p>
        </w:tc>
        <w:tc>
          <w:tcPr>
            <w:shd w:val="clear" w:fill="1A171C"/>
          </w:tcPr>
          <w:p>
            <w:pPr>
              <w:pStyle w:val="Compact"/>
              <w:bidi/>
              <w:jc w:val="right"/>
            </w:pPr>
            <w:r>
              <w:rPr>
                <w:rFonts w:ascii="Dubai" w:hAnsi="Dubai" w:cs="Dubai" w:eastAsia="Dubai"/>
                <w:b/>
                <w:bCs/>
                <w:color w:val="FFFFFF"/>
                <w:sz w:val="22"/>
                <w:rtl/>
                <w:szCs w:val="22"/>
              </w:rPr>
              <w:t xml:space="preserve">الأصل</w:t>
            </w:r>
          </w:p>
        </w:tc>
        <w:tc>
          <w:tcPr>
            <w:shd w:val="clear" w:fill="1A171C"/>
          </w:tcPr>
          <w:p>
            <w:pPr>
              <w:pStyle w:val="Compact"/>
              <w:bidi/>
              <w:jc w:val="right"/>
            </w:pPr>
            <w:r>
              <w:rPr>
                <w:rFonts w:ascii="Dubai" w:hAnsi="Dubai" w:cs="Dubai" w:eastAsia="Dubai"/>
                <w:b/>
                <w:bCs/>
                <w:color w:val="FFFFFF"/>
                <w:sz w:val="22"/>
                <w:rtl/>
                <w:szCs w:val="22"/>
              </w:rPr>
              <w:t xml:space="preserve">الموقع</w:t>
            </w:r>
          </w:p>
        </w:tc>
      </w:tr>
      <w:tr>
        <w:tc>
          <w:tcPr/>
          <w:p>
            <w:pPr>
              <w:pStyle w:val="Compact"/>
              <w:bidi/>
              <w:jc w:val="right"/>
            </w:pPr>
            <w:r>
              <w:rPr>
                <w:rFonts w:ascii="Dubai" w:hAnsi="Dubai" w:cs="Dubai" w:eastAsia="Dubai"/>
                <w:color w:val="1A171C"/>
                <w:sz w:val="22"/>
                <w:rtl/>
                <w:szCs w:val="22"/>
              </w:rPr>
              <w:t xml:space="preserve">1</w:t>
            </w:r>
          </w:p>
        </w:tc>
        <w:tc>
          <w:tcPr/>
          <w:p>
            <w:pPr>
              <w:pStyle w:val="Compact"/>
              <w:bidi/>
              <w:jc w:val="right"/>
            </w:pPr>
            <w:r>
              <w:rPr>
                <w:rFonts w:ascii="Dubai" w:hAnsi="Dubai" w:cs="Dubai" w:eastAsia="Dubai"/>
                <w:color w:val="1A171C"/>
                <w:sz w:val="22"/>
                <w:rtl/>
                <w:szCs w:val="22"/>
              </w:rPr>
              <w:t xml:space="preserve">صورة غلاف المقرر (ميزان العدالة أو مبنى الدائرة، بخلفية بيج فاتحة)</w:t>
            </w:r>
          </w:p>
        </w:tc>
        <w:tc>
          <w:tcPr/>
          <w:p>
            <w:pPr>
              <w:pStyle w:val="Compact"/>
              <w:bidi/>
              <w:jc w:val="right"/>
            </w:pPr>
            <w:r>
              <w:rPr>
                <w:rFonts w:ascii="Dubai" w:hAnsi="Dubai" w:cs="Dubai" w:eastAsia="Dubai"/>
                <w:color w:val="1A171C"/>
                <w:sz w:val="22"/>
                <w:rtl/>
                <w:szCs w:val="22"/>
              </w:rPr>
              <w:t xml:space="preserve">غلاف المقرر</w:t>
            </w:r>
          </w:p>
        </w:tc>
      </w:tr>
      <w:tr>
        <w:tc>
          <w:tcPr/>
          <w:p>
            <w:pPr>
              <w:pStyle w:val="Compact"/>
              <w:bidi/>
              <w:jc w:val="right"/>
            </w:pPr>
            <w:r>
              <w:rPr>
                <w:rFonts w:ascii="Dubai" w:hAnsi="Dubai" w:cs="Dubai" w:eastAsia="Dubai"/>
                <w:color w:val="1A171C"/>
                <w:sz w:val="22"/>
                <w:rtl/>
                <w:szCs w:val="22"/>
              </w:rPr>
              <w:t xml:space="preserve">2</w:t>
            </w:r>
          </w:p>
        </w:tc>
        <w:tc>
          <w:tcPr/>
          <w:p>
            <w:pPr>
              <w:pStyle w:val="Compact"/>
              <w:bidi/>
              <w:jc w:val="right"/>
            </w:pPr>
            <w:r>
              <w:rPr>
                <w:rFonts w:ascii="Dubai" w:hAnsi="Dubai" w:cs="Dubai" w:eastAsia="Dubai"/>
                <w:color w:val="1A171C"/>
                <w:sz w:val="22"/>
                <w:rtl/>
                <w:szCs w:val="22"/>
              </w:rPr>
              <w:t xml:space="preserve">ملف PDF: قائمة التحقق المهنية للمستشار القانوني المستقل</w:t>
            </w:r>
          </w:p>
        </w:tc>
        <w:tc>
          <w:tcPr/>
          <w:p>
            <w:pPr>
              <w:pStyle w:val="Compact"/>
              <w:bidi/>
              <w:jc w:val="right"/>
            </w:pPr>
            <w:r>
              <w:rPr>
                <w:rFonts w:ascii="Dubai" w:hAnsi="Dubai" w:cs="Dubai" w:eastAsia="Dubai"/>
                <w:color w:val="1A171C"/>
                <w:sz w:val="22"/>
                <w:rtl/>
                <w:szCs w:val="22"/>
              </w:rPr>
              <w:t xml:space="preserve">الدرس 12 › مرفق</w:t>
            </w:r>
          </w:p>
        </w:tc>
      </w:tr>
      <w:tr>
        <w:tc>
          <w:tcPr/>
          <w:p>
            <w:pPr>
              <w:pStyle w:val="Compact"/>
              <w:bidi/>
              <w:jc w:val="right"/>
            </w:pPr>
            <w:r>
              <w:rPr>
                <w:rFonts w:ascii="Dubai" w:hAnsi="Dubai" w:cs="Dubai" w:eastAsia="Dubai"/>
                <w:color w:val="1A171C"/>
                <w:sz w:val="22"/>
                <w:rtl/>
                <w:szCs w:val="22"/>
              </w:rPr>
              <w:t xml:space="preserve">3</w:t>
            </w:r>
          </w:p>
        </w:tc>
        <w:tc>
          <w:tcPr/>
          <w:p>
            <w:pPr>
              <w:pStyle w:val="Compact"/>
              <w:bidi/>
              <w:jc w:val="right"/>
            </w:pPr>
            <w:r>
              <w:rPr>
                <w:rFonts w:ascii="Dubai" w:hAnsi="Dubai" w:cs="Dubai" w:eastAsia="Dubai"/>
                <w:color w:val="1A171C"/>
                <w:sz w:val="22"/>
                <w:rtl/>
                <w:szCs w:val="22"/>
              </w:rPr>
              <w:t xml:space="preserve">شعار حكومة دبي (يسارًا) وشعار الدائرة (يمينًا)</w:t>
            </w:r>
          </w:p>
        </w:tc>
        <w:tc>
          <w:tcPr/>
          <w:p>
            <w:pPr>
              <w:pStyle w:val="Compact"/>
              <w:bidi/>
              <w:jc w:val="right"/>
            </w:pPr>
            <w:r>
              <w:rPr>
                <w:rFonts w:ascii="Dubai" w:hAnsi="Dubai" w:cs="Dubai" w:eastAsia="Dubai"/>
                <w:color w:val="1A171C"/>
                <w:sz w:val="22"/>
                <w:rtl/>
                <w:szCs w:val="22"/>
              </w:rPr>
              <w:t xml:space="preserve">سمة المقرر (Theme)</w:t>
            </w:r>
          </w:p>
        </w:tc>
      </w:tr>
    </w:tbl>
    <w:bookmarkEnd w:id="123"/>
    <w:bookmarkStart w:id="124" w:name="قائمة-البناء"/>
    <w:p>
      <w:pPr>
        <w:pStyle w:val="Heading2"/>
        <w:bidi/>
        <w:jc w:val="right"/>
      </w:pPr>
      <w:r>
        <w:rPr>
          <w:rFonts w:ascii="Dubai" w:hAnsi="Dubai" w:cs="Dubai" w:eastAsia="Dubai"/>
          <w:b/>
          <w:bCs/>
          <w:color w:val="9C771F"/>
          <w:sz w:val="30"/>
          <w:rtl/>
          <w:szCs w:val="30"/>
        </w:rPr>
        <w:t xml:space="preserve">قائمة البناء</w:t>
      </w:r>
    </w:p>
    <w:p>
      <w:pPr>
        <w:numPr>
          <w:ilvl w:val="0"/>
          <w:numId w:val="1014"/>
        </w:numPr>
        <w:pStyle w:val="Compact"/>
        <w:bidi/>
        <w:jc w:val="both"/>
      </w:pPr>
      <w:r>
        <w:rPr>
          <w:rFonts w:ascii="Dubai" w:hAnsi="Dubai" w:cs="Dubai" w:eastAsia="Dubai"/>
          <w:color w:val="1A171C"/>
          <w:sz w:val="24"/>
          <w:rtl/>
          <w:szCs w:val="24"/>
        </w:rPr>
        <w:t xml:space="preserve">أنشئ المقرر من القالب الرئيس، وطبّق سمة الدائرة: اللون الذهبي</w:t>
      </w:r>
      <w:r>
        <w:rPr>
          <w:rFonts w:ascii="Dubai" w:hAnsi="Dubai" w:cs="Dubai" w:eastAsia="Dubai"/>
          <w:color w:val="1A171C"/>
          <w:sz w:val="24"/>
          <w:rtl/>
          <w:szCs w:val="24"/>
        </w:rPr>
        <w:t xml:space="preserve"> </w:t>
      </w:r>
      <w:r>
        <w:rPr>
          <w:rFonts w:ascii="Dubai" w:hAnsi="Dubai" w:cs="Dubai" w:eastAsia="Dubai"/>
          <w:rStyle w:val="VerbatimChar"/>
          <w:color w:val="1A171C"/>
          <w:sz w:val="24"/>
          <w:rtl/>
          <w:szCs w:val="24"/>
        </w:rPr>
        <w:t xml:space="preserve">#9C771F</w:t>
      </w:r>
      <w:r>
        <w:rPr>
          <w:rFonts w:ascii="Dubai" w:hAnsi="Dubai" w:cs="Dubai" w:eastAsia="Dubai"/>
          <w:color w:val="1A171C"/>
          <w:sz w:val="24"/>
          <w:rtl/>
          <w:szCs w:val="24"/>
        </w:rPr>
        <w:t xml:space="preserve">، ولون النص</w:t>
      </w:r>
      <w:r>
        <w:rPr>
          <w:rFonts w:ascii="Dubai" w:hAnsi="Dubai" w:cs="Dubai" w:eastAsia="Dubai"/>
          <w:color w:val="1A171C"/>
          <w:sz w:val="24"/>
          <w:rtl/>
          <w:szCs w:val="24"/>
        </w:rPr>
        <w:t xml:space="preserve"> </w:t>
      </w:r>
      <w:r>
        <w:rPr>
          <w:rFonts w:ascii="Dubai" w:hAnsi="Dubai" w:cs="Dubai" w:eastAsia="Dubai"/>
          <w:rStyle w:val="VerbatimChar"/>
          <w:color w:val="1A171C"/>
          <w:sz w:val="24"/>
          <w:rtl/>
          <w:szCs w:val="24"/>
        </w:rPr>
        <w:t xml:space="preserve">#1A171C</w:t>
      </w:r>
      <w:r>
        <w:rPr>
          <w:rFonts w:ascii="Dubai" w:hAnsi="Dubai" w:cs="Dubai" w:eastAsia="Dubai"/>
          <w:color w:val="1A171C"/>
          <w:sz w:val="24"/>
          <w:rtl/>
          <w:szCs w:val="24"/>
        </w:rPr>
        <w:t xml:space="preserve">، وخط Dubai.</w:t>
      </w:r>
    </w:p>
    <w:p>
      <w:pPr>
        <w:numPr>
          <w:ilvl w:val="0"/>
          <w:numId w:val="1014"/>
        </w:numPr>
        <w:pStyle w:val="Compact"/>
        <w:bidi/>
        <w:jc w:val="both"/>
      </w:pPr>
      <w:r>
        <w:rPr>
          <w:rFonts w:ascii="Dubai" w:hAnsi="Dubai" w:cs="Dubai" w:eastAsia="Dubai"/>
          <w:color w:val="1A171C"/>
          <w:sz w:val="24"/>
          <w:rtl/>
          <w:szCs w:val="24"/>
        </w:rPr>
        <w:t xml:space="preserve">اضبط لغة المصدر على العربية (Articulate Localization) على نسخة مكررة أولًا، وتحقق من اتجاه النص من اليمين إلى اليسار في المعاينة.</w:t>
      </w:r>
    </w:p>
    <w:p>
      <w:pPr>
        <w:numPr>
          <w:ilvl w:val="0"/>
          <w:numId w:val="1014"/>
        </w:numPr>
        <w:pStyle w:val="Compact"/>
        <w:bidi/>
        <w:jc w:val="both"/>
      </w:pPr>
      <w:r>
        <w:rPr>
          <w:rFonts w:ascii="Dubai" w:hAnsi="Dubai" w:cs="Dubai" w:eastAsia="Dubai"/>
          <w:color w:val="1A171C"/>
          <w:sz w:val="24"/>
          <w:rtl/>
          <w:szCs w:val="24"/>
        </w:rPr>
        <w:t xml:space="preserve">استورد هذا الملف عبر Magic Import، ثم طابق كل درس مع هذه القصة المصورة.</w:t>
      </w:r>
    </w:p>
    <w:p>
      <w:pPr>
        <w:numPr>
          <w:ilvl w:val="0"/>
          <w:numId w:val="1014"/>
        </w:numPr>
        <w:pStyle w:val="Compact"/>
        <w:bidi/>
        <w:jc w:val="both"/>
      </w:pPr>
      <w:r>
        <w:rPr>
          <w:rFonts w:ascii="Dubai" w:hAnsi="Dubai" w:cs="Dubai" w:eastAsia="Dubai"/>
          <w:color w:val="1A171C"/>
          <w:sz w:val="24"/>
          <w:rtl/>
          <w:szCs w:val="24"/>
        </w:rPr>
        <w:t xml:space="preserve">تحقق من أن كل نشاط تصنيف وبطاقات وتبويبات وأكورديون ظهر بنوع الكتلة الصحيح، وأعد إنشاء ما لم يُستورد كما هو.</w:t>
      </w:r>
    </w:p>
    <w:p>
      <w:pPr>
        <w:numPr>
          <w:ilvl w:val="0"/>
          <w:numId w:val="1014"/>
        </w:numPr>
        <w:pStyle w:val="Compact"/>
        <w:bidi/>
        <w:jc w:val="both"/>
      </w:pPr>
      <w:r>
        <w:rPr>
          <w:rFonts w:ascii="Dubai" w:hAnsi="Dubai" w:cs="Dubai" w:eastAsia="Dubai"/>
          <w:color w:val="1A171C"/>
          <w:sz w:val="24"/>
          <w:rtl/>
          <w:szCs w:val="24"/>
        </w:rPr>
        <w:t xml:space="preserve">اضبط الدرس 13 كدرس اختبار: النجاح 80%، خلط الأسئلة والخيارات، محاولات غير محدودة.</w:t>
      </w:r>
    </w:p>
    <w:p>
      <w:pPr>
        <w:numPr>
          <w:ilvl w:val="0"/>
          <w:numId w:val="1014"/>
        </w:numPr>
        <w:pStyle w:val="Compact"/>
        <w:bidi/>
        <w:jc w:val="both"/>
      </w:pPr>
      <w:r>
        <w:rPr>
          <w:rFonts w:ascii="Dubai" w:hAnsi="Dubai" w:cs="Dubai" w:eastAsia="Dubai"/>
          <w:color w:val="1A171C"/>
          <w:sz w:val="24"/>
          <w:rtl/>
          <w:szCs w:val="24"/>
        </w:rPr>
        <w:t xml:space="preserve">ارفع ملف قائمة التحقق في الدرس 12.</w:t>
      </w:r>
    </w:p>
    <w:p>
      <w:pPr>
        <w:numPr>
          <w:ilvl w:val="0"/>
          <w:numId w:val="1014"/>
        </w:numPr>
        <w:pStyle w:val="Compact"/>
        <w:bidi/>
        <w:jc w:val="both"/>
      </w:pPr>
      <w:r>
        <w:rPr>
          <w:rFonts w:ascii="Dubai" w:hAnsi="Dubai" w:cs="Dubai" w:eastAsia="Dubai"/>
          <w:color w:val="1A171C"/>
          <w:sz w:val="24"/>
          <w:rtl/>
          <w:szCs w:val="24"/>
        </w:rPr>
        <w:t xml:space="preserve">انشر، ثم اختبر الحزمة المنشورة (لا المحرر فقط) للتأكد من الاتجاه من اليمين إلى اليسار وعمل التتبّع في نظام إدارة التعلّم.</w:t>
      </w:r>
    </w:p>
    <w:bookmarkEnd w:id="124"/>
    <w:bookmarkEnd w:id="125"/>
    <w:sectPr>
      <w:footerReference w:type="default" r:id="rId9"/>
      <w:bidi/>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both"/>
    </w:pPr>
    <w:r>
      <w:rPr>
        <w:rFonts w:ascii="Dubai" w:hAnsi="Dubai" w:cs="Dubai" w:eastAsia="Dubai"/>
        <w:color w:val="575757"/>
        <w:sz w:val="18"/>
        <w:rtl/>
        <w:szCs w:val="18"/>
      </w:rPr>
      <w:t>© 2026 دائرة الشؤون القانونية لحكومة دبي — المقرر 3: التأديب في مهنة المستشار القانوني المستقل</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A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التأديب في مهنة المستشار القانوني المستقل: بين الإجراء والموضوع</dc:title>
  <dc:creator/>
  <dc:language>ar-AE</dc:language>
  <cp:keywords/>
  <dcterms:created xsi:type="dcterms:W3CDTF">2026-10-07T06:23:11Z</dcterms:created>
  <dcterms:modified xsi:type="dcterms:W3CDTF">2026-10-07T06:23:11Z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subtitle">
    <vt:lpwstr>المقرر 3 — قصة مصوّرة (Storyboard) لبناء المقرر في Articulate Rise 360</vt:lpwstr>
  </property>
</Properties>
</file>