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538fa1e224531a5850ef99ddece2f8fda8658df"/>
    <w:p>
      <w:pPr>
        <w:pStyle w:val="Heading1"/>
        <w:bidi/>
      </w:pPr>
      <w:r>
        <w:rPr>
          <w:rtl/>
        </w:rPr>
        <w:t xml:space="preserve">المحور الرابع — إخلاء المستأجر من المأجور ومقترحات معالجة الأسباب المؤثرة على حقوق الجهات الحكومية</w:t>
      </w:r>
    </w:p>
    <w:bookmarkStart w:id="20" w:name="X5f974e8ae06036494ef09d961e1e4e7181ad326"/>
    <w:p>
      <w:pPr>
        <w:pStyle w:val="Heading3"/>
        <w:bidi/>
      </w:pPr>
      <w:r>
        <w:rPr>
          <w:rtl/>
        </w:rPr>
        <w:t xml:space="preserve">Articulate Rise 360 — Build Spec (block by block)</w:t>
      </w:r>
    </w:p>
    <w:p>
      <w:pPr>
        <w:bidi/>
      </w:pPr>
      <w:r>
        <w:rPr>
          <w:rtl/>
          <w:bCs/>
          <w:b/>
        </w:rPr>
        <w:t xml:space="preserve">Source:</w:t>
      </w:r>
      <w:r>
        <w:rPr>
          <w:rtl/>
        </w:rPr>
        <w:t xml:space="preserve"> </w:t>
      </w:r>
      <w:r>
        <w:rPr>
          <w:rStyle w:val="VerbatimChar"/>
          <w:rtl/>
        </w:rPr>
        <w:t xml:space="preserve">LAD-M4.docx</w:t>
      </w:r>
      <w:r>
        <w:rPr>
          <w:rtl/>
        </w:rPr>
        <w:t xml:space="preserve"> </w:t>
      </w:r>
      <w:r>
        <w:rPr>
          <w:rtl/>
        </w:rPr>
        <w:t xml:space="preserve">(المحور الرابع)</w:t>
      </w:r>
      <w:r>
        <w:rPr>
          <w:rtl/>
        </w:rPr>
        <w:t xml:space="preserve"> </w:t>
      </w:r>
      <w:r>
        <w:rPr>
          <w:rtl/>
          <w:bCs/>
          <w:b/>
        </w:rPr>
        <w:t xml:space="preserve">Audience:</w:t>
      </w:r>
      <w:r>
        <w:rPr>
          <w:rtl/>
        </w:rPr>
        <w:t xml:space="preserve"> </w:t>
      </w:r>
      <w:r>
        <w:rPr>
          <w:rtl/>
        </w:rPr>
        <w:t xml:space="preserve">government-entity lease managers and LAD legal staff who protect the entity's rights as landlord.</w:t>
      </w:r>
      <w:r>
        <w:rPr>
          <w:rtl/>
        </w:rPr>
        <w:t xml:space="preserve"> </w:t>
      </w:r>
      <w:r>
        <w:rPr>
          <w:rtl/>
          <w:bCs/>
          <w:b/>
        </w:rPr>
        <w:t xml:space="preserve">Language / direction:</w:t>
      </w:r>
      <w:r>
        <w:rPr>
          <w:rtl/>
        </w:rPr>
        <w:t xml:space="preserve"> </w:t>
      </w:r>
      <w:r>
        <w:rPr>
          <w:rtl/>
        </w:rPr>
        <w:t xml:space="preserve">Arabic, right-to-left. In Rise:</w:t>
      </w:r>
      <w:r>
        <w:rPr>
          <w:rtl/>
        </w:rPr>
        <w:t xml:space="preserve"> </w:t>
      </w:r>
      <w:r>
        <w:rPr>
          <w:rtl/>
          <w:iCs/>
          <w:i/>
        </w:rPr>
        <w:t xml:space="preserve">Theme › Course language → Arabic</w:t>
      </w:r>
      <w:r>
        <w:rPr>
          <w:rtl/>
        </w:rPr>
        <w:t xml:space="preserve">; set Arabic player labels before building.</w:t>
      </w:r>
      <w:r>
        <w:rPr>
          <w:rtl/>
        </w:rPr>
        <w:t xml:space="preserve"> </w:t>
      </w:r>
      <w:r>
        <w:rPr>
          <w:rtl/>
          <w:bCs/>
          <w:b/>
        </w:rPr>
        <w:t xml:space="preserve">Duration:</w:t>
      </w:r>
      <w:r>
        <w:rPr>
          <w:rtl/>
        </w:rPr>
        <w:t xml:space="preserve"> </w:t>
      </w:r>
      <w:r>
        <w:rPr>
          <w:rtl/>
        </w:rPr>
        <w:t xml:space="preserve">~40 min self-paced (6 lessons + graded quiz).</w:t>
      </w:r>
      <w:r>
        <w:rPr>
          <w:rtl/>
        </w:rPr>
        <w:t xml:space="preserve"> </w:t>
      </w:r>
      <w:r>
        <w:rPr>
          <w:rtl/>
          <w:bCs/>
          <w:b/>
        </w:rPr>
        <w:t xml:space="preserve">Training objective (derived — the source asks the trainer to set it; confirm with the module author):</w:t>
      </w:r>
      <w:r>
        <w:rPr>
          <w:rtl/>
        </w:rPr>
        <w:t xml:space="preserve"> </w:t>
      </w:r>
      <w:r>
        <w:rPr>
          <w:rtl/>
        </w:rPr>
        <w:t xml:space="preserve">بنهاية هذا المحور سيصبح المتدرب قادرًا على تحديد السبب القانوني لطلب إخلاء المستأجر، وتطبيق الإجراءات الوقائية والتصعيدية التي تحمي حقوق الجهة الحكومية المؤجرة قبل نشوء النزاع وأثناءه.</w:t>
      </w:r>
    </w:p>
    <w:p>
      <w:pPr>
        <w:bidi/>
      </w:pPr>
      <w:r>
        <w:rPr>
          <w:rtl/>
          <w:bCs/>
          <w:b/>
        </w:rPr>
        <w:t xml:space="preserve">Learning outcomes:</w:t>
      </w:r>
    </w:p>
    <w:p>
      <w:pPr>
        <w:numPr>
          <w:ilvl w:val="0"/>
          <w:numId w:val="1001"/>
        </w:numPr>
        <w:pStyle w:val="Compact"/>
        <w:bidi/>
      </w:pPr>
      <w:r>
        <w:rPr>
          <w:rtl/>
        </w:rPr>
        <w:t xml:space="preserve">يحدد سبب الإخلاء الصحيح وفق المادة (25)، قبل انتهاء العقد أو عنده، ومهلة الإخطار ووسيلته.</w:t>
      </w:r>
    </w:p>
    <w:p>
      <w:pPr>
        <w:numPr>
          <w:ilvl w:val="0"/>
          <w:numId w:val="1001"/>
        </w:numPr>
        <w:pStyle w:val="Compact"/>
        <w:bidi/>
      </w:pPr>
      <w:r>
        <w:rPr>
          <w:rtl/>
        </w:rPr>
        <w:t xml:space="preserve">يطبق الضوابط الوقائية قبل إبرام العقد (الملاءة، الرخصة، بيانات التواصل).</w:t>
      </w:r>
    </w:p>
    <w:p>
      <w:pPr>
        <w:numPr>
          <w:ilvl w:val="0"/>
          <w:numId w:val="1001"/>
        </w:numPr>
        <w:pStyle w:val="Compact"/>
        <w:bidi/>
      </w:pPr>
      <w:r>
        <w:rPr>
          <w:rtl/>
        </w:rPr>
        <w:t xml:space="preserve">يطبق المتابعة الدورية أثناء سريان العقد ويكتشف مؤشرات الخطر مبكرًا.</w:t>
      </w:r>
    </w:p>
    <w:p>
      <w:pPr>
        <w:numPr>
          <w:ilvl w:val="0"/>
          <w:numId w:val="1001"/>
        </w:numPr>
        <w:pStyle w:val="Compact"/>
        <w:bidi/>
      </w:pPr>
      <w:r>
        <w:rPr>
          <w:rtl/>
        </w:rPr>
        <w:t xml:space="preserve">يتخذ الإجراء الكتابي الصحيح عند التقاعس، ويحيل الملف إلى دائرة الشؤون القانونية في الوقت المناسب.</w:t>
      </w:r>
    </w:p>
    <w:p>
      <w:pPr>
        <w:pStyle w:val="BlockText"/>
        <w:bidi/>
      </w:pPr>
      <w:r>
        <w:rPr>
          <w:rtl/>
        </w:rPr>
        <w:t xml:space="preserve">The source follows a facilitation flow —</w:t>
      </w:r>
      <w:r>
        <w:rPr>
          <w:rtl/>
        </w:rPr>
        <w:t xml:space="preserve"> </w:t>
      </w:r>
      <w:r>
        <w:rPr>
          <w:rtl/>
          <w:bCs/>
          <w:b/>
        </w:rPr>
        <w:t xml:space="preserve">مراجعة → المحتوى → تمارين → ملخص</w:t>
      </w:r>
      <w:r>
        <w:rPr>
          <w:rtl/>
        </w:rPr>
        <w:t xml:space="preserve">. This spec keeps that flow: Lesson 1 = review, Lessons 2–4 = content, Lesson 5 = exercises, Lesson 6 = summary.</w:t>
      </w:r>
      <w:r>
        <w:rPr>
          <w:rtl/>
        </w:rPr>
        <w:t xml:space="preserve"> </w:t>
      </w:r>
      <w:r>
        <w:rPr>
          <w:rtl/>
        </w:rPr>
        <w:t xml:space="preserve">⚠️ Article 19 is truncated in the source ("يجب على المستأجر أن يسدد بدل الإيجار في مواعيد استحقاقه، ...."). Only the quoted part is used here. Confirm the article text against the current consolidated law.</w:t>
      </w:r>
    </w:p>
    <w:p>
      <w:r>
        <w:pict>
          <v:rect style="width:0;height:1.5pt" o:hralign="center" o:hrstd="t" o:hr="t"/>
        </w:pict>
      </w:r>
    </w:p>
    <w:bookmarkEnd w:id="20"/>
    <w:bookmarkStart w:id="21" w:name="course-map"/>
    <w:p>
      <w:pPr>
        <w:pStyle w:val="Heading2"/>
        <w:bidi/>
      </w:pPr>
      <w:r>
        <w:rPr>
          <w:rtl/>
        </w:rPr>
        <w:t xml:space="preserve">Course map</w:t>
      </w:r>
    </w:p>
    <w:tbl>
      <w:tblPr>
        <w:bidiVisual/>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Lesson</w:t>
            </w:r>
          </w:p>
        </w:tc>
        <w:tc>
          <w:tcPr/>
          <w:p>
            <w:pPr>
              <w:pStyle w:val="Compact"/>
              <w:bidi/>
              <w:jc w:val="left"/>
            </w:pPr>
            <w:r>
              <w:rPr>
                <w:rtl/>
              </w:rPr>
              <w:t xml:space="preserve">Type</w:t>
            </w:r>
          </w:p>
        </w:tc>
        <w:tc>
          <w:tcPr/>
          <w:p>
            <w:pPr>
              <w:pStyle w:val="Compact"/>
              <w:bidi/>
              <w:jc w:val="left"/>
            </w:pPr>
            <w:r>
              <w:rPr>
                <w:rtl/>
              </w:rPr>
              <w:t xml:space="preserve">Blocks</w:t>
            </w:r>
          </w:p>
        </w:tc>
        <w:tc>
          <w:tcPr/>
          <w:p>
            <w:pPr>
              <w:pStyle w:val="Compact"/>
              <w:bidi/>
              <w:jc w:val="left"/>
            </w:pPr>
            <w:r>
              <w:rPr>
                <w:rtl/>
              </w:rPr>
              <w:t xml:space="preserve">Time</w:t>
            </w:r>
          </w:p>
        </w:tc>
      </w:tr>
      <w:tr>
        <w:tc>
          <w:tcPr/>
          <w:p>
            <w:pPr>
              <w:pStyle w:val="Compact"/>
              <w:bidi/>
              <w:jc w:val="left"/>
            </w:pPr>
            <w:r>
              <w:rPr>
                <w:rtl/>
              </w:rPr>
              <w:t xml:space="preserve">1</w:t>
            </w:r>
          </w:p>
        </w:tc>
        <w:tc>
          <w:tcPr/>
          <w:p>
            <w:pPr>
              <w:pStyle w:val="Compact"/>
              <w:bidi/>
              <w:jc w:val="left"/>
            </w:pPr>
            <w:r>
              <w:rPr>
                <w:rtl/>
              </w:rPr>
              <w:t xml:space="preserve">مراجعة: الهدف وخبرتك</w:t>
            </w:r>
          </w:p>
        </w:tc>
        <w:tc>
          <w:tcPr/>
          <w:p>
            <w:pPr>
              <w:pStyle w:val="Compact"/>
              <w:bidi/>
              <w:jc w:val="left"/>
            </w:pPr>
            <w:r>
              <w:rPr>
                <w:rtl/>
              </w:rPr>
              <w:t xml:space="preserve">Blank</w:t>
            </w:r>
          </w:p>
        </w:tc>
        <w:tc>
          <w:tcPr/>
          <w:p>
            <w:pPr>
              <w:pStyle w:val="Compact"/>
              <w:bidi/>
              <w:jc w:val="left"/>
            </w:pPr>
            <w:r>
              <w:rPr>
                <w:rtl/>
              </w:rPr>
              <w:t xml:space="preserve">6</w:t>
            </w:r>
          </w:p>
        </w:tc>
        <w:tc>
          <w:tcPr/>
          <w:p>
            <w:pPr>
              <w:pStyle w:val="Compact"/>
              <w:bidi/>
              <w:jc w:val="left"/>
            </w:pPr>
            <w:r>
              <w:rPr>
                <w:rtl/>
              </w:rPr>
              <w:t xml:space="preserve">4 min</w:t>
            </w:r>
          </w:p>
        </w:tc>
      </w:tr>
      <w:tr>
        <w:tc>
          <w:tcPr/>
          <w:p>
            <w:pPr>
              <w:pStyle w:val="Compact"/>
              <w:bidi/>
              <w:jc w:val="left"/>
            </w:pPr>
            <w:r>
              <w:rPr>
                <w:rtl/>
              </w:rPr>
              <w:t xml:space="preserve">2</w:t>
            </w:r>
          </w:p>
        </w:tc>
        <w:tc>
          <w:tcPr/>
          <w:p>
            <w:pPr>
              <w:pStyle w:val="Compact"/>
              <w:bidi/>
              <w:jc w:val="left"/>
            </w:pPr>
            <w:r>
              <w:rPr>
                <w:rtl/>
              </w:rPr>
              <w:t xml:space="preserve">أولاً: أسباب طلب الإخلاء</w:t>
            </w:r>
          </w:p>
        </w:tc>
        <w:tc>
          <w:tcPr/>
          <w:p>
            <w:pPr>
              <w:pStyle w:val="Compact"/>
              <w:bidi/>
              <w:jc w:val="left"/>
            </w:pPr>
            <w:r>
              <w:rPr>
                <w:rtl/>
              </w:rPr>
              <w:t xml:space="preserve">Blank</w:t>
            </w:r>
          </w:p>
        </w:tc>
        <w:tc>
          <w:tcPr/>
          <w:p>
            <w:pPr>
              <w:pStyle w:val="Compact"/>
              <w:bidi/>
              <w:jc w:val="left"/>
            </w:pPr>
            <w:r>
              <w:rPr>
                <w:rtl/>
              </w:rPr>
              <w:t xml:space="preserve">9</w:t>
            </w:r>
          </w:p>
        </w:tc>
        <w:tc>
          <w:tcPr/>
          <w:p>
            <w:pPr>
              <w:pStyle w:val="Compact"/>
              <w:bidi/>
              <w:jc w:val="left"/>
            </w:pPr>
            <w:r>
              <w:rPr>
                <w:rtl/>
              </w:rPr>
              <w:t xml:space="preserve">9 min</w:t>
            </w:r>
          </w:p>
        </w:tc>
      </w:tr>
      <w:tr>
        <w:tc>
          <w:tcPr/>
          <w:p>
            <w:pPr>
              <w:pStyle w:val="Compact"/>
              <w:bidi/>
              <w:jc w:val="left"/>
            </w:pPr>
            <w:r>
              <w:rPr>
                <w:rtl/>
              </w:rPr>
              <w:t xml:space="preserve">3</w:t>
            </w:r>
          </w:p>
        </w:tc>
        <w:tc>
          <w:tcPr/>
          <w:p>
            <w:pPr>
              <w:pStyle w:val="Compact"/>
              <w:bidi/>
              <w:jc w:val="left"/>
            </w:pPr>
            <w:r>
              <w:rPr>
                <w:rtl/>
              </w:rPr>
              <w:t xml:space="preserve">ثانيًا (أ): الوقاية قبل إبرام العقد</w:t>
            </w:r>
          </w:p>
        </w:tc>
        <w:tc>
          <w:tcPr/>
          <w:p>
            <w:pPr>
              <w:pStyle w:val="Compact"/>
              <w:bidi/>
              <w:jc w:val="left"/>
            </w:pPr>
            <w:r>
              <w:rPr>
                <w:rtl/>
              </w:rPr>
              <w:t xml:space="preserve">Blank</w:t>
            </w:r>
          </w:p>
        </w:tc>
        <w:tc>
          <w:tcPr/>
          <w:p>
            <w:pPr>
              <w:pStyle w:val="Compact"/>
              <w:bidi/>
              <w:jc w:val="left"/>
            </w:pPr>
            <w:r>
              <w:rPr>
                <w:rtl/>
              </w:rPr>
              <w:t xml:space="preserve">6</w:t>
            </w:r>
          </w:p>
        </w:tc>
        <w:tc>
          <w:tcPr/>
          <w:p>
            <w:pPr>
              <w:pStyle w:val="Compact"/>
              <w:bidi/>
              <w:jc w:val="left"/>
            </w:pPr>
            <w:r>
              <w:rPr>
                <w:rtl/>
              </w:rPr>
              <w:t xml:space="preserve">5 min</w:t>
            </w:r>
          </w:p>
        </w:tc>
      </w:tr>
      <w:tr>
        <w:tc>
          <w:tcPr/>
          <w:p>
            <w:pPr>
              <w:pStyle w:val="Compact"/>
              <w:bidi/>
              <w:jc w:val="left"/>
            </w:pPr>
            <w:r>
              <w:rPr>
                <w:rtl/>
              </w:rPr>
              <w:t xml:space="preserve">4</w:t>
            </w:r>
          </w:p>
        </w:tc>
        <w:tc>
          <w:tcPr/>
          <w:p>
            <w:pPr>
              <w:pStyle w:val="Compact"/>
              <w:bidi/>
              <w:jc w:val="left"/>
            </w:pPr>
            <w:r>
              <w:rPr>
                <w:rtl/>
              </w:rPr>
              <w:t xml:space="preserve">ثانيًا (ب و ج): المتابعة والتصعيد</w:t>
            </w:r>
          </w:p>
        </w:tc>
        <w:tc>
          <w:tcPr/>
          <w:p>
            <w:pPr>
              <w:pStyle w:val="Compact"/>
              <w:bidi/>
              <w:jc w:val="left"/>
            </w:pPr>
            <w:r>
              <w:rPr>
                <w:rtl/>
              </w:rPr>
              <w:t xml:space="preserve">Blank</w:t>
            </w:r>
          </w:p>
        </w:tc>
        <w:tc>
          <w:tcPr/>
          <w:p>
            <w:pPr>
              <w:pStyle w:val="Compact"/>
              <w:bidi/>
              <w:jc w:val="left"/>
            </w:pPr>
            <w:r>
              <w:rPr>
                <w:rtl/>
              </w:rPr>
              <w:t xml:space="preserve">9</w:t>
            </w:r>
          </w:p>
        </w:tc>
        <w:tc>
          <w:tcPr/>
          <w:p>
            <w:pPr>
              <w:pStyle w:val="Compact"/>
              <w:bidi/>
              <w:jc w:val="left"/>
            </w:pPr>
            <w:r>
              <w:rPr>
                <w:rtl/>
              </w:rPr>
              <w:t xml:space="preserve">9 min</w:t>
            </w:r>
          </w:p>
        </w:tc>
      </w:tr>
      <w:tr>
        <w:tc>
          <w:tcPr/>
          <w:p>
            <w:pPr>
              <w:pStyle w:val="Compact"/>
              <w:bidi/>
              <w:jc w:val="left"/>
            </w:pPr>
            <w:r>
              <w:rPr>
                <w:rtl/>
              </w:rPr>
              <w:t xml:space="preserve">5</w:t>
            </w:r>
          </w:p>
        </w:tc>
        <w:tc>
          <w:tcPr/>
          <w:p>
            <w:pPr>
              <w:pStyle w:val="Compact"/>
              <w:bidi/>
              <w:jc w:val="left"/>
            </w:pPr>
            <w:r>
              <w:rPr>
                <w:rtl/>
              </w:rPr>
              <w:t xml:space="preserve">تمارين: الحالات</w:t>
            </w:r>
          </w:p>
        </w:tc>
        <w:tc>
          <w:tcPr/>
          <w:p>
            <w:pPr>
              <w:pStyle w:val="Compact"/>
              <w:bidi/>
              <w:jc w:val="left"/>
            </w:pPr>
            <w:r>
              <w:rPr>
                <w:rtl/>
              </w:rPr>
              <w:t xml:space="preserve">Blank</w:t>
            </w:r>
          </w:p>
        </w:tc>
        <w:tc>
          <w:tcPr/>
          <w:p>
            <w:pPr>
              <w:pStyle w:val="Compact"/>
              <w:bidi/>
              <w:jc w:val="left"/>
            </w:pPr>
            <w:r>
              <w:rPr>
                <w:rtl/>
              </w:rPr>
              <w:t xml:space="preserve">6</w:t>
            </w:r>
          </w:p>
        </w:tc>
        <w:tc>
          <w:tcPr/>
          <w:p>
            <w:pPr>
              <w:pStyle w:val="Compact"/>
              <w:bidi/>
              <w:jc w:val="left"/>
            </w:pPr>
            <w:r>
              <w:rPr>
                <w:rtl/>
              </w:rPr>
              <w:t xml:space="preserve">7 min</w:t>
            </w:r>
          </w:p>
        </w:tc>
      </w:tr>
      <w:tr>
        <w:tc>
          <w:tcPr/>
          <w:p>
            <w:pPr>
              <w:pStyle w:val="Compact"/>
              <w:bidi/>
              <w:jc w:val="left"/>
            </w:pPr>
            <w:r>
              <w:rPr>
                <w:rtl/>
              </w:rPr>
              <w:t xml:space="preserve">6</w:t>
            </w:r>
          </w:p>
        </w:tc>
        <w:tc>
          <w:tcPr/>
          <w:p>
            <w:pPr>
              <w:pStyle w:val="Compact"/>
              <w:bidi/>
              <w:jc w:val="left"/>
            </w:pPr>
            <w:r>
              <w:rPr>
                <w:rtl/>
              </w:rPr>
              <w:t xml:space="preserve">ملخص وخطة عمل</w:t>
            </w:r>
          </w:p>
        </w:tc>
        <w:tc>
          <w:tcPr/>
          <w:p>
            <w:pPr>
              <w:pStyle w:val="Compact"/>
              <w:bidi/>
              <w:jc w:val="left"/>
            </w:pPr>
            <w:r>
              <w:rPr>
                <w:rtl/>
              </w:rPr>
              <w:t xml:space="preserve">Blank</w:t>
            </w:r>
          </w:p>
        </w:tc>
        <w:tc>
          <w:tcPr/>
          <w:p>
            <w:pPr>
              <w:pStyle w:val="Compact"/>
              <w:bidi/>
              <w:jc w:val="left"/>
            </w:pPr>
            <w:r>
              <w:rPr>
                <w:rtl/>
              </w:rPr>
              <w:t xml:space="preserve">5</w:t>
            </w:r>
          </w:p>
        </w:tc>
        <w:tc>
          <w:tcPr/>
          <w:p>
            <w:pPr>
              <w:pStyle w:val="Compact"/>
              <w:bidi/>
              <w:jc w:val="left"/>
            </w:pPr>
            <w:r>
              <w:rPr>
                <w:rtl/>
              </w:rPr>
              <w:t xml:space="preserve">3 min</w:t>
            </w:r>
          </w:p>
        </w:tc>
      </w:tr>
      <w:tr>
        <w:tc>
          <w:tcPr/>
          <w:p>
            <w:pPr>
              <w:pStyle w:val="Compact"/>
              <w:bidi/>
              <w:jc w:val="left"/>
            </w:pPr>
            <w:r>
              <w:rPr>
                <w:rtl/>
              </w:rPr>
              <w:t xml:space="preserve">7</w:t>
            </w:r>
          </w:p>
        </w:tc>
        <w:tc>
          <w:tcPr/>
          <w:p>
            <w:pPr>
              <w:pStyle w:val="Compact"/>
              <w:bidi/>
              <w:jc w:val="left"/>
            </w:pPr>
            <w:r>
              <w:rPr>
                <w:rtl/>
              </w:rPr>
              <w:t xml:space="preserve">الاختبار النهائي</w:t>
            </w:r>
          </w:p>
        </w:tc>
        <w:tc>
          <w:tcPr/>
          <w:p>
            <w:pPr>
              <w:pStyle w:val="Compact"/>
              <w:bidi/>
              <w:jc w:val="left"/>
            </w:pPr>
            <w:r>
              <w:rPr>
                <w:rtl/>
              </w:rPr>
              <w:t xml:space="preserve">Quiz</w:t>
            </w:r>
          </w:p>
        </w:tc>
        <w:tc>
          <w:tcPr/>
          <w:p>
            <w:pPr>
              <w:pStyle w:val="Compact"/>
              <w:bidi/>
              <w:jc w:val="left"/>
            </w:pPr>
            <w:r>
              <w:rPr>
                <w:rtl/>
              </w:rPr>
              <w:t xml:space="preserve">8 Q</w:t>
            </w:r>
          </w:p>
        </w:tc>
        <w:tc>
          <w:tcPr/>
          <w:p>
            <w:pPr>
              <w:pStyle w:val="Compact"/>
              <w:bidi/>
              <w:jc w:val="left"/>
            </w:pPr>
            <w:r>
              <w:rPr>
                <w:rtl/>
              </w:rPr>
              <w:t xml:space="preserve">6 min</w:t>
            </w:r>
          </w:p>
        </w:tc>
      </w:tr>
      <w:tr>
        <w:tc>
          <w:tcPr/>
          <w:p>
            <w:pPr>
              <w:pStyle w:val="Compact"/>
            </w:pPr>
          </w:p>
        </w:tc>
        <w:tc>
          <w:tcPr/>
          <w:p>
            <w:pPr>
              <w:pStyle w:val="Compact"/>
              <w:bidi/>
              <w:jc w:val="left"/>
            </w:pPr>
            <w:r>
              <w:rPr>
                <w:rtl/>
                <w:bCs/>
                <w:b/>
              </w:rPr>
              <w:t xml:space="preserve">Total</w:t>
            </w:r>
          </w:p>
        </w:tc>
        <w:tc>
          <w:tcPr/>
          <w:p>
            <w:pPr>
              <w:pStyle w:val="Compact"/>
            </w:pPr>
          </w:p>
        </w:tc>
        <w:tc>
          <w:tcPr/>
          <w:p>
            <w:pPr>
              <w:pStyle w:val="Compact"/>
            </w:pPr>
          </w:p>
        </w:tc>
        <w:tc>
          <w:tcPr/>
          <w:p>
            <w:pPr>
              <w:pStyle w:val="Compact"/>
              <w:bidi/>
              <w:jc w:val="left"/>
            </w:pPr>
            <w:r>
              <w:rPr>
                <w:rtl/>
                <w:bCs/>
                <w:b/>
              </w:rPr>
              <w:t xml:space="preserve">~43 min</w:t>
            </w:r>
          </w:p>
        </w:tc>
      </w:tr>
    </w:tbl>
    <w:p>
      <w:r>
        <w:pict>
          <v:rect style="width:0;height:1.5pt" o:hralign="center" o:hrstd="t" o:hr="t"/>
        </w:pict>
      </w:r>
    </w:p>
    <w:bookmarkEnd w:id="21"/>
    <w:bookmarkStart w:id="28" w:name="X65533b1e775edbc7ebfdb6a61815d16d7d52250"/>
    <w:p>
      <w:pPr>
        <w:pStyle w:val="Heading2"/>
        <w:bidi/>
      </w:pPr>
      <w:r>
        <w:rPr>
          <w:rtl/>
        </w:rPr>
        <w:t xml:space="preserve">LESSON 1 — مراجعة: الهدف وخبرتك</w:t>
      </w:r>
      <w:r>
        <w:rPr>
          <w:rtl/>
        </w:rPr>
        <w:t xml:space="preserve"> </w:t>
      </w:r>
      <w:r>
        <w:rPr>
          <w:rStyle w:val="VerbatimChar"/>
          <w:rtl/>
        </w:rPr>
        <w:t xml:space="preserve">Blank lesson</w:t>
      </w:r>
    </w:p>
    <w:bookmarkStart w:id="22" w:name="X0a2ac062e5f9a8c13b35ee58a376ac75b262ece"/>
    <w:p>
      <w:pPr>
        <w:pStyle w:val="Heading3"/>
        <w:bidi/>
      </w:pPr>
      <w:r>
        <w:rPr>
          <w:rtl/>
        </w:rPr>
        <w:t xml:space="preserve">1.1 · Text › Heading + paragraph</w:t>
      </w:r>
    </w:p>
    <w:p>
      <w:pPr>
        <w:bidi/>
      </w:pPr>
      <w:r>
        <w:rPr>
          <w:rtl/>
          <w:bCs/>
          <w:b/>
        </w:rPr>
        <w:t xml:space="preserve">Heading:</w:t>
      </w:r>
      <w:r>
        <w:rPr>
          <w:rtl/>
        </w:rPr>
        <w:t xml:space="preserve"> </w:t>
      </w:r>
      <w:r>
        <w:rPr>
          <w:rtl/>
        </w:rPr>
        <w:t xml:space="preserve">حماية حقوق الجهة المؤجرة</w:t>
      </w:r>
      <w:r>
        <w:rPr>
          <w:rtl/>
        </w:rPr>
        <w:t xml:space="preserve"> </w:t>
      </w:r>
      <w:r>
        <w:rPr>
          <w:rtl/>
          <w:bCs/>
          <w:b/>
        </w:rPr>
        <w:t xml:space="preserve">Body:</w:t>
      </w:r>
      <w:r>
        <w:rPr>
          <w:rtl/>
        </w:rPr>
        <w:t xml:space="preserve"> </w:t>
      </w:r>
      <w:r>
        <w:rPr>
          <w:rtl/>
        </w:rPr>
        <w:t xml:space="preserve">أغلب الخسائر في المنازعات الإيجارية لا تبدأ في المحكمة، بل قبلها بأشهر: مستأجر غير مليء، رخصة منتهية، بريد إلكتروني لا يعمل، أو عقد يتجدد تلقائيًا رغم التقاعس. هذا المحور يربط أسباب الإخلاء القانونية بما يمكن للجهة فعله مبكرًا لحماية حقوقها.</w:t>
      </w:r>
      <w:r>
        <w:rPr>
          <w:rtl/>
        </w:rPr>
        <w:t xml:space="preserve"> </w:t>
      </w:r>
      <w:r>
        <w:rPr>
          <w:rStyle w:val="VerbatimChar"/>
          <w:rtl/>
        </w:rPr>
        <w:t xml:space="preserve">[ASSET NEEDED]</w:t>
      </w:r>
      <w:r>
        <w:rPr>
          <w:rtl/>
        </w:rPr>
        <w:t xml:space="preserve"> </w:t>
      </w:r>
      <w:r>
        <w:rPr>
          <w:rtl/>
        </w:rPr>
        <w:t xml:space="preserve">Banner image: a government building / keys (LAD brand style).</w:t>
      </w:r>
    </w:p>
    <w:bookmarkEnd w:id="22"/>
    <w:bookmarkStart w:id="23" w:name="Xea2384e4aa5437111e7e4b13ec6fd73fb873429"/>
    <w:p>
      <w:pPr>
        <w:pStyle w:val="Heading3"/>
        <w:bidi/>
      </w:pPr>
      <w:r>
        <w:rPr>
          <w:rtl/>
        </w:rPr>
        <w:t xml:space="preserve">1.2 · Statement › Statement A</w:t>
      </w:r>
    </w:p>
    <w:p>
      <w:pPr>
        <w:bidi/>
      </w:pPr>
      <w:r>
        <w:rPr>
          <w:rtl/>
          <w:bCs/>
          <w:b/>
        </w:rPr>
        <w:t xml:space="preserve">الهدف:</w:t>
      </w:r>
      <w:r>
        <w:rPr>
          <w:rtl/>
        </w:rPr>
        <w:t xml:space="preserve"> </w:t>
      </w:r>
      <w:r>
        <w:rPr>
          <w:rtl/>
        </w:rPr>
        <w:t xml:space="preserve">أن تحدد السبب القانوني للإخلاء، وتطبق الإجراءات الوقائية والتصعيدية التي تحمي حقوق الجهة الحكومية المؤجرة.</w:t>
      </w:r>
    </w:p>
    <w:bookmarkEnd w:id="23"/>
    <w:bookmarkStart w:id="24" w:name="X46e0b6b1e8d7ef5d7fd62e146e104260c3431cb"/>
    <w:p>
      <w:pPr>
        <w:pStyle w:val="Heading3"/>
        <w:bidi/>
      </w:pPr>
      <w:r>
        <w:rPr>
          <w:rtl/>
        </w:rPr>
        <w:t xml:space="preserve">1.3 · Survey › Multiple Choice (ungraded)</w:t>
      </w:r>
    </w:p>
    <w:p>
      <w:pPr>
        <w:bidi/>
      </w:pPr>
      <w:r>
        <w:rPr>
          <w:rtl/>
          <w:bCs/>
          <w:b/>
        </w:rPr>
        <w:t xml:space="preserve">Prompt:</w:t>
      </w:r>
      <w:r>
        <w:rPr>
          <w:rtl/>
        </w:rPr>
        <w:t xml:space="preserve"> </w:t>
      </w:r>
      <w:r>
        <w:rPr>
          <w:rtl/>
        </w:rPr>
        <w:t xml:space="preserve">ما خبرتك في متابعة عقود الإيجار المتعثرة؟</w:t>
      </w:r>
    </w:p>
    <w:p>
      <w:pPr>
        <w:numPr>
          <w:ilvl w:val="0"/>
          <w:numId w:val="1002"/>
        </w:numPr>
        <w:pStyle w:val="Compact"/>
        <w:bidi/>
      </w:pPr>
      <w:r>
        <w:rPr>
          <w:rtl/>
        </w:rPr>
        <w:t xml:space="preserve">لم أتعامل معها بعد</w:t>
      </w:r>
    </w:p>
    <w:p>
      <w:pPr>
        <w:numPr>
          <w:ilvl w:val="0"/>
          <w:numId w:val="1002"/>
        </w:numPr>
        <w:pStyle w:val="Compact"/>
        <w:bidi/>
      </w:pPr>
      <w:r>
        <w:rPr>
          <w:rtl/>
        </w:rPr>
        <w:t xml:space="preserve">تعاملت مع حالات قليلة</w:t>
      </w:r>
    </w:p>
    <w:p>
      <w:pPr>
        <w:numPr>
          <w:ilvl w:val="0"/>
          <w:numId w:val="1002"/>
        </w:numPr>
        <w:pStyle w:val="Compact"/>
        <w:bidi/>
      </w:pPr>
      <w:r>
        <w:rPr>
          <w:rtl/>
        </w:rPr>
        <w:t xml:space="preserve">أتابعها بشكل منتظم</w:t>
      </w:r>
    </w:p>
    <w:p>
      <w:pPr>
        <w:numPr>
          <w:ilvl w:val="0"/>
          <w:numId w:val="1002"/>
        </w:numPr>
        <w:pStyle w:val="Compact"/>
        <w:bidi/>
      </w:pPr>
      <w:r>
        <w:rPr>
          <w:rtl/>
        </w:rPr>
        <w:t xml:space="preserve">أتولى إحالتها للإجراء القانوني</w:t>
      </w:r>
    </w:p>
    <w:bookmarkEnd w:id="24"/>
    <w:bookmarkStart w:id="25" w:name="X798764b4ed9dc00440b91e1f041aeb24dec6f0f"/>
    <w:p>
      <w:pPr>
        <w:pStyle w:val="Heading3"/>
        <w:bidi/>
      </w:pPr>
      <w:r>
        <w:rPr>
          <w:rtl/>
        </w:rPr>
        <w:t xml:space="preserve">1.4 · Interactive › Process — 3 steps (نظرة عامة)</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1</w:t>
            </w:r>
          </w:p>
        </w:tc>
        <w:tc>
          <w:tcPr/>
          <w:p>
            <w:pPr>
              <w:pStyle w:val="Compact"/>
              <w:bidi/>
              <w:jc w:val="left"/>
            </w:pPr>
            <w:r>
              <w:rPr>
                <w:rtl/>
              </w:rPr>
              <w:t xml:space="preserve">الأسباب القانونية للإخلاء</w:t>
            </w:r>
          </w:p>
        </w:tc>
        <w:tc>
          <w:tcPr/>
          <w:p>
            <w:pPr>
              <w:pStyle w:val="Compact"/>
              <w:bidi/>
              <w:jc w:val="left"/>
            </w:pPr>
            <w:r>
              <w:rPr>
                <w:rtl/>
              </w:rPr>
              <w:t xml:space="preserve">المادة (25): متى يجوز طلب الإخلاء قبل انتهاء العقد وعنده، وبأي إخطار.</w:t>
            </w:r>
          </w:p>
        </w:tc>
      </w:tr>
      <w:tr>
        <w:tc>
          <w:tcPr/>
          <w:p>
            <w:pPr>
              <w:pStyle w:val="Compact"/>
              <w:bidi/>
              <w:jc w:val="left"/>
            </w:pPr>
            <w:r>
              <w:rPr>
                <w:rtl/>
              </w:rPr>
              <w:t xml:space="preserve">2</w:t>
            </w:r>
          </w:p>
        </w:tc>
        <w:tc>
          <w:tcPr/>
          <w:p>
            <w:pPr>
              <w:pStyle w:val="Compact"/>
              <w:bidi/>
              <w:jc w:val="left"/>
            </w:pPr>
            <w:r>
              <w:rPr>
                <w:rtl/>
              </w:rPr>
              <w:t xml:space="preserve">الوقاية والمتابعة</w:t>
            </w:r>
          </w:p>
        </w:tc>
        <w:tc>
          <w:tcPr/>
          <w:p>
            <w:pPr>
              <w:pStyle w:val="Compact"/>
              <w:bidi/>
              <w:jc w:val="left"/>
            </w:pPr>
            <w:r>
              <w:rPr>
                <w:rtl/>
              </w:rPr>
              <w:t xml:space="preserve">ضوابط قبل إبرام العقد، ومتابعة دورية أثناء سريانه.</w:t>
            </w:r>
          </w:p>
        </w:tc>
      </w:tr>
      <w:tr>
        <w:tc>
          <w:tcPr/>
          <w:p>
            <w:pPr>
              <w:pStyle w:val="Compact"/>
              <w:bidi/>
              <w:jc w:val="left"/>
            </w:pPr>
            <w:r>
              <w:rPr>
                <w:rtl/>
              </w:rPr>
              <w:t xml:space="preserve">3</w:t>
            </w:r>
          </w:p>
        </w:tc>
        <w:tc>
          <w:tcPr/>
          <w:p>
            <w:pPr>
              <w:pStyle w:val="Compact"/>
              <w:bidi/>
              <w:jc w:val="left"/>
            </w:pPr>
            <w:r>
              <w:rPr>
                <w:rtl/>
              </w:rPr>
              <w:t xml:space="preserve">التصعيد</w:t>
            </w:r>
          </w:p>
        </w:tc>
        <w:tc>
          <w:tcPr/>
          <w:p>
            <w:pPr>
              <w:pStyle w:val="Compact"/>
              <w:bidi/>
              <w:jc w:val="left"/>
            </w:pPr>
            <w:r>
              <w:rPr>
                <w:rtl/>
              </w:rPr>
              <w:t xml:space="preserve">الإجراء الكتابي، وإثبات الامتناع أو الترك، والإحالة إلى دائرة الشؤون القانونية.</w:t>
            </w:r>
          </w:p>
        </w:tc>
      </w:tr>
    </w:tbl>
    <w:bookmarkEnd w:id="25"/>
    <w:bookmarkStart w:id="26" w:name="X3b8a490eee1edf06dba1d06d3627103eba7bcaa"/>
    <w:p>
      <w:pPr>
        <w:pStyle w:val="Heading3"/>
        <w:bidi/>
      </w:pPr>
      <w:r>
        <w:rPr>
          <w:rtl/>
        </w:rPr>
        <w:t xml:space="preserve">1.5 · List › Numbered list</w:t>
      </w:r>
    </w:p>
    <w:p>
      <w:pPr>
        <w:bidi/>
      </w:pPr>
      <w:r>
        <w:rPr>
          <w:rtl/>
          <w:bCs/>
          <w:b/>
        </w:rPr>
        <w:t xml:space="preserve">Heading:</w:t>
      </w:r>
      <w:r>
        <w:rPr>
          <w:rtl/>
        </w:rPr>
        <w:t xml:space="preserve"> </w:t>
      </w:r>
      <w:r>
        <w:rPr>
          <w:rtl/>
        </w:rPr>
        <w:t xml:space="preserve">أهداف التعلم</w:t>
      </w:r>
    </w:p>
    <w:p>
      <w:pPr>
        <w:numPr>
          <w:ilvl w:val="0"/>
          <w:numId w:val="1003"/>
        </w:numPr>
        <w:pStyle w:val="Compact"/>
        <w:bidi/>
      </w:pPr>
      <w:r>
        <w:rPr>
          <w:rtl/>
        </w:rPr>
        <w:t xml:space="preserve">تحديد سبب الإخلاء الصحيح ومهلة الإخطار ووسيلته.</w:t>
      </w:r>
    </w:p>
    <w:p>
      <w:pPr>
        <w:numPr>
          <w:ilvl w:val="0"/>
          <w:numId w:val="1003"/>
        </w:numPr>
        <w:pStyle w:val="Compact"/>
        <w:bidi/>
      </w:pPr>
      <w:r>
        <w:rPr>
          <w:rtl/>
        </w:rPr>
        <w:t xml:space="preserve">تطبيق الضوابط الوقائية قبل إبرام العقد.</w:t>
      </w:r>
    </w:p>
    <w:p>
      <w:pPr>
        <w:numPr>
          <w:ilvl w:val="0"/>
          <w:numId w:val="1003"/>
        </w:numPr>
        <w:pStyle w:val="Compact"/>
        <w:bidi/>
      </w:pPr>
      <w:r>
        <w:rPr>
          <w:rtl/>
        </w:rPr>
        <w:t xml:space="preserve">المتابعة الدورية واكتشاف مؤشرات الخطر.</w:t>
      </w:r>
    </w:p>
    <w:p>
      <w:pPr>
        <w:numPr>
          <w:ilvl w:val="0"/>
          <w:numId w:val="1003"/>
        </w:numPr>
        <w:pStyle w:val="Compact"/>
        <w:bidi/>
      </w:pPr>
      <w:r>
        <w:rPr>
          <w:rtl/>
        </w:rPr>
        <w:t xml:space="preserve">اتخاذ الإجراء الكتابي والإحالة في الوقت المناسب.</w:t>
      </w:r>
    </w:p>
    <w:bookmarkEnd w:id="26"/>
    <w:bookmarkStart w:id="27" w:name="X4f3be58eb7ce9fa03130c2db5d1672da9745cfb"/>
    <w:p>
      <w:pPr>
        <w:pStyle w:val="Heading3"/>
        <w:bidi/>
      </w:pPr>
      <w:r>
        <w:rPr>
          <w:rtl/>
        </w:rPr>
        <w:t xml:space="preserve">1.6 · Divider › Continue</w:t>
      </w:r>
    </w:p>
    <w:p>
      <w:r>
        <w:pict>
          <v:rect style="width:0;height:1.5pt" o:hralign="center" o:hrstd="t" o:hr="t"/>
        </w:pict>
      </w:r>
    </w:p>
    <w:bookmarkEnd w:id="27"/>
    <w:bookmarkEnd w:id="28"/>
    <w:bookmarkStart w:id="39" w:name="X1ca180278d3c2e0ae2b9bae8062787cb6445616"/>
    <w:p>
      <w:pPr>
        <w:pStyle w:val="Heading2"/>
        <w:bidi/>
      </w:pPr>
      <w:r>
        <w:rPr>
          <w:rtl/>
        </w:rPr>
        <w:t xml:space="preserve">LESSON 2 — أولاً: أسباب طلب الإخلاء</w:t>
      </w:r>
      <w:r>
        <w:rPr>
          <w:rtl/>
        </w:rPr>
        <w:t xml:space="preserve"> </w:t>
      </w:r>
      <w:r>
        <w:rPr>
          <w:rStyle w:val="VerbatimChar"/>
          <w:rtl/>
        </w:rPr>
        <w:t xml:space="preserve">Blank lesson</w:t>
      </w:r>
    </w:p>
    <w:bookmarkStart w:id="29" w:name="X354f3ee82c11240447b11084bcf6602e0c282df"/>
    <w:p>
      <w:pPr>
        <w:pStyle w:val="Heading3"/>
        <w:bidi/>
      </w:pPr>
      <w:r>
        <w:rPr>
          <w:rtl/>
        </w:rPr>
        <w:t xml:space="preserve">2.1 · Quote › Quote on background</w:t>
      </w:r>
    </w:p>
    <w:p>
      <w:pPr>
        <w:bidi/>
      </w:pPr>
      <w:r>
        <w:rPr>
          <w:rtl/>
          <w:bCs/>
          <w:b/>
        </w:rPr>
        <w:t xml:space="preserve">المادة (19):</w:t>
      </w:r>
      <w:r>
        <w:rPr>
          <w:rtl/>
        </w:rPr>
        <w:t xml:space="preserve"> </w:t>
      </w:r>
      <w:r>
        <w:rPr>
          <w:rtl/>
        </w:rPr>
        <w:t xml:space="preserve">يجب على المستأجر أن يسدد بدل الإيجار في مواعيد استحقاقه …</w:t>
      </w:r>
    </w:p>
    <w:bookmarkEnd w:id="29"/>
    <w:bookmarkStart w:id="30" w:name="X6bcac90c10489dfbb43f84634e96ba604a49625"/>
    <w:p>
      <w:pPr>
        <w:pStyle w:val="Heading3"/>
        <w:bidi/>
      </w:pPr>
      <w:r>
        <w:rPr>
          <w:rtl/>
        </w:rPr>
        <w:t xml:space="preserve">2.2 · Text › Paragraph</w:t>
      </w:r>
    </w:p>
    <w:p>
      <w:pPr>
        <w:bidi/>
      </w:pPr>
      <w:r>
        <w:rPr>
          <w:rtl/>
        </w:rPr>
        <w:t xml:space="preserve">السداد في الموعد التزام أصيل على المستأجر. والإخلال به — كغيره من الإخلالات — لا يجيز الإخلاء إلا وفق الحالات</w:t>
      </w:r>
      <w:r>
        <w:rPr>
          <w:rtl/>
        </w:rPr>
        <w:t xml:space="preserve"> </w:t>
      </w:r>
      <w:r>
        <w:rPr>
          <w:rtl/>
          <w:bCs/>
          <w:b/>
        </w:rPr>
        <w:t xml:space="preserve">الحصرية</w:t>
      </w:r>
      <w:r>
        <w:rPr>
          <w:rtl/>
        </w:rPr>
        <w:t xml:space="preserve"> </w:t>
      </w:r>
      <w:r>
        <w:rPr>
          <w:rtl/>
        </w:rPr>
        <w:t xml:space="preserve">في المادة (25) وبالإخطار الصحيح.</w:t>
      </w:r>
    </w:p>
    <w:bookmarkEnd w:id="30"/>
    <w:bookmarkStart w:id="31" w:name="X92f733304e30b04c46b686df8ad2320169f77ed"/>
    <w:p>
      <w:pPr>
        <w:pStyle w:val="Heading3"/>
        <w:bidi/>
      </w:pPr>
      <w:r>
        <w:rPr>
          <w:rtl/>
        </w:rPr>
        <w:t xml:space="preserve">2.3 · Interactive › Accordion — 9 items</w:t>
      </w:r>
    </w:p>
    <w:p>
      <w:pPr>
        <w:bidi/>
      </w:pPr>
      <w:r>
        <w:rPr>
          <w:rtl/>
          <w:bCs/>
          <w:b/>
        </w:rPr>
        <w:t xml:space="preserve">Heading:</w:t>
      </w:r>
      <w:r>
        <w:rPr>
          <w:rtl/>
        </w:rPr>
        <w:t xml:space="preserve"> </w:t>
      </w:r>
      <w:r>
        <w:rPr>
          <w:rtl/>
        </w:rPr>
        <w:t xml:space="preserve">المادة 25(1) — الإخلاء</w:t>
      </w:r>
      <w:r>
        <w:rPr>
          <w:rtl/>
        </w:rPr>
        <w:t xml:space="preserve"> </w:t>
      </w:r>
      <w:r>
        <w:rPr>
          <w:rtl/>
          <w:bCs/>
          <w:b/>
        </w:rPr>
        <w:t xml:space="preserve">قبل</w:t>
      </w:r>
      <w:r>
        <w:rPr>
          <w:rtl/>
        </w:rPr>
        <w:t xml:space="preserve"> </w:t>
      </w:r>
      <w:r>
        <w:rPr>
          <w:rtl/>
        </w:rPr>
        <w:t xml:space="preserve">انتهاء العقد (حصرًا)</w:t>
      </w:r>
      <w:r>
        <w:rPr>
          <w:rtl/>
        </w:rPr>
        <w:t xml:space="preserve"> </w:t>
      </w:r>
      <w:r>
        <w:rPr>
          <w:rtl/>
        </w:rPr>
        <w:t xml:space="preserve">| # | Title | Body |</w:t>
      </w:r>
      <w:r>
        <w:rPr>
          <w:rtl/>
        </w:rPr>
        <w:t xml:space="preserve"> </w:t>
      </w:r>
      <w:r>
        <w:rPr>
          <w:rtl/>
        </w:rPr>
        <w:t xml:space="preserve">|---|---|---|</w:t>
      </w:r>
      <w:r>
        <w:rPr>
          <w:rtl/>
        </w:rPr>
        <w:t xml:space="preserve"> </w:t>
      </w:r>
      <w:r>
        <w:rPr>
          <w:rtl/>
        </w:rPr>
        <w:t xml:space="preserve">| أ | عدم السداد بعد الإخطار | عدم سداد البدل أو جزء منه</w:t>
      </w:r>
      <w:r>
        <w:rPr>
          <w:rtl/>
        </w:rPr>
        <w:t xml:space="preserve"> </w:t>
      </w:r>
      <w:r>
        <w:rPr>
          <w:rtl/>
          <w:bCs/>
          <w:b/>
        </w:rPr>
        <w:t xml:space="preserve">خلال 30 يومًا من تاريخ الإخطار بالسداد</w:t>
      </w:r>
      <w:r>
        <w:rPr>
          <w:rtl/>
        </w:rPr>
        <w:t xml:space="preserve">، ما لم يُتفق على خلاف ذلك. |</w:t>
      </w:r>
      <w:r>
        <w:rPr>
          <w:rtl/>
        </w:rPr>
        <w:t xml:space="preserve"> </w:t>
      </w:r>
      <w:r>
        <w:rPr>
          <w:rtl/>
        </w:rPr>
        <w:t xml:space="preserve">| ب | التأجير من الباطن | دون موافقة المؤجر</w:t>
      </w:r>
      <w:r>
        <w:rPr>
          <w:rtl/>
        </w:rPr>
        <w:t xml:space="preserve"> </w:t>
      </w:r>
      <w:r>
        <w:rPr>
          <w:rtl/>
          <w:bCs/>
          <w:b/>
        </w:rPr>
        <w:t xml:space="preserve">الخطية</w:t>
      </w:r>
      <w:r>
        <w:rPr>
          <w:rtl/>
        </w:rPr>
        <w:t xml:space="preserve">؛ ويسري الإخلاء على المستأجر من الباطن، مع حقه في الرجوع بالتعويض على المستأجر. |</w:t>
      </w:r>
      <w:r>
        <w:rPr>
          <w:rtl/>
        </w:rPr>
        <w:t xml:space="preserve"> </w:t>
      </w:r>
      <w:r>
        <w:rPr>
          <w:rtl/>
        </w:rPr>
        <w:t xml:space="preserve">| ج | الاستعمال غير المشروع | لغاية غير مشروعة أو مخالفة للنظام العام أو الآداب العامة. |</w:t>
      </w:r>
      <w:r>
        <w:rPr>
          <w:rtl/>
        </w:rPr>
        <w:t xml:space="preserve"> </w:t>
      </w:r>
      <w:r>
        <w:rPr>
          <w:rtl/>
        </w:rPr>
        <w:t xml:space="preserve">| د | ترك المحل التجاري | دون إشغال ودون سبب مشروع</w:t>
      </w:r>
      <w:r>
        <w:rPr>
          <w:rtl/>
        </w:rPr>
        <w:t xml:space="preserve"> </w:t>
      </w:r>
      <w:r>
        <w:rPr>
          <w:rtl/>
          <w:bCs/>
          <w:b/>
        </w:rPr>
        <w:t xml:space="preserve">30 يومًا متصلة أو 90 يومًا متقطعة في السنة</w:t>
      </w:r>
      <w:r>
        <w:rPr>
          <w:rtl/>
        </w:rPr>
        <w:t xml:space="preserve">، ما لم يُتفق على خلاف ذلك. |</w:t>
      </w:r>
      <w:r>
        <w:rPr>
          <w:rtl/>
        </w:rPr>
        <w:t xml:space="preserve"> </w:t>
      </w:r>
      <w:r>
        <w:rPr>
          <w:rtl/>
        </w:rPr>
        <w:t xml:space="preserve">| هـ | التغيير أو الإضرار | تغيير يؤثر على سلامة العقار ويتعذر معه إعادته، أو ضرر بفعل متعمّد أو إهمال جسيم، أو بالسماح للغير بذلك. |</w:t>
      </w:r>
      <w:r>
        <w:rPr>
          <w:rtl/>
        </w:rPr>
        <w:t xml:space="preserve"> </w:t>
      </w:r>
      <w:r>
        <w:rPr>
          <w:rtl/>
        </w:rPr>
        <w:t xml:space="preserve">| و | مخالفة الغرض أو الأنظمة | الاستعمال لغير الغرض، أو بما يخالف أنظمة التخطيط والبناء واستعمالات الأراضي. |</w:t>
      </w:r>
      <w:r>
        <w:rPr>
          <w:rtl/>
        </w:rPr>
        <w:t xml:space="preserve"> </w:t>
      </w:r>
      <w:r>
        <w:rPr>
          <w:rtl/>
        </w:rPr>
        <w:t xml:space="preserve">| ز | آيل للسقوط | بتقرير فني صادر من بلدية دبي أو معتمد منها. |</w:t>
      </w:r>
      <w:r>
        <w:rPr>
          <w:rtl/>
        </w:rPr>
        <w:t xml:space="preserve"> </w:t>
      </w:r>
      <w:r>
        <w:rPr>
          <w:rtl/>
        </w:rPr>
        <w:t xml:space="preserve">| ح | مخالفة أي التزام أو شرط | خلال</w:t>
      </w:r>
      <w:r>
        <w:rPr>
          <w:rtl/>
        </w:rPr>
        <w:t xml:space="preserve"> </w:t>
      </w:r>
      <w:r>
        <w:rPr>
          <w:rtl/>
          <w:bCs/>
          <w:b/>
        </w:rPr>
        <w:t xml:space="preserve">30 يومًا من الإخطار</w:t>
      </w:r>
      <w:r>
        <w:rPr>
          <w:rtl/>
        </w:rPr>
        <w:t xml:space="preserve"> </w:t>
      </w:r>
      <w:r>
        <w:rPr>
          <w:rtl/>
        </w:rPr>
        <w:t xml:space="preserve">بتنفيذه. |</w:t>
      </w:r>
      <w:r>
        <w:rPr>
          <w:rtl/>
        </w:rPr>
        <w:t xml:space="preserve"> </w:t>
      </w:r>
      <w:r>
        <w:rPr>
          <w:rtl/>
        </w:rPr>
        <w:t xml:space="preserve">| ط | التنمية العمرانية | هدم وإعادة بناء وفق ما تقرره الجهات الحكومية المختصة. |</w:t>
      </w:r>
    </w:p>
    <w:bookmarkEnd w:id="31"/>
    <w:bookmarkStart w:id="32" w:name="Xb6b2e6b9f7ef27b933ed54c2eaf97d56af2c5e7"/>
    <w:p>
      <w:pPr>
        <w:pStyle w:val="Heading3"/>
        <w:bidi/>
      </w:pPr>
      <w:r>
        <w:rPr>
          <w:rtl/>
        </w:rPr>
        <w:t xml:space="preserve">2.4 · Statement › Note</w:t>
      </w:r>
    </w:p>
    <w:p>
      <w:pPr>
        <w:bidi/>
      </w:pPr>
      <w:r>
        <w:rPr>
          <w:rtl/>
          <w:bCs/>
          <w:b/>
        </w:rPr>
        <w:t xml:space="preserve">إخطار 25(1):</w:t>
      </w:r>
      <w:r>
        <w:rPr>
          <w:rtl/>
        </w:rPr>
        <w:t xml:space="preserve"> </w:t>
      </w:r>
      <w:r>
        <w:rPr>
          <w:rtl/>
        </w:rPr>
        <w:t xml:space="preserve">عن طريق</w:t>
      </w:r>
      <w:r>
        <w:rPr>
          <w:rtl/>
        </w:rPr>
        <w:t xml:space="preserve"> </w:t>
      </w:r>
      <w:r>
        <w:rPr>
          <w:rtl/>
          <w:bCs/>
          <w:b/>
        </w:rPr>
        <w:t xml:space="preserve">الكاتب العدل أو البريد المسجل</w:t>
      </w:r>
      <w:r>
        <w:rPr>
          <w:rtl/>
        </w:rPr>
        <w:t xml:space="preserve">.</w:t>
      </w:r>
    </w:p>
    <w:bookmarkEnd w:id="32"/>
    <w:bookmarkStart w:id="33" w:name="Xd421e3c412bc72988f9f67417a8bf51e2d2ea3d"/>
    <w:p>
      <w:pPr>
        <w:pStyle w:val="Heading3"/>
        <w:bidi/>
      </w:pPr>
      <w:r>
        <w:rPr>
          <w:rtl/>
        </w:rPr>
        <w:t xml:space="preserve">2.5 · Interactive › Accordion — 4 items</w:t>
      </w:r>
    </w:p>
    <w:p>
      <w:pPr>
        <w:bidi/>
      </w:pPr>
      <w:r>
        <w:rPr>
          <w:rtl/>
          <w:bCs/>
          <w:b/>
        </w:rPr>
        <w:t xml:space="preserve">Heading:</w:t>
      </w:r>
      <w:r>
        <w:rPr>
          <w:rtl/>
        </w:rPr>
        <w:t xml:space="preserve"> </w:t>
      </w:r>
      <w:r>
        <w:rPr>
          <w:rtl/>
        </w:rPr>
        <w:t xml:space="preserve">المادة 25(2) — الإخلاء</w:t>
      </w:r>
      <w:r>
        <w:rPr>
          <w:rtl/>
        </w:rPr>
        <w:t xml:space="preserve"> </w:t>
      </w:r>
      <w:r>
        <w:rPr>
          <w:rtl/>
          <w:bCs/>
          <w:b/>
        </w:rPr>
        <w:t xml:space="preserve">عند</w:t>
      </w:r>
      <w:r>
        <w:rPr>
          <w:rtl/>
        </w:rPr>
        <w:t xml:space="preserve"> </w:t>
      </w:r>
      <w:r>
        <w:rPr>
          <w:rtl/>
        </w:rPr>
        <w:t xml:space="preserve">انتهاء العقد (حصرًا)</w:t>
      </w:r>
      <w:r>
        <w:rPr>
          <w:rtl/>
        </w:rPr>
        <w:t xml:space="preserve"> </w:t>
      </w:r>
      <w:r>
        <w:rPr>
          <w:rtl/>
        </w:rPr>
        <w:t xml:space="preserve">| # | Title | Body |</w:t>
      </w:r>
      <w:r>
        <w:rPr>
          <w:rtl/>
        </w:rPr>
        <w:t xml:space="preserve"> </w:t>
      </w:r>
      <w:r>
        <w:rPr>
          <w:rtl/>
        </w:rPr>
        <w:t xml:space="preserve">|---|---|---|</w:t>
      </w:r>
      <w:r>
        <w:rPr>
          <w:rtl/>
        </w:rPr>
        <w:t xml:space="preserve"> </w:t>
      </w:r>
      <w:r>
        <w:rPr>
          <w:rtl/>
        </w:rPr>
        <w:t xml:space="preserve">| أ | الهدم أو البناء الجديد | شريطة الحصول على التراخيص اللازمة من الجهات المختصة. |</w:t>
      </w:r>
      <w:r>
        <w:rPr>
          <w:rtl/>
        </w:rPr>
        <w:t xml:space="preserve"> </w:t>
      </w:r>
      <w:r>
        <w:rPr>
          <w:rtl/>
        </w:rPr>
        <w:t xml:space="preserve">| ب | الترميم أو الصيانة الشاملة | إذا تعذرت بوجود المستأجر، بتقرير فني صادر من بلدية دبي أو معتمد منها. |</w:t>
      </w:r>
      <w:r>
        <w:rPr>
          <w:rtl/>
        </w:rPr>
        <w:t xml:space="preserve"> </w:t>
      </w:r>
      <w:r>
        <w:rPr>
          <w:rtl/>
        </w:rPr>
        <w:t xml:space="preserve">| ج | الاستعمال الشخصي | للمالك أو أقاربه حتى الدرجة الأولى، شريطة إثبات عدم ملكيته للبديل المناسب. |</w:t>
      </w:r>
      <w:r>
        <w:rPr>
          <w:rtl/>
        </w:rPr>
        <w:t xml:space="preserve"> </w:t>
      </w:r>
      <w:r>
        <w:rPr>
          <w:rtl/>
        </w:rPr>
        <w:t xml:space="preserve">| د | البيع | رغبة المالك في بيع العقار المؤجر. |</w:t>
      </w:r>
    </w:p>
    <w:bookmarkEnd w:id="33"/>
    <w:bookmarkStart w:id="34" w:name="X892bce1cec43083b5e425e00fe5fa5e3e12b276"/>
    <w:p>
      <w:pPr>
        <w:pStyle w:val="Heading3"/>
        <w:bidi/>
      </w:pPr>
      <w:r>
        <w:rPr>
          <w:rtl/>
        </w:rPr>
        <w:t xml:space="preserve">2.6 · Statement › Note</w:t>
      </w:r>
    </w:p>
    <w:p>
      <w:pPr>
        <w:bidi/>
      </w:pPr>
      <w:r>
        <w:rPr>
          <w:rtl/>
          <w:bCs/>
          <w:b/>
        </w:rPr>
        <w:t xml:space="preserve">إخطار 25(2):</w:t>
      </w:r>
      <w:r>
        <w:rPr>
          <w:rtl/>
        </w:rPr>
        <w:t xml:space="preserve"> </w:t>
      </w:r>
      <w:r>
        <w:rPr>
          <w:rtl/>
        </w:rPr>
        <w:t xml:space="preserve">بأسباب الإخلاء قبل</w:t>
      </w:r>
      <w:r>
        <w:rPr>
          <w:rtl/>
        </w:rPr>
        <w:t xml:space="preserve"> </w:t>
      </w:r>
      <w:r>
        <w:rPr>
          <w:rtl/>
          <w:bCs/>
          <w:b/>
        </w:rPr>
        <w:t xml:space="preserve">12 شهرًا على الأقل</w:t>
      </w:r>
      <w:r>
        <w:rPr>
          <w:rtl/>
        </w:rPr>
        <w:t xml:space="preserve"> </w:t>
      </w:r>
      <w:r>
        <w:rPr>
          <w:rtl/>
        </w:rPr>
        <w:t xml:space="preserve">من التاريخ المحدد للإخلاء، عن طريق</w:t>
      </w:r>
      <w:r>
        <w:rPr>
          <w:rtl/>
        </w:rPr>
        <w:t xml:space="preserve"> </w:t>
      </w:r>
      <w:r>
        <w:rPr>
          <w:rtl/>
          <w:bCs/>
          <w:b/>
        </w:rPr>
        <w:t xml:space="preserve">الكاتب العدل أو البريد المسجل</w:t>
      </w:r>
      <w:r>
        <w:rPr>
          <w:rtl/>
        </w:rPr>
        <w:t xml:space="preserve">.</w:t>
      </w:r>
    </w:p>
    <w:bookmarkEnd w:id="34"/>
    <w:bookmarkStart w:id="35" w:name="X04db2ecc2c6ba0bfd3b0d128d6516da8f07fb89"/>
    <w:p>
      <w:pPr>
        <w:pStyle w:val="Heading3"/>
        <w:bidi/>
      </w:pPr>
      <w:r>
        <w:rPr>
          <w:rtl/>
        </w:rPr>
        <w:t xml:space="preserve">2.7 · Statement › Statement B</w:t>
      </w:r>
    </w:p>
    <w:p>
      <w:pPr>
        <w:bidi/>
      </w:pPr>
      <w:r>
        <w:rPr>
          <w:rtl/>
          <w:bCs/>
          <w:b/>
        </w:rPr>
        <w:t xml:space="preserve">المادة (31):</w:t>
      </w:r>
      <w:r>
        <w:rPr>
          <w:rtl/>
        </w:rPr>
        <w:t xml:space="preserve"> </w:t>
      </w:r>
      <w:r>
        <w:rPr>
          <w:rtl/>
        </w:rPr>
        <w:t xml:space="preserve">لا يعفي رفع دعوى الإخلاء المستأجر من أداء بدل الإيجار طيلة المدة التي يستغرقها نظر الدعوى وصدور الحكم فيها وتنفيذه.</w:t>
      </w:r>
    </w:p>
    <w:bookmarkEnd w:id="35"/>
    <w:bookmarkStart w:id="36" w:name="X8b1ad19f1a7fc88095c2a709e72ab1855b86569"/>
    <w:p>
      <w:pPr>
        <w:pStyle w:val="Heading3"/>
        <w:bidi/>
      </w:pPr>
      <w:r>
        <w:rPr>
          <w:rtl/>
        </w:rPr>
        <w:t xml:space="preserve">2.8 · Knowledge Check › Multiple Choice</w:t>
      </w:r>
    </w:p>
    <w:p>
      <w:pPr>
        <w:bidi/>
      </w:pPr>
      <w:r>
        <w:rPr>
          <w:rtl/>
          <w:bCs/>
          <w:b/>
        </w:rPr>
        <w:t xml:space="preserve">Question:</w:t>
      </w:r>
      <w:r>
        <w:rPr>
          <w:rtl/>
        </w:rPr>
        <w:t xml:space="preserve"> </w:t>
      </w:r>
      <w:r>
        <w:rPr>
          <w:rtl/>
        </w:rPr>
        <w:t xml:space="preserve">مستأجر تجاري تأخر في السداد. أرسلت الجهة إخطارًا بالسداد بالبريد المسجل في 1 مارس. متى يقوم سبب الإخلاء لعدم السداد؟</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إذا لم يسدد خلال 30 يومًا من تاريخ الإخطار | ✅ | صحيح، وفق المادة 25(1)(أ)، ما لم يُتفق على خلاف ذلك. |</w:t>
      </w:r>
      <w:r>
        <w:rPr>
          <w:rtl/>
        </w:rPr>
        <w:t xml:space="preserve"> </w:t>
      </w:r>
      <w:r>
        <w:rPr>
          <w:rtl/>
        </w:rPr>
        <w:t xml:space="preserve">| B | فور تأخر الدفعة عن موعدها | | التأخر وحده لا يكفي؛ يلزم إخطار ومرور 30 يومًا. |</w:t>
      </w:r>
      <w:r>
        <w:rPr>
          <w:rtl/>
        </w:rPr>
        <w:t xml:space="preserve"> </w:t>
      </w:r>
      <w:r>
        <w:rPr>
          <w:rtl/>
        </w:rPr>
        <w:t xml:space="preserve">| C | بعد 90 يومًا من الإخطار | | 90 يومًا تخص إخطار تعديل الشروط (م. 14)، لا الإخلال بالسداد. |</w:t>
      </w:r>
      <w:r>
        <w:rPr>
          <w:rtl/>
        </w:rPr>
        <w:t xml:space="preserve"> </w:t>
      </w:r>
      <w:r>
        <w:rPr>
          <w:rtl/>
        </w:rPr>
        <w:t xml:space="preserve">| D | عند انتهاء العقد فقط | | عدم السداد سبب للإخلاء</w:t>
      </w:r>
      <w:r>
        <w:rPr>
          <w:rtl/>
        </w:rPr>
        <w:t xml:space="preserve"> </w:t>
      </w:r>
      <w:r>
        <w:rPr>
          <w:rtl/>
          <w:bCs/>
          <w:b/>
        </w:rPr>
        <w:t xml:space="preserve">قبل</w:t>
      </w:r>
      <w:r>
        <w:rPr>
          <w:rtl/>
        </w:rPr>
        <w:t xml:space="preserve"> </w:t>
      </w:r>
      <w:r>
        <w:rPr>
          <w:rtl/>
        </w:rPr>
        <w:t xml:space="preserve">انتهاء العقد. |</w:t>
      </w:r>
    </w:p>
    <w:bookmarkEnd w:id="36"/>
    <w:bookmarkStart w:id="37" w:name="X7b87afab3563ad9682ebc6903c65e28ad1e5234"/>
    <w:p>
      <w:pPr>
        <w:pStyle w:val="Heading3"/>
        <w:bidi/>
      </w:pPr>
      <w:r>
        <w:rPr>
          <w:rtl/>
        </w:rPr>
        <w:t xml:space="preserve">2.9 · Knowledge Check › Multiple Choice</w:t>
      </w:r>
    </w:p>
    <w:p>
      <w:pPr>
        <w:bidi/>
      </w:pPr>
      <w:r>
        <w:rPr>
          <w:rtl/>
          <w:bCs/>
          <w:b/>
        </w:rPr>
        <w:t xml:space="preserve">Question:</w:t>
      </w:r>
      <w:r>
        <w:rPr>
          <w:rtl/>
        </w:rPr>
        <w:t xml:space="preserve"> </w:t>
      </w:r>
      <w:r>
        <w:rPr>
          <w:rtl/>
        </w:rPr>
        <w:t xml:space="preserve">بعد رفع دعوى الإخلاء توقف المستأجر عن السداد بحجة أن "الدعوى منظورة". ما الموقف؟</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الأجرة تظل مستحقة حتى تنفيذ الحكم | ✅ | صحيح، المادة (31). احرص على المطالبة بها. |</w:t>
      </w:r>
      <w:r>
        <w:rPr>
          <w:rtl/>
        </w:rPr>
        <w:t xml:space="preserve"> </w:t>
      </w:r>
      <w:r>
        <w:rPr>
          <w:rtl/>
        </w:rPr>
        <w:t xml:space="preserve">| B | حجته صحيحة؛ الأجرة موقوفة حتى الحكم | | المادة (31) تنص على العكس. |</w:t>
      </w:r>
      <w:r>
        <w:rPr>
          <w:rtl/>
        </w:rPr>
        <w:t xml:space="preserve"> </w:t>
      </w:r>
      <w:r>
        <w:rPr>
          <w:rtl/>
        </w:rPr>
        <w:t xml:space="preserve">| C | تُستحق نصف الأجرة فقط | | لا أساس لذلك في النص. |</w:t>
      </w:r>
    </w:p>
    <w:bookmarkEnd w:id="37"/>
    <w:bookmarkStart w:id="38" w:name="X0b96cbaabddb7ad533551359befed8e15772ded"/>
    <w:p>
      <w:pPr>
        <w:pStyle w:val="Heading3"/>
        <w:bidi/>
      </w:pPr>
      <w:r>
        <w:rPr>
          <w:rtl/>
        </w:rPr>
        <w:t xml:space="preserve">2.10 · Divider › Continue</w:t>
      </w:r>
    </w:p>
    <w:p>
      <w:r>
        <w:pict>
          <v:rect style="width:0;height:1.5pt" o:hralign="center" o:hrstd="t" o:hr="t"/>
        </w:pict>
      </w:r>
    </w:p>
    <w:bookmarkEnd w:id="38"/>
    <w:bookmarkEnd w:id="39"/>
    <w:bookmarkStart w:id="46" w:name="Xc9da3bd4db70f54a08b9a7fbba9d377dc6a3798"/>
    <w:p>
      <w:pPr>
        <w:pStyle w:val="Heading2"/>
        <w:bidi/>
      </w:pPr>
      <w:r>
        <w:rPr>
          <w:rtl/>
        </w:rPr>
        <w:t xml:space="preserve">LESSON 3 — ثانيًا (أ): الوقاية قبل إبرام العقد</w:t>
      </w:r>
      <w:r>
        <w:rPr>
          <w:rtl/>
        </w:rPr>
        <w:t xml:space="preserve"> </w:t>
      </w:r>
      <w:r>
        <w:rPr>
          <w:rStyle w:val="VerbatimChar"/>
          <w:rtl/>
        </w:rPr>
        <w:t xml:space="preserve">Blank lesson</w:t>
      </w:r>
    </w:p>
    <w:bookmarkStart w:id="40" w:name="Xbaa5a1e47316f243708ca9578b9f2cebe9bcbf3"/>
    <w:p>
      <w:pPr>
        <w:pStyle w:val="Heading3"/>
        <w:bidi/>
      </w:pPr>
      <w:r>
        <w:rPr>
          <w:rtl/>
        </w:rPr>
        <w:t xml:space="preserve">3.1 · Text › Heading + paragraph</w:t>
      </w:r>
    </w:p>
    <w:p>
      <w:pPr>
        <w:bidi/>
      </w:pPr>
      <w:r>
        <w:rPr>
          <w:rtl/>
          <w:bCs/>
          <w:b/>
        </w:rPr>
        <w:t xml:space="preserve">Heading:</w:t>
      </w:r>
      <w:r>
        <w:rPr>
          <w:rtl/>
        </w:rPr>
        <w:t xml:space="preserve"> </w:t>
      </w:r>
      <w:r>
        <w:rPr>
          <w:rtl/>
        </w:rPr>
        <w:t xml:space="preserve">أفضل دعوى هي التي لا تحتاج إليها</w:t>
      </w:r>
      <w:r>
        <w:rPr>
          <w:rtl/>
        </w:rPr>
        <w:t xml:space="preserve"> </w:t>
      </w:r>
      <w:r>
        <w:rPr>
          <w:rtl/>
          <w:bCs/>
          <w:b/>
        </w:rPr>
        <w:t xml:space="preserve">Body:</w:t>
      </w:r>
      <w:r>
        <w:rPr>
          <w:rtl/>
        </w:rPr>
        <w:t xml:space="preserve"> </w:t>
      </w:r>
      <w:r>
        <w:rPr>
          <w:rtl/>
        </w:rPr>
        <w:t xml:space="preserve">إحدى عشرة توصية لمعالجة الأسباب المؤثرة على حقوق الجهات الحكومية في المنازعات الإيجارية. نبدأ بما يجب فعله</w:t>
      </w:r>
      <w:r>
        <w:rPr>
          <w:rtl/>
        </w:rPr>
        <w:t xml:space="preserve"> </w:t>
      </w:r>
      <w:r>
        <w:rPr>
          <w:rtl/>
          <w:bCs/>
          <w:b/>
        </w:rPr>
        <w:t xml:space="preserve">قبل</w:t>
      </w:r>
      <w:r>
        <w:rPr>
          <w:rtl/>
        </w:rPr>
        <w:t xml:space="preserve"> </w:t>
      </w:r>
      <w:r>
        <w:rPr>
          <w:rtl/>
        </w:rPr>
        <w:t xml:space="preserve">التوقيع.</w:t>
      </w:r>
    </w:p>
    <w:bookmarkEnd w:id="40"/>
    <w:bookmarkStart w:id="41" w:name="X59d8ae8eec630da6b3399d7bf57d94e4d35f137"/>
    <w:p>
      <w:pPr>
        <w:pStyle w:val="Heading3"/>
        <w:bidi/>
      </w:pPr>
      <w:r>
        <w:rPr>
          <w:rtl/>
        </w:rPr>
        <w:t xml:space="preserve">3.2 · Interactive › Tabs — 3 tabs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1. الملاءة المالية</w:t>
            </w:r>
          </w:p>
        </w:tc>
        <w:tc>
          <w:tcPr/>
          <w:p>
            <w:pPr>
              <w:pStyle w:val="Compact"/>
              <w:bidi/>
              <w:jc w:val="left"/>
            </w:pPr>
            <w:r>
              <w:rPr>
                <w:rtl/>
              </w:rPr>
              <w:t xml:space="preserve">التحقق من الملاءة المالية للمستأجر للتأكد من قدرته على سداد مستحقات الإيجار</w:t>
            </w:r>
            <w:r>
              <w:rPr>
                <w:rtl/>
              </w:rPr>
              <w:t xml:space="preserve"> </w:t>
            </w:r>
            <w:r>
              <w:rPr>
                <w:rtl/>
                <w:bCs/>
                <w:b/>
              </w:rPr>
              <w:t xml:space="preserve">قبل إبرام العقد</w:t>
            </w:r>
            <w:r>
              <w:rPr>
                <w:rtl/>
              </w:rPr>
              <w:t xml:space="preserve">.</w:t>
            </w:r>
          </w:p>
        </w:tc>
      </w:tr>
      <w:tr>
        <w:tc>
          <w:tcPr/>
          <w:p>
            <w:pPr>
              <w:pStyle w:val="Compact"/>
              <w:bidi/>
              <w:jc w:val="left"/>
            </w:pPr>
            <w:r>
              <w:rPr>
                <w:rtl/>
              </w:rPr>
              <w:t xml:space="preserve">6. سريان الرخصة</w:t>
            </w:r>
          </w:p>
        </w:tc>
        <w:tc>
          <w:tcPr/>
          <w:p>
            <w:pPr>
              <w:pStyle w:val="Compact"/>
              <w:bidi/>
              <w:jc w:val="left"/>
            </w:pPr>
            <w:r>
              <w:rPr>
                <w:rtl/>
              </w:rPr>
              <w:t xml:space="preserve">إيجاد آلية تُلزم الشخص المعنوي بتزويد الجهة المؤجرة</w:t>
            </w:r>
            <w:r>
              <w:rPr>
                <w:rtl/>
              </w:rPr>
              <w:t xml:space="preserve"> </w:t>
            </w:r>
            <w:r>
              <w:rPr>
                <w:rtl/>
                <w:bCs/>
                <w:b/>
              </w:rPr>
              <w:t xml:space="preserve">بشكل دوري</w:t>
            </w:r>
            <w:r>
              <w:rPr>
                <w:rtl/>
              </w:rPr>
              <w:t xml:space="preserve"> </w:t>
            </w:r>
            <w:r>
              <w:rPr>
                <w:rtl/>
              </w:rPr>
              <w:t xml:space="preserve">بما يفيد استمرار سريان رخصته التجارية/المهنية. ضع الالتزام في العقد من البداية.</w:t>
            </w:r>
          </w:p>
        </w:tc>
      </w:tr>
      <w:tr>
        <w:tc>
          <w:tcPr/>
          <w:p>
            <w:pPr>
              <w:pStyle w:val="Compact"/>
              <w:bidi/>
              <w:jc w:val="left"/>
            </w:pPr>
            <w:r>
              <w:rPr>
                <w:rtl/>
              </w:rPr>
              <w:t xml:space="preserve">7. بيانات التواصل المحدّثة</w:t>
            </w:r>
          </w:p>
        </w:tc>
        <w:tc>
          <w:tcPr/>
          <w:p>
            <w:pPr>
              <w:pStyle w:val="Compact"/>
              <w:bidi/>
              <w:jc w:val="left"/>
            </w:pPr>
            <w:r>
              <w:rPr>
                <w:rtl/>
              </w:rPr>
              <w:t xml:space="preserve">إيجاد آلية تُلزم الشخص المعنوي بتزويد الجهة ببيانات التواصل المحدّثة،</w:t>
            </w:r>
            <w:r>
              <w:rPr>
                <w:rtl/>
              </w:rPr>
              <w:t xml:space="preserve"> </w:t>
            </w:r>
            <w:r>
              <w:rPr>
                <w:rtl/>
                <w:bCs/>
                <w:b/>
              </w:rPr>
              <w:t xml:space="preserve">وأهمها البريد الإلكتروني والهاتف المتحرك</w:t>
            </w:r>
            <w:r>
              <w:rPr>
                <w:rtl/>
              </w:rPr>
              <w:t xml:space="preserve">.</w:t>
            </w:r>
          </w:p>
        </w:tc>
      </w:tr>
    </w:tbl>
    <w:bookmarkEnd w:id="41"/>
    <w:bookmarkStart w:id="42" w:name="X5efe1b0a77067e436164c1f49688b768c24f11b"/>
    <w:p>
      <w:pPr>
        <w:pStyle w:val="Heading3"/>
        <w:bidi/>
      </w:pPr>
      <w:r>
        <w:rPr>
          <w:rtl/>
        </w:rPr>
        <w:t xml:space="preserve">3.3 · Text › Paragraph</w:t>
      </w:r>
    </w:p>
    <w:p>
      <w:pPr>
        <w:bidi/>
      </w:pPr>
      <w:r>
        <w:rPr>
          <w:rtl/>
          <w:bCs/>
          <w:b/>
        </w:rPr>
        <w:t xml:space="preserve">لماذا يهم ذلك عند الإخلاء؟</w:t>
      </w:r>
      <w:r>
        <w:rPr>
          <w:rtl/>
        </w:rPr>
        <w:t xml:space="preserve"> </w:t>
      </w:r>
      <w:r>
        <w:rPr>
          <w:rtl/>
        </w:rPr>
        <w:t xml:space="preserve">الرخصة السارية تثبت صفة ممثل المستأجر، وبيانات التواصل المحدّثة هي ما يجعل الإخطار والإعلان ممكنين. مستأجر بلا رخصة سارية ولا بريد فعّال يعني ملفًا أبطأ وأضعف.</w:t>
      </w:r>
    </w:p>
    <w:bookmarkEnd w:id="42"/>
    <w:bookmarkStart w:id="43" w:name="Xb5cf00ac23e454f5c56c17959d955318d7cf38a"/>
    <w:p>
      <w:pPr>
        <w:pStyle w:val="Heading3"/>
        <w:bidi/>
      </w:pPr>
      <w:r>
        <w:rPr>
          <w:rtl/>
        </w:rPr>
        <w:t xml:space="preserve">3.4 · Knowledge Check › Multiple Choice</w:t>
      </w:r>
    </w:p>
    <w:p>
      <w:pPr>
        <w:bidi/>
      </w:pPr>
      <w:r>
        <w:rPr>
          <w:rtl/>
          <w:bCs/>
          <w:b/>
        </w:rPr>
        <w:t xml:space="preserve">Question:</w:t>
      </w:r>
      <w:r>
        <w:rPr>
          <w:rtl/>
        </w:rPr>
        <w:t xml:space="preserve"> </w:t>
      </w:r>
      <w:r>
        <w:rPr>
          <w:rtl/>
        </w:rPr>
        <w:t xml:space="preserve">شركة ستستأجر مستودعًا من الجهة. ما الإجراء الذي يجب</w:t>
      </w:r>
      <w:r>
        <w:rPr>
          <w:rtl/>
        </w:rPr>
        <w:t xml:space="preserve"> </w:t>
      </w:r>
      <w:r>
        <w:rPr>
          <w:rtl/>
          <w:bCs/>
          <w:b/>
        </w:rPr>
        <w:t xml:space="preserve">قبل</w:t>
      </w:r>
      <w:r>
        <w:rPr>
          <w:rtl/>
        </w:rPr>
        <w:t xml:space="preserve"> </w:t>
      </w:r>
      <w:r>
        <w:rPr>
          <w:rtl/>
        </w:rPr>
        <w:t xml:space="preserve">التوقيع؟</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التحقق من ملاءتها المالية وقدرتها على السداد | ✅ | صحيح، التوصية الأولى. |</w:t>
      </w:r>
      <w:r>
        <w:rPr>
          <w:rtl/>
        </w:rPr>
        <w:t xml:space="preserve"> </w:t>
      </w:r>
      <w:r>
        <w:rPr>
          <w:rtl/>
        </w:rPr>
        <w:t xml:space="preserve">| B | مراجعة شاملة لالتزامها بعد سنتين | | هذه توصية متابعة أثناء السريان، لا قبل التوقيع. |</w:t>
      </w:r>
      <w:r>
        <w:rPr>
          <w:rtl/>
        </w:rPr>
        <w:t xml:space="preserve"> </w:t>
      </w:r>
      <w:r>
        <w:rPr>
          <w:rtl/>
        </w:rPr>
        <w:t xml:space="preserve">| C | إرسال إخطار بالبريد المسجل | | الإخطار إجراء تصعيدي عند التقاعس. |</w:t>
      </w:r>
    </w:p>
    <w:bookmarkEnd w:id="43"/>
    <w:bookmarkStart w:id="44" w:name="X525a6d0b2f2c17d3efdf7587111e098611cb0cc"/>
    <w:p>
      <w:pPr>
        <w:pStyle w:val="Heading3"/>
        <w:bidi/>
      </w:pPr>
      <w:r>
        <w:rPr>
          <w:rtl/>
        </w:rPr>
        <w:t xml:space="preserve">3.5 · Knowledge Check › Multiple Response</w:t>
      </w:r>
    </w:p>
    <w:p>
      <w:pPr>
        <w:bidi/>
      </w:pPr>
      <w:r>
        <w:rPr>
          <w:rtl/>
          <w:bCs/>
          <w:b/>
        </w:rPr>
        <w:t xml:space="preserve">Question:</w:t>
      </w:r>
      <w:r>
        <w:rPr>
          <w:rtl/>
        </w:rPr>
        <w:t xml:space="preserve"> </w:t>
      </w:r>
      <w:r>
        <w:rPr>
          <w:rtl/>
        </w:rPr>
        <w:t xml:space="preserve">أيٌّ مما يلي يجب أن يلتزم الشخص المعنوي بتزويد الجهة به دوريًا؟</w:t>
      </w:r>
      <w:r>
        <w:rPr>
          <w:rtl/>
        </w:rPr>
        <w:t xml:space="preserve"> </w:t>
      </w:r>
      <w:r>
        <w:rPr>
          <w:rtl/>
        </w:rPr>
        <w:t xml:space="preserve">| | Option | Correct |</w:t>
      </w:r>
      <w:r>
        <w:rPr>
          <w:rtl/>
        </w:rPr>
        <w:t xml:space="preserve"> </w:t>
      </w:r>
      <w:r>
        <w:rPr>
          <w:rtl/>
        </w:rPr>
        <w:t xml:space="preserve">|---|---|---|</w:t>
      </w:r>
      <w:r>
        <w:rPr>
          <w:rtl/>
        </w:rPr>
        <w:t xml:space="preserve"> </w:t>
      </w:r>
      <w:r>
        <w:rPr>
          <w:rtl/>
        </w:rPr>
        <w:t xml:space="preserve">| A | ما يفيد استمرار سريان الرخصة التجارية/المهنية | ✅ |</w:t>
      </w:r>
      <w:r>
        <w:rPr>
          <w:rtl/>
        </w:rPr>
        <w:t xml:space="preserve"> </w:t>
      </w:r>
      <w:r>
        <w:rPr>
          <w:rtl/>
        </w:rPr>
        <w:t xml:space="preserve">| B | البريد الإلكتروني المحدّث | ✅ |</w:t>
      </w:r>
      <w:r>
        <w:rPr>
          <w:rtl/>
        </w:rPr>
        <w:t xml:space="preserve"> </w:t>
      </w:r>
      <w:r>
        <w:rPr>
          <w:rtl/>
        </w:rPr>
        <w:t xml:space="preserve">| C | الهاتف المتحرك المحدّث | ✅ |</w:t>
      </w:r>
      <w:r>
        <w:rPr>
          <w:rtl/>
        </w:rPr>
        <w:t xml:space="preserve"> </w:t>
      </w:r>
      <w:r>
        <w:rPr>
          <w:rtl/>
        </w:rPr>
        <w:t xml:space="preserve">| D | قوائمه المالية الشهرية | |</w:t>
      </w:r>
      <w:r>
        <w:rPr>
          <w:rtl/>
        </w:rPr>
        <w:t xml:space="preserve"> </w:t>
      </w:r>
      <w:r>
        <w:rPr>
          <w:rtl/>
          <w:bCs/>
          <w:b/>
        </w:rPr>
        <w:t xml:space="preserve">Feedback:</w:t>
      </w:r>
      <w:r>
        <w:rPr>
          <w:rtl/>
        </w:rPr>
        <w:t xml:space="preserve"> </w:t>
      </w:r>
      <w:r>
        <w:rPr>
          <w:rtl/>
        </w:rPr>
        <w:t xml:space="preserve">التوصيتان 6 و7: سريان الرخصة، وبيانات التواصل المحدّثة وأهمها البريد الإلكتروني والهاتف المتحرك.</w:t>
      </w:r>
    </w:p>
    <w:bookmarkEnd w:id="44"/>
    <w:bookmarkStart w:id="45" w:name="X4ef650cd474eda020964d4d3978f0f1a9093844"/>
    <w:p>
      <w:pPr>
        <w:pStyle w:val="Heading3"/>
        <w:bidi/>
      </w:pPr>
      <w:r>
        <w:rPr>
          <w:rtl/>
        </w:rPr>
        <w:t xml:space="preserve">3.6 · Divider › Continue</w:t>
      </w:r>
    </w:p>
    <w:p>
      <w:r>
        <w:pict>
          <v:rect style="width:0;height:1.5pt" o:hralign="center" o:hrstd="t" o:hr="t"/>
        </w:pict>
      </w:r>
    </w:p>
    <w:bookmarkEnd w:id="45"/>
    <w:bookmarkEnd w:id="46"/>
    <w:bookmarkStart w:id="56" w:name="X81db7a5d72299310856b66d69273d28dd6c52bf"/>
    <w:p>
      <w:pPr>
        <w:pStyle w:val="Heading2"/>
        <w:bidi/>
      </w:pPr>
      <w:r>
        <w:rPr>
          <w:rtl/>
        </w:rPr>
        <w:t xml:space="preserve">LESSON 4 — ثانيًا (ب و ج): المتابعة والتصعيد</w:t>
      </w:r>
      <w:r>
        <w:rPr>
          <w:rtl/>
        </w:rPr>
        <w:t xml:space="preserve"> </w:t>
      </w:r>
      <w:r>
        <w:rPr>
          <w:rStyle w:val="VerbatimChar"/>
          <w:rtl/>
        </w:rPr>
        <w:t xml:space="preserve">Blank lesson</w:t>
      </w:r>
    </w:p>
    <w:bookmarkStart w:id="47" w:name="X6c2eb5b88039535d99b27e3f0bc6c41837b3f55"/>
    <w:p>
      <w:pPr>
        <w:pStyle w:val="Heading3"/>
        <w:bidi/>
      </w:pPr>
      <w:r>
        <w:rPr>
          <w:rtl/>
        </w:rPr>
        <w:t xml:space="preserve">4.1 · Text › Heading</w:t>
      </w:r>
    </w:p>
    <w:p>
      <w:pPr>
        <w:bidi/>
      </w:pPr>
      <w:r>
        <w:rPr>
          <w:rtl/>
          <w:bCs/>
          <w:b/>
        </w:rPr>
        <w:t xml:space="preserve">Heading:</w:t>
      </w:r>
      <w:r>
        <w:rPr>
          <w:rtl/>
        </w:rPr>
        <w:t xml:space="preserve"> </w:t>
      </w:r>
      <w:r>
        <w:rPr>
          <w:rtl/>
        </w:rPr>
        <w:t xml:space="preserve">(ب) المتابعة أثناء سريان العقد</w:t>
      </w:r>
    </w:p>
    <w:bookmarkEnd w:id="47"/>
    <w:bookmarkStart w:id="48" w:name="X96d5c0082a93389937852204c8b7d2631315b0b"/>
    <w:p>
      <w:pPr>
        <w:pStyle w:val="Heading3"/>
        <w:bidi/>
      </w:pPr>
      <w:r>
        <w:rPr>
          <w:rtl/>
        </w:rPr>
        <w:t xml:space="preserve">4.2 · Interactive › Accordion — 4 items</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2</w:t>
            </w:r>
          </w:p>
        </w:tc>
        <w:tc>
          <w:tcPr/>
          <w:p>
            <w:pPr>
              <w:pStyle w:val="Compact"/>
              <w:bidi/>
              <w:jc w:val="left"/>
            </w:pPr>
            <w:r>
              <w:rPr>
                <w:rtl/>
              </w:rPr>
              <w:t xml:space="preserve">متابعة دورية دقيقة</w:t>
            </w:r>
          </w:p>
        </w:tc>
        <w:tc>
          <w:tcPr/>
          <w:p>
            <w:pPr>
              <w:pStyle w:val="Compact"/>
              <w:bidi/>
              <w:jc w:val="left"/>
            </w:pPr>
            <w:r>
              <w:rPr>
                <w:rtl/>
              </w:rPr>
              <w:t xml:space="preserve">المتابعة الدورية الدقيقة لعقود الإيجار السارية.</w:t>
            </w:r>
          </w:p>
        </w:tc>
      </w:tr>
      <w:tr>
        <w:tc>
          <w:tcPr/>
          <w:p>
            <w:pPr>
              <w:pStyle w:val="Compact"/>
              <w:bidi/>
              <w:jc w:val="left"/>
            </w:pPr>
            <w:r>
              <w:rPr>
                <w:rtl/>
              </w:rPr>
              <w:t xml:space="preserve">3</w:t>
            </w:r>
          </w:p>
        </w:tc>
        <w:tc>
          <w:tcPr/>
          <w:p>
            <w:pPr>
              <w:pStyle w:val="Compact"/>
              <w:bidi/>
              <w:jc w:val="left"/>
            </w:pPr>
            <w:r>
              <w:rPr>
                <w:rtl/>
              </w:rPr>
              <w:t xml:space="preserve">معاينة دورية للمأجور</w:t>
            </w:r>
          </w:p>
        </w:tc>
        <w:tc>
          <w:tcPr/>
          <w:p>
            <w:pPr>
              <w:pStyle w:val="Compact"/>
              <w:bidi/>
              <w:jc w:val="left"/>
            </w:pPr>
            <w:r>
              <w:rPr>
                <w:rtl/>
              </w:rPr>
              <w:t xml:space="preserve">للتأكد من</w:t>
            </w:r>
            <w:r>
              <w:rPr>
                <w:rtl/>
              </w:rPr>
              <w:t xml:space="preserve"> </w:t>
            </w:r>
            <w:r>
              <w:rPr>
                <w:rtl/>
                <w:bCs/>
                <w:b/>
              </w:rPr>
              <w:t xml:space="preserve">استمرار وجود المستأجر</w:t>
            </w:r>
            <w:r>
              <w:rPr>
                <w:rtl/>
              </w:rPr>
              <w:t xml:space="preserve"> </w:t>
            </w:r>
            <w:r>
              <w:rPr>
                <w:rtl/>
              </w:rPr>
              <w:t xml:space="preserve">(سكني وتجاري) و</w:t>
            </w:r>
            <w:r>
              <w:rPr>
                <w:rtl/>
                <w:bCs/>
                <w:b/>
              </w:rPr>
              <w:t xml:space="preserve">استمرار النشاط التجاري</w:t>
            </w:r>
            <w:r>
              <w:rPr>
                <w:rtl/>
              </w:rPr>
              <w:t xml:space="preserve"> </w:t>
            </w:r>
            <w:r>
              <w:rPr>
                <w:rtl/>
              </w:rPr>
              <w:t xml:space="preserve">(تجاري).</w:t>
            </w:r>
          </w:p>
        </w:tc>
      </w:tr>
      <w:tr>
        <w:tc>
          <w:tcPr/>
          <w:p>
            <w:pPr>
              <w:pStyle w:val="Compact"/>
              <w:bidi/>
              <w:jc w:val="left"/>
            </w:pPr>
            <w:r>
              <w:rPr>
                <w:rtl/>
              </w:rPr>
              <w:t xml:space="preserve">4</w:t>
            </w:r>
          </w:p>
        </w:tc>
        <w:tc>
          <w:tcPr/>
          <w:p>
            <w:pPr>
              <w:pStyle w:val="Compact"/>
              <w:bidi/>
              <w:jc w:val="left"/>
            </w:pPr>
            <w:r>
              <w:rPr>
                <w:rtl/>
              </w:rPr>
              <w:t xml:space="preserve">مراجعة العقود بعد سنتين</w:t>
            </w:r>
          </w:p>
        </w:tc>
        <w:tc>
          <w:tcPr/>
          <w:p>
            <w:pPr>
              <w:pStyle w:val="Compact"/>
              <w:bidi/>
              <w:jc w:val="left"/>
            </w:pPr>
            <w:r>
              <w:rPr>
                <w:rtl/>
              </w:rPr>
              <w:t xml:space="preserve">آلية لمراجعة شاملة لعقود الإيجار التي مضى على إبرامها</w:t>
            </w:r>
            <w:r>
              <w:rPr>
                <w:rtl/>
              </w:rPr>
              <w:t xml:space="preserve"> </w:t>
            </w:r>
            <w:r>
              <w:rPr>
                <w:rtl/>
                <w:bCs/>
                <w:b/>
              </w:rPr>
              <w:t xml:space="preserve">أكثر من سنتين</w:t>
            </w:r>
            <w:r>
              <w:rPr>
                <w:rtl/>
              </w:rPr>
              <w:t xml:space="preserve"> </w:t>
            </w:r>
            <w:r>
              <w:rPr>
                <w:rtl/>
              </w:rPr>
              <w:t xml:space="preserve">للوقوف على مدى التزام المستأجر بمستحقات الجهة.</w:t>
            </w:r>
          </w:p>
        </w:tc>
      </w:tr>
      <w:tr>
        <w:tc>
          <w:tcPr/>
          <w:p>
            <w:pPr>
              <w:pStyle w:val="Compact"/>
              <w:bidi/>
              <w:jc w:val="left"/>
            </w:pPr>
            <w:r>
              <w:rPr>
                <w:rtl/>
              </w:rPr>
              <w:t xml:space="preserve">5</w:t>
            </w:r>
          </w:p>
        </w:tc>
        <w:tc>
          <w:tcPr/>
          <w:p>
            <w:pPr>
              <w:pStyle w:val="Compact"/>
              <w:bidi/>
              <w:jc w:val="left"/>
            </w:pPr>
            <w:r>
              <w:rPr>
                <w:rtl/>
              </w:rPr>
              <w:t xml:space="preserve">مؤشر تحذير قبل التجديد</w:t>
            </w:r>
          </w:p>
        </w:tc>
        <w:tc>
          <w:tcPr/>
          <w:p>
            <w:pPr>
              <w:pStyle w:val="Compact"/>
              <w:bidi/>
              <w:jc w:val="left"/>
            </w:pPr>
            <w:r>
              <w:rPr>
                <w:rtl/>
              </w:rPr>
              <w:t xml:space="preserve">آلية للحصول على مؤشر يحذّر من</w:t>
            </w:r>
            <w:r>
              <w:rPr>
                <w:rtl/>
              </w:rPr>
              <w:t xml:space="preserve"> </w:t>
            </w:r>
            <w:r>
              <w:rPr>
                <w:rtl/>
                <w:bCs/>
                <w:b/>
              </w:rPr>
              <w:t xml:space="preserve">استمرار تجديد</w:t>
            </w:r>
            <w:r>
              <w:rPr>
                <w:rtl/>
              </w:rPr>
              <w:t xml:space="preserve"> </w:t>
            </w:r>
            <w:r>
              <w:rPr>
                <w:rtl/>
              </w:rPr>
              <w:t xml:space="preserve">العقود التي لم يلتزم فيها المستأجر بسداد الأجرة وملحقاتها في موعدها.</w:t>
            </w:r>
          </w:p>
        </w:tc>
      </w:tr>
    </w:tbl>
    <w:bookmarkEnd w:id="48"/>
    <w:bookmarkStart w:id="49" w:name="Xbb72d5228f58e4548e478558a193870b7f34d80"/>
    <w:p>
      <w:pPr>
        <w:pStyle w:val="Heading3"/>
        <w:bidi/>
      </w:pPr>
      <w:r>
        <w:rPr>
          <w:rtl/>
        </w:rPr>
        <w:t xml:space="preserve">4.3 · Statement › Note</w:t>
      </w:r>
    </w:p>
    <w:p>
      <w:pPr>
        <w:bidi/>
      </w:pPr>
      <w:r>
        <w:rPr>
          <w:rtl/>
          <w:bCs/>
          <w:b/>
        </w:rPr>
        <w:t xml:space="preserve">الربط بالقانون:</w:t>
      </w:r>
      <w:r>
        <w:rPr>
          <w:rtl/>
        </w:rPr>
        <w:t xml:space="preserve"> </w:t>
      </w:r>
      <w:r>
        <w:rPr>
          <w:rtl/>
        </w:rPr>
        <w:t xml:space="preserve">العقد يتجدد تلقائيًا بالسكوت. مؤشر التحذير (التوصية 5) هو ما يمنع تجديد عقد متعثر دون قرار واعٍ من الجهة.</w:t>
      </w:r>
    </w:p>
    <w:bookmarkEnd w:id="49"/>
    <w:bookmarkStart w:id="50" w:name="Xbdd3064b8f4fc2768778c6f89d1758cd3e43dc7"/>
    <w:p>
      <w:pPr>
        <w:pStyle w:val="Heading3"/>
        <w:bidi/>
      </w:pPr>
      <w:r>
        <w:rPr>
          <w:rtl/>
        </w:rPr>
        <w:t xml:space="preserve">4.4 · Knowledge Check › Multiple Choice</w:t>
      </w:r>
    </w:p>
    <w:p>
      <w:pPr>
        <w:bidi/>
      </w:pPr>
      <w:r>
        <w:rPr>
          <w:rtl/>
          <w:bCs/>
          <w:b/>
        </w:rPr>
        <w:t xml:space="preserve">Question:</w:t>
      </w:r>
      <w:r>
        <w:rPr>
          <w:rtl/>
        </w:rPr>
        <w:t xml:space="preserve"> </w:t>
      </w:r>
      <w:r>
        <w:rPr>
          <w:rtl/>
        </w:rPr>
        <w:t xml:space="preserve">المعاينة الدورية لمحل تجاري كشفت أنه مغلق منذ أسابيع. لماذا يهم ذلك قانونيًا؟</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الترك دون سبب مشروع 30 يومًا متصلة أو 90 متقطعة سبب للإخلاء قبل انتهاء العقد | ✅ | صحيح. ابدأ الآن بإثبات الترك (التوصية 10). |</w:t>
      </w:r>
      <w:r>
        <w:rPr>
          <w:rtl/>
        </w:rPr>
        <w:t xml:space="preserve"> </w:t>
      </w:r>
      <w:r>
        <w:rPr>
          <w:rtl/>
        </w:rPr>
        <w:t xml:space="preserve">| B | لا أثر قانوني ما دامت الأجرة مدفوعة | | الترك سبب مستقل للإخلاء في المحل التجاري، ولو دُفعت الأجرة. |</w:t>
      </w:r>
      <w:r>
        <w:rPr>
          <w:rtl/>
        </w:rPr>
        <w:t xml:space="preserve"> </w:t>
      </w:r>
      <w:r>
        <w:rPr>
          <w:rtl/>
        </w:rPr>
        <w:t xml:space="preserve">| C | يجيز الإخلاء فورًا دون أي مدة | | يلزم بلوغ 30 يومًا متصلة أو 90 متقطعة في السنة. |</w:t>
      </w:r>
    </w:p>
    <w:bookmarkEnd w:id="50"/>
    <w:bookmarkStart w:id="51" w:name="X72ab5169e330dc2553a10300f3f3495d59f4ffd"/>
    <w:p>
      <w:pPr>
        <w:pStyle w:val="Heading3"/>
        <w:bidi/>
      </w:pPr>
      <w:r>
        <w:rPr>
          <w:rtl/>
        </w:rPr>
        <w:t xml:space="preserve">4.5 · Text › Heading</w:t>
      </w:r>
    </w:p>
    <w:p>
      <w:pPr>
        <w:bidi/>
      </w:pPr>
      <w:r>
        <w:rPr>
          <w:rtl/>
          <w:bCs/>
          <w:b/>
        </w:rPr>
        <w:t xml:space="preserve">Heading:</w:t>
      </w:r>
      <w:r>
        <w:rPr>
          <w:rtl/>
        </w:rPr>
        <w:t xml:space="preserve"> </w:t>
      </w:r>
      <w:r>
        <w:rPr>
          <w:rtl/>
        </w:rPr>
        <w:t xml:space="preserve">(ج) التصعيد عند التقاعس</w:t>
      </w:r>
    </w:p>
    <w:bookmarkEnd w:id="51"/>
    <w:bookmarkStart w:id="52" w:name="X8df397e94de322d2f126532bd3bc1d37ebab7b5"/>
    <w:p>
      <w:pPr>
        <w:pStyle w:val="Heading3"/>
        <w:bidi/>
      </w:pPr>
      <w:r>
        <w:rPr>
          <w:rtl/>
        </w:rPr>
        <w:t xml:space="preserve">4.6 · Interactive › Process — 4 steps</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8</w:t>
            </w:r>
          </w:p>
        </w:tc>
        <w:tc>
          <w:tcPr/>
          <w:p>
            <w:pPr>
              <w:pStyle w:val="Compact"/>
              <w:bidi/>
              <w:jc w:val="left"/>
            </w:pPr>
            <w:r>
              <w:rPr>
                <w:rtl/>
              </w:rPr>
              <w:t xml:space="preserve">إجراء كتابي في وقت معقول</w:t>
            </w:r>
          </w:p>
        </w:tc>
        <w:tc>
          <w:tcPr/>
          <w:p>
            <w:pPr>
              <w:pStyle w:val="Compact"/>
              <w:bidi/>
              <w:jc w:val="left"/>
            </w:pPr>
            <w:r>
              <w:rPr>
                <w:rtl/>
              </w:rPr>
              <w:t xml:space="preserve">توجيه إجراء كتابي للمستأجر —</w:t>
            </w:r>
            <w:r>
              <w:rPr>
                <w:rtl/>
              </w:rPr>
              <w:t xml:space="preserve"> </w:t>
            </w:r>
            <w:r>
              <w:rPr>
                <w:rtl/>
                <w:bCs/>
                <w:b/>
              </w:rPr>
              <w:t xml:space="preserve">بريد مسجل، بريد إلكتروني، رسالة نصية</w:t>
            </w:r>
            <w:r>
              <w:rPr>
                <w:rtl/>
              </w:rPr>
              <w:t xml:space="preserve"> </w:t>
            </w:r>
            <w:r>
              <w:rPr>
                <w:rtl/>
              </w:rPr>
              <w:t xml:space="preserve">— خلال فترة زمنية معقولة من تاريخ ثبوت تقاعسه عن سداد الأجرة وملحقاتها.</w:t>
            </w:r>
          </w:p>
        </w:tc>
      </w:tr>
      <w:tr>
        <w:tc>
          <w:tcPr/>
          <w:p>
            <w:pPr>
              <w:pStyle w:val="Compact"/>
              <w:bidi/>
              <w:jc w:val="left"/>
            </w:pPr>
            <w:r>
              <w:rPr>
                <w:rtl/>
              </w:rPr>
              <w:t xml:space="preserve">9</w:t>
            </w:r>
          </w:p>
        </w:tc>
        <w:tc>
          <w:tcPr/>
          <w:p>
            <w:pPr>
              <w:pStyle w:val="Compact"/>
              <w:bidi/>
              <w:jc w:val="left"/>
            </w:pPr>
            <w:r>
              <w:rPr>
                <w:rtl/>
              </w:rPr>
              <w:t xml:space="preserve">البريد الإلكتروني للحث والإثبات</w:t>
            </w:r>
          </w:p>
        </w:tc>
        <w:tc>
          <w:tcPr/>
          <w:p>
            <w:pPr>
              <w:pStyle w:val="Compact"/>
              <w:bidi/>
              <w:jc w:val="left"/>
            </w:pPr>
            <w:r>
              <w:rPr>
                <w:rtl/>
              </w:rPr>
              <w:t xml:space="preserve">التواصل بالبريد الإلكتروني لحثّه على تنفيذ التزاماته بغرض تسوية مديونيته،</w:t>
            </w:r>
            <w:r>
              <w:rPr>
                <w:rtl/>
              </w:rPr>
              <w:t xml:space="preserve"> </w:t>
            </w:r>
            <w:r>
              <w:rPr>
                <w:rtl/>
                <w:bCs/>
                <w:b/>
              </w:rPr>
              <w:t xml:space="preserve">وبهدف إثبات واقعة الامتناع</w:t>
            </w:r>
            <w:r>
              <w:rPr>
                <w:rtl/>
              </w:rPr>
              <w:t xml:space="preserve">.</w:t>
            </w:r>
          </w:p>
        </w:tc>
      </w:tr>
      <w:tr>
        <w:tc>
          <w:tcPr/>
          <w:p>
            <w:pPr>
              <w:pStyle w:val="Compact"/>
              <w:bidi/>
              <w:jc w:val="left"/>
            </w:pPr>
            <w:r>
              <w:rPr>
                <w:rtl/>
              </w:rPr>
              <w:t xml:space="preserve">10</w:t>
            </w:r>
          </w:p>
        </w:tc>
        <w:tc>
          <w:tcPr/>
          <w:p>
            <w:pPr>
              <w:pStyle w:val="Compact"/>
              <w:bidi/>
              <w:jc w:val="left"/>
            </w:pPr>
            <w:r>
              <w:rPr>
                <w:rtl/>
              </w:rPr>
              <w:t xml:space="preserve">إثبات الترك أو توقف النشاط</w:t>
            </w:r>
          </w:p>
        </w:tc>
        <w:tc>
          <w:tcPr/>
          <w:p>
            <w:pPr>
              <w:pStyle w:val="Compact"/>
              <w:bidi/>
              <w:jc w:val="left"/>
            </w:pPr>
            <w:r>
              <w:rPr>
                <w:rtl/>
              </w:rPr>
              <w:t xml:space="preserve">إثبات ترك المستأجر للمأجور أو توقف النشاط التجاري إذا بلغ</w:t>
            </w:r>
            <w:r>
              <w:rPr>
                <w:rtl/>
              </w:rPr>
              <w:t xml:space="preserve"> </w:t>
            </w:r>
            <w:r>
              <w:rPr>
                <w:rtl/>
                <w:bCs/>
                <w:b/>
              </w:rPr>
              <w:t xml:space="preserve">30 يومًا متصلة أو 90 يومًا متقطعة</w:t>
            </w:r>
            <w:r>
              <w:rPr>
                <w:rtl/>
              </w:rPr>
              <w:t xml:space="preserve">.</w:t>
            </w:r>
          </w:p>
        </w:tc>
      </w:tr>
      <w:tr>
        <w:tc>
          <w:tcPr/>
          <w:p>
            <w:pPr>
              <w:pStyle w:val="Compact"/>
              <w:bidi/>
              <w:jc w:val="left"/>
            </w:pPr>
            <w:r>
              <w:rPr>
                <w:rtl/>
              </w:rPr>
              <w:t xml:space="preserve">11</w:t>
            </w:r>
          </w:p>
        </w:tc>
        <w:tc>
          <w:tcPr/>
          <w:p>
            <w:pPr>
              <w:pStyle w:val="Compact"/>
              <w:bidi/>
              <w:jc w:val="left"/>
            </w:pPr>
            <w:r>
              <w:rPr>
                <w:rtl/>
              </w:rPr>
              <w:t xml:space="preserve">إخطار دائرة الشؤون القانونية</w:t>
            </w:r>
          </w:p>
        </w:tc>
        <w:tc>
          <w:tcPr/>
          <w:p>
            <w:pPr>
              <w:pStyle w:val="Compact"/>
              <w:bidi/>
              <w:jc w:val="left"/>
            </w:pPr>
            <w:r>
              <w:rPr>
                <w:rtl/>
              </w:rPr>
              <w:t xml:space="preserve">عند استمرار الامتناع عن السداد، أو عدم الالتزام بالأجل الذي طلبه للسداد، أو عدم الاستجابة للإخطار الكتابي — لاتخاذ الإجراء القانوني اللازم.</w:t>
            </w:r>
          </w:p>
        </w:tc>
      </w:tr>
    </w:tbl>
    <w:bookmarkEnd w:id="52"/>
    <w:bookmarkStart w:id="53" w:name="X9ced03b52dc03ce7e436c1b54128983773529a8"/>
    <w:p>
      <w:pPr>
        <w:pStyle w:val="Heading3"/>
        <w:bidi/>
      </w:pPr>
      <w:r>
        <w:rPr>
          <w:rtl/>
        </w:rPr>
        <w:t xml:space="preserve">4.7 · Statement › Note</w:t>
      </w:r>
    </w:p>
    <w:p>
      <w:pPr>
        <w:bidi/>
      </w:pPr>
      <w:r>
        <w:rPr>
          <w:rtl/>
          <w:bCs/>
          <w:b/>
        </w:rPr>
        <w:t xml:space="preserve">تنبيه:</w:t>
      </w:r>
      <w:r>
        <w:rPr>
          <w:rtl/>
        </w:rPr>
        <w:t xml:space="preserve"> </w:t>
      </w:r>
      <w:r>
        <w:rPr>
          <w:rtl/>
        </w:rPr>
        <w:t xml:space="preserve">البريد الإلكتروني والرسائل النصية أدوات ممتازة للحث والإثبات. لكن</w:t>
      </w:r>
      <w:r>
        <w:rPr>
          <w:rtl/>
        </w:rPr>
        <w:t xml:space="preserve"> </w:t>
      </w:r>
      <w:r>
        <w:rPr>
          <w:rtl/>
          <w:bCs/>
          <w:b/>
        </w:rPr>
        <w:t xml:space="preserve">إخطار الإخلاء</w:t>
      </w:r>
      <w:r>
        <w:rPr>
          <w:rtl/>
        </w:rPr>
        <w:t xml:space="preserve"> </w:t>
      </w:r>
      <w:r>
        <w:rPr>
          <w:rtl/>
        </w:rPr>
        <w:t xml:space="preserve">بموجب المادة 25 يكون</w:t>
      </w:r>
      <w:r>
        <w:rPr>
          <w:rtl/>
        </w:rPr>
        <w:t xml:space="preserve"> </w:t>
      </w:r>
      <w:r>
        <w:rPr>
          <w:rtl/>
          <w:bCs/>
          <w:b/>
        </w:rPr>
        <w:t xml:space="preserve">بالكاتب العدل أو البريد المسجل</w:t>
      </w:r>
      <w:r>
        <w:rPr>
          <w:rtl/>
        </w:rPr>
        <w:t xml:space="preserve">. لا تخلط بين الأداتين.</w:t>
      </w:r>
    </w:p>
    <w:bookmarkEnd w:id="53"/>
    <w:bookmarkStart w:id="54" w:name="Xc005fc31578eac28ab14c437bcdb815e0c728d2"/>
    <w:p>
      <w:pPr>
        <w:pStyle w:val="Heading3"/>
        <w:bidi/>
      </w:pPr>
      <w:r>
        <w:rPr>
          <w:rtl/>
        </w:rPr>
        <w:t xml:space="preserve">4.8 · Knowledge Check › Multiple Choice</w:t>
      </w:r>
    </w:p>
    <w:p>
      <w:pPr>
        <w:bidi/>
      </w:pPr>
      <w:r>
        <w:rPr>
          <w:rtl/>
          <w:bCs/>
          <w:b/>
        </w:rPr>
        <w:t xml:space="preserve">Question:</w:t>
      </w:r>
      <w:r>
        <w:rPr>
          <w:rtl/>
        </w:rPr>
        <w:t xml:space="preserve"> </w:t>
      </w:r>
      <w:r>
        <w:rPr>
          <w:rtl/>
        </w:rPr>
        <w:t xml:space="preserve">المستأجر طلب مهلة أسبوعين للسداد ولم يلتزم بها، ولم يرد على البريد الإلكتروني. ما الخطوة التالية؟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إخطار دائرة الشؤون القانونية لاتخاذ الإجراء القانوني | ✅ | صحيح، التوصية 11: عدم الالتزام بالأجل الذي طلبه. |</w:t>
      </w:r>
      <w:r>
        <w:rPr>
          <w:rtl/>
        </w:rPr>
        <w:t xml:space="preserve"> </w:t>
      </w:r>
      <w:r>
        <w:rPr>
          <w:rtl/>
        </w:rPr>
        <w:t xml:space="preserve">| B | منحه مهلة جديدة دون توثيق | | الانتظار دون توثيق يضعف موقف الجهة ويؤخر حقوقها. |</w:t>
      </w:r>
      <w:r>
        <w:rPr>
          <w:rtl/>
        </w:rPr>
        <w:t xml:space="preserve"> </w:t>
      </w:r>
      <w:r>
        <w:rPr>
          <w:rtl/>
        </w:rPr>
        <w:t xml:space="preserve">| C | تجديد العقد على أمل السداد لاحقًا | | هذا ما يحذر منه مؤشر التجديد (التوصية 5). |</w:t>
      </w:r>
    </w:p>
    <w:bookmarkEnd w:id="54"/>
    <w:bookmarkStart w:id="55" w:name="X402ffe0dbbb9073e8295fc5671c852a39105cc7"/>
    <w:p>
      <w:pPr>
        <w:pStyle w:val="Heading3"/>
        <w:bidi/>
      </w:pPr>
      <w:r>
        <w:rPr>
          <w:rtl/>
        </w:rPr>
        <w:t xml:space="preserve">4.9 · Divider › Continue</w:t>
      </w:r>
    </w:p>
    <w:p>
      <w:r>
        <w:pict>
          <v:rect style="width:0;height:1.5pt" o:hralign="center" o:hrstd="t" o:hr="t"/>
        </w:pict>
      </w:r>
    </w:p>
    <w:bookmarkEnd w:id="55"/>
    <w:bookmarkEnd w:id="56"/>
    <w:bookmarkStart w:id="63" w:name="lesson-5--تمارين-الحالات-blank-lesson"/>
    <w:p>
      <w:pPr>
        <w:pStyle w:val="Heading2"/>
        <w:bidi/>
      </w:pPr>
      <w:r>
        <w:rPr>
          <w:rtl/>
        </w:rPr>
        <w:t xml:space="preserve">LESSON 5 — تمارين: الحالات</w:t>
      </w:r>
      <w:r>
        <w:rPr>
          <w:rtl/>
        </w:rPr>
        <w:t xml:space="preserve"> </w:t>
      </w:r>
      <w:r>
        <w:rPr>
          <w:rStyle w:val="VerbatimChar"/>
          <w:rtl/>
        </w:rPr>
        <w:t xml:space="preserve">Blank lesson</w:t>
      </w:r>
    </w:p>
    <w:bookmarkStart w:id="57" w:name="X85685747d4d5e95e548cc463872b88a3c6f9b05"/>
    <w:p>
      <w:pPr>
        <w:pStyle w:val="Heading3"/>
        <w:bidi/>
      </w:pPr>
      <w:r>
        <w:rPr>
          <w:rtl/>
        </w:rPr>
        <w:t xml:space="preserve">5.1 · Text › Heading + paragraph</w:t>
      </w:r>
    </w:p>
    <w:p>
      <w:pPr>
        <w:bidi/>
      </w:pPr>
      <w:r>
        <w:rPr>
          <w:rtl/>
          <w:bCs/>
          <w:b/>
        </w:rPr>
        <w:t xml:space="preserve">Heading:</w:t>
      </w:r>
      <w:r>
        <w:rPr>
          <w:rtl/>
        </w:rPr>
        <w:t xml:space="preserve"> </w:t>
      </w:r>
      <w:r>
        <w:rPr>
          <w:rtl/>
        </w:rPr>
        <w:t xml:space="preserve">طبّق على حالات واقعية</w:t>
      </w:r>
      <w:r>
        <w:rPr>
          <w:rtl/>
        </w:rPr>
        <w:t xml:space="preserve"> </w:t>
      </w:r>
      <w:r>
        <w:rPr>
          <w:rtl/>
          <w:bCs/>
          <w:b/>
        </w:rPr>
        <w:t xml:space="preserve">Body:</w:t>
      </w:r>
      <w:r>
        <w:rPr>
          <w:rtl/>
        </w:rPr>
        <w:t xml:space="preserve"> </w:t>
      </w:r>
      <w:r>
        <w:rPr>
          <w:rtl/>
        </w:rPr>
        <w:t xml:space="preserve">لكل حالة: ما السبب القانوني (إن وُجد)؟ وما الإجراء الصحيح الآن؟</w:t>
      </w:r>
    </w:p>
    <w:bookmarkEnd w:id="57"/>
    <w:bookmarkStart w:id="58" w:name="Xdb72a11d0ff2221b0886b10937877d87aa35b4f"/>
    <w:p>
      <w:pPr>
        <w:pStyle w:val="Heading3"/>
        <w:bidi/>
      </w:pPr>
      <w:r>
        <w:rPr>
          <w:rtl/>
        </w:rPr>
        <w:t xml:space="preserve">5.2 · Interactive › Sorting Activity — 3 piles, 9 cards</w:t>
      </w:r>
    </w:p>
    <w:p>
      <w:pPr>
        <w:bidi/>
      </w:pPr>
      <w:r>
        <w:rPr>
          <w:rtl/>
          <w:bCs/>
          <w:b/>
        </w:rPr>
        <w:t xml:space="preserve">Instructions:</w:t>
      </w:r>
      <w:r>
        <w:rPr>
          <w:rtl/>
        </w:rPr>
        <w:t xml:space="preserve"> </w:t>
      </w:r>
      <w:r>
        <w:rPr>
          <w:rtl/>
        </w:rPr>
        <w:t xml:space="preserve">في أي مرحلة يُطبَّق هذا الإجراء؟</w:t>
      </w:r>
      <w:r>
        <w:rPr>
          <w:rtl/>
        </w:rPr>
        <w:t xml:space="preserve"> </w:t>
      </w:r>
      <w:r>
        <w:rPr>
          <w:rtl/>
        </w:rPr>
        <w:t xml:space="preserve">| Card | Pile |</w:t>
      </w:r>
      <w:r>
        <w:rPr>
          <w:rtl/>
        </w:rPr>
        <w:t xml:space="preserve"> </w:t>
      </w:r>
      <w:r>
        <w:rPr>
          <w:rtl/>
        </w:rPr>
        <w:t xml:space="preserve">|---|---|</w:t>
      </w:r>
      <w:r>
        <w:rPr>
          <w:rtl/>
        </w:rPr>
        <w:t xml:space="preserve"> </w:t>
      </w:r>
      <w:r>
        <w:rPr>
          <w:rtl/>
        </w:rPr>
        <w:t xml:space="preserve">| التحقق من الملاءة المالية | قبل إبرام العقد |</w:t>
      </w:r>
      <w:r>
        <w:rPr>
          <w:rtl/>
        </w:rPr>
        <w:t xml:space="preserve"> </w:t>
      </w:r>
      <w:r>
        <w:rPr>
          <w:rtl/>
        </w:rPr>
        <w:t xml:space="preserve">| الالتزام بتقديم ما يفيد سريان الرخصة دوريًا | قبل إبرام العقد |</w:t>
      </w:r>
      <w:r>
        <w:rPr>
          <w:rtl/>
        </w:rPr>
        <w:t xml:space="preserve"> </w:t>
      </w:r>
      <w:r>
        <w:rPr>
          <w:rtl/>
        </w:rPr>
        <w:t xml:space="preserve">| الالتزام بتحديث البريد الإلكتروني والهاتف | قبل إبرام العقد |</w:t>
      </w:r>
      <w:r>
        <w:rPr>
          <w:rtl/>
        </w:rPr>
        <w:t xml:space="preserve"> </w:t>
      </w:r>
      <w:r>
        <w:rPr>
          <w:rtl/>
        </w:rPr>
        <w:t xml:space="preserve">| المعاينة الدورية للمأجور | أثناء السريان |</w:t>
      </w:r>
      <w:r>
        <w:rPr>
          <w:rtl/>
        </w:rPr>
        <w:t xml:space="preserve"> </w:t>
      </w:r>
      <w:r>
        <w:rPr>
          <w:rtl/>
        </w:rPr>
        <w:t xml:space="preserve">| مراجعة العقود بعد مضي سنتين | أثناء السريان |</w:t>
      </w:r>
      <w:r>
        <w:rPr>
          <w:rtl/>
        </w:rPr>
        <w:t xml:space="preserve"> </w:t>
      </w:r>
      <w:r>
        <w:rPr>
          <w:rtl/>
        </w:rPr>
        <w:t xml:space="preserve">| مؤشر التحذير قبل التجديد | أثناء السريان |</w:t>
      </w:r>
      <w:r>
        <w:rPr>
          <w:rtl/>
        </w:rPr>
        <w:t xml:space="preserve"> </w:t>
      </w:r>
      <w:r>
        <w:rPr>
          <w:rtl/>
        </w:rPr>
        <w:t xml:space="preserve">| إجراء كتابي بعد ثبوت التقاعس | عند التقاعس |</w:t>
      </w:r>
      <w:r>
        <w:rPr>
          <w:rtl/>
        </w:rPr>
        <w:t xml:space="preserve"> </w:t>
      </w:r>
      <w:r>
        <w:rPr>
          <w:rtl/>
        </w:rPr>
        <w:t xml:space="preserve">| إثبات ترك المأجور 30/90 يومًا | عند التقاعس |</w:t>
      </w:r>
      <w:r>
        <w:rPr>
          <w:rtl/>
        </w:rPr>
        <w:t xml:space="preserve"> </w:t>
      </w:r>
      <w:r>
        <w:rPr>
          <w:rtl/>
        </w:rPr>
        <w:t xml:space="preserve">| إخطار دائرة الشؤون القانونية | عند التقاعس |</w:t>
      </w:r>
    </w:p>
    <w:bookmarkEnd w:id="58"/>
    <w:bookmarkStart w:id="59" w:name="Xae677fa2f48d9acbf1e59523ad33f9c56761254"/>
    <w:p>
      <w:pPr>
        <w:pStyle w:val="Heading3"/>
        <w:bidi/>
      </w:pPr>
      <w:r>
        <w:rPr>
          <w:rtl/>
        </w:rPr>
        <w:t xml:space="preserve">5.3 · Knowledge Check › Multiple Choice — الحالة 1</w:t>
      </w:r>
    </w:p>
    <w:p>
      <w:pPr>
        <w:bidi/>
      </w:pPr>
      <w:r>
        <w:rPr>
          <w:rtl/>
          <w:bCs/>
          <w:b/>
        </w:rPr>
        <w:t xml:space="preserve">Question:</w:t>
      </w:r>
      <w:r>
        <w:rPr>
          <w:rtl/>
        </w:rPr>
        <w:t xml:space="preserve"> </w:t>
      </w:r>
      <w:r>
        <w:rPr>
          <w:rtl/>
        </w:rPr>
        <w:t xml:space="preserve">عقد سكني لجهة حكومية تجدد تلقائيًا ثلاث مرات، والمستأجر يتأخر كل سنة. لم يُرصد ذلك حتى بلغت المتأخرات أجرة سنة كاملة. ما التوصية التي كانت ستمنع ذلك؟</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مؤشر التحذير من تجديد العقود المتعثرة + مراجعة العقود بعد سنتين | ✅ | صحيح: التوصيتان 4 و5. |</w:t>
      </w:r>
      <w:r>
        <w:rPr>
          <w:rtl/>
        </w:rPr>
        <w:t xml:space="preserve"> </w:t>
      </w:r>
      <w:r>
        <w:rPr>
          <w:rtl/>
        </w:rPr>
        <w:t xml:space="preserve">| B | التحقق من الملاءة قبل التوقيع فقط | | مفيد، لكن المشكلة هنا استمرار التجديد دون رصد. |</w:t>
      </w:r>
      <w:r>
        <w:rPr>
          <w:rtl/>
        </w:rPr>
        <w:t xml:space="preserve"> </w:t>
      </w:r>
      <w:r>
        <w:rPr>
          <w:rtl/>
        </w:rPr>
        <w:t xml:space="preserve">| C | لا شيء؛ التجديد التلقائي لا يمكن منعه | | يمكن منعه بالإخطار الصحيح في الموعد، إذا رُصد التعثر مبكرًا. |</w:t>
      </w:r>
    </w:p>
    <w:bookmarkEnd w:id="59"/>
    <w:bookmarkStart w:id="60" w:name="X1864f71cad0b4ff01921ce7627661d35f91b741"/>
    <w:p>
      <w:pPr>
        <w:pStyle w:val="Heading3"/>
        <w:bidi/>
      </w:pPr>
      <w:r>
        <w:rPr>
          <w:rtl/>
        </w:rPr>
        <w:t xml:space="preserve">5.4 · Knowledge Check › Multiple Choice — الحالة 2</w:t>
      </w:r>
    </w:p>
    <w:p>
      <w:pPr>
        <w:bidi/>
      </w:pPr>
      <w:r>
        <w:rPr>
          <w:rtl/>
          <w:bCs/>
          <w:b/>
        </w:rPr>
        <w:t xml:space="preserve">Question:</w:t>
      </w:r>
      <w:r>
        <w:rPr>
          <w:rtl/>
        </w:rPr>
        <w:t xml:space="preserve"> </w:t>
      </w:r>
      <w:r>
        <w:rPr>
          <w:rtl/>
        </w:rPr>
        <w:t xml:space="preserve">شركة مستأجرة لم ترد على رسائل البريد الإلكتروني، واتضح أن رخصتها منتهية منذ ستة أشهر. ما الدرس؟</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كان يجب إلزامها في العقد بتقديم ما يفيد سريان الرخصة وتحديث بيانات التواصل دوريًا | ✅ | صحيح: التوصيتان 6 و7. |</w:t>
      </w:r>
      <w:r>
        <w:rPr>
          <w:rtl/>
        </w:rPr>
        <w:t xml:space="preserve"> </w:t>
      </w:r>
      <w:r>
        <w:rPr>
          <w:rtl/>
        </w:rPr>
        <w:t xml:space="preserve">| B | لا يمكن مقاضاة شركة رخصتها منتهية | | ليس هذا ما يقوله المحور؛ الدرس هو الوقاية والمتابعة. |</w:t>
      </w:r>
      <w:r>
        <w:rPr>
          <w:rtl/>
        </w:rPr>
        <w:t xml:space="preserve"> </w:t>
      </w:r>
      <w:r>
        <w:rPr>
          <w:rtl/>
        </w:rPr>
        <w:t xml:space="preserve">| C | الحل إرسال البريد مجددًا حتى ترد | | الاستمرار دون تصعيد يؤخر الحقوق؛ انتقل إلى الإجراء الكتابي ثم الإحالة. |</w:t>
      </w:r>
    </w:p>
    <w:bookmarkEnd w:id="60"/>
    <w:bookmarkStart w:id="61" w:name="X3783c49fff232557f66d9b11d7dee90558d18ab"/>
    <w:p>
      <w:pPr>
        <w:pStyle w:val="Heading3"/>
        <w:bidi/>
      </w:pPr>
      <w:r>
        <w:rPr>
          <w:rtl/>
        </w:rPr>
        <w:t xml:space="preserve">5.5 · Knowledge Check › Multiple Choice — الحالة 3</w:t>
      </w:r>
    </w:p>
    <w:p>
      <w:pPr>
        <w:bidi/>
      </w:pPr>
      <w:r>
        <w:rPr>
          <w:rtl/>
          <w:bCs/>
          <w:b/>
        </w:rPr>
        <w:t xml:space="preserve">Question:</w:t>
      </w:r>
      <w:r>
        <w:rPr>
          <w:rtl/>
        </w:rPr>
        <w:t xml:space="preserve"> </w:t>
      </w:r>
      <w:r>
        <w:rPr>
          <w:rtl/>
        </w:rPr>
        <w:t xml:space="preserve">محل في مجمع تجاري حكومي مغلق 25 يومًا، ثم فُتح يومين، ثم أُغلق 20 يومًا أخرى. ماذا تفعل؟</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وثّق كل فترة إغلاق بتواريخها؛ إذا بلغت 90 يومًا متقطعة في السنة قام سبب الإخلاء | ✅ | صحيح. لم تبلغ أي فترة 30 يومًا متصلة، لذا راقب المجموع السنوي وأثبته. |</w:t>
      </w:r>
      <w:r>
        <w:rPr>
          <w:rtl/>
        </w:rPr>
        <w:t xml:space="preserve"> </w:t>
      </w:r>
      <w:r>
        <w:rPr>
          <w:rtl/>
        </w:rPr>
        <w:t xml:space="preserve">| B | اطلب الإخلاء فورًا لأن المجموع 45 يومًا | | 45 يومًا متقطعة لا تبلغ 90، ولا توجد فترة 30 يومًا متصلة. |</w:t>
      </w:r>
      <w:r>
        <w:rPr>
          <w:rtl/>
        </w:rPr>
        <w:t xml:space="preserve"> </w:t>
      </w:r>
      <w:r>
        <w:rPr>
          <w:rtl/>
        </w:rPr>
        <w:t xml:space="preserve">| C | لا شيء؛ المستأجر فتح المحل بين الفترتين | | الفتح المؤقت لا يُسقط حساب الأيام المتقطعة. |</w:t>
      </w:r>
    </w:p>
    <w:bookmarkEnd w:id="61"/>
    <w:bookmarkStart w:id="62" w:name="X2ab699d7211a87443a80fffadf8b361513b65b7"/>
    <w:p>
      <w:pPr>
        <w:pStyle w:val="Heading3"/>
        <w:bidi/>
      </w:pPr>
      <w:r>
        <w:rPr>
          <w:rtl/>
        </w:rPr>
        <w:t xml:space="preserve">5.6 · Divider › Continue</w:t>
      </w:r>
    </w:p>
    <w:p>
      <w:r>
        <w:pict>
          <v:rect style="width:0;height:1.5pt" o:hralign="center" o:hrstd="t" o:hr="t"/>
        </w:pict>
      </w:r>
    </w:p>
    <w:bookmarkEnd w:id="62"/>
    <w:bookmarkEnd w:id="63"/>
    <w:bookmarkStart w:id="69" w:name="lesson-6--ملخص-وخطة-عمل-blank-lesson"/>
    <w:p>
      <w:pPr>
        <w:pStyle w:val="Heading2"/>
        <w:bidi/>
      </w:pPr>
      <w:r>
        <w:rPr>
          <w:rtl/>
        </w:rPr>
        <w:t xml:space="preserve">LESSON 6 — ملخص وخطة عمل</w:t>
      </w:r>
      <w:r>
        <w:rPr>
          <w:rtl/>
        </w:rPr>
        <w:t xml:space="preserve"> </w:t>
      </w:r>
      <w:r>
        <w:rPr>
          <w:rStyle w:val="VerbatimChar"/>
          <w:rtl/>
        </w:rPr>
        <w:t xml:space="preserve">Blank lesson</w:t>
      </w:r>
    </w:p>
    <w:bookmarkStart w:id="64" w:name="X009d54f883c185035d62143cda010739d668ccc"/>
    <w:p>
      <w:pPr>
        <w:pStyle w:val="Heading3"/>
        <w:bidi/>
      </w:pPr>
      <w:r>
        <w:rPr>
          <w:rtl/>
        </w:rPr>
        <w:t xml:space="preserve">6.1 · Interactive › Flashcards — 4 cards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Front</w:t>
            </w:r>
          </w:p>
        </w:tc>
        <w:tc>
          <w:tcPr/>
          <w:p>
            <w:pPr>
              <w:pStyle w:val="Compact"/>
              <w:bidi/>
              <w:jc w:val="left"/>
            </w:pPr>
            <w:r>
              <w:rPr>
                <w:rtl/>
              </w:rPr>
              <w:t xml:space="preserve">Back</w:t>
            </w:r>
          </w:p>
        </w:tc>
      </w:tr>
      <w:tr>
        <w:tc>
          <w:tcPr/>
          <w:p>
            <w:pPr>
              <w:pStyle w:val="Compact"/>
              <w:bidi/>
              <w:jc w:val="left"/>
            </w:pPr>
            <w:r>
              <w:rPr>
                <w:rtl/>
              </w:rPr>
              <w:t xml:space="preserve">قبل التوقيع</w:t>
            </w:r>
          </w:p>
        </w:tc>
        <w:tc>
          <w:tcPr/>
          <w:p>
            <w:pPr>
              <w:pStyle w:val="Compact"/>
              <w:bidi/>
              <w:jc w:val="left"/>
            </w:pPr>
            <w:r>
              <w:rPr>
                <w:rtl/>
              </w:rPr>
              <w:t xml:space="preserve">الملاءة، سريان الرخصة دوريًا، بيانات التواصل المحدّثة.</w:t>
            </w:r>
          </w:p>
        </w:tc>
      </w:tr>
      <w:tr>
        <w:tc>
          <w:tcPr/>
          <w:p>
            <w:pPr>
              <w:pStyle w:val="Compact"/>
              <w:bidi/>
              <w:jc w:val="left"/>
            </w:pPr>
            <w:r>
              <w:rPr>
                <w:rtl/>
              </w:rPr>
              <w:t xml:space="preserve">أثناء السريان</w:t>
            </w:r>
          </w:p>
        </w:tc>
        <w:tc>
          <w:tcPr/>
          <w:p>
            <w:pPr>
              <w:pStyle w:val="Compact"/>
              <w:bidi/>
              <w:jc w:val="left"/>
            </w:pPr>
            <w:r>
              <w:rPr>
                <w:rtl/>
              </w:rPr>
              <w:t xml:space="preserve">متابعة دقيقة، معاينة دورية، مراجعة بعد سنتين، مؤشر تحذير قبل التجديد.</w:t>
            </w:r>
          </w:p>
        </w:tc>
      </w:tr>
      <w:tr>
        <w:tc>
          <w:tcPr/>
          <w:p>
            <w:pPr>
              <w:pStyle w:val="Compact"/>
              <w:bidi/>
              <w:jc w:val="left"/>
            </w:pPr>
            <w:r>
              <w:rPr>
                <w:rtl/>
              </w:rPr>
              <w:t xml:space="preserve">عند التقاعس</w:t>
            </w:r>
          </w:p>
        </w:tc>
        <w:tc>
          <w:tcPr/>
          <w:p>
            <w:pPr>
              <w:pStyle w:val="Compact"/>
              <w:bidi/>
              <w:jc w:val="left"/>
            </w:pPr>
            <w:r>
              <w:rPr>
                <w:rtl/>
              </w:rPr>
              <w:t xml:space="preserve">إجراء كتابي سريع، بريد إلكتروني للحث والإثبات، إثبات الترك 30/90.</w:t>
            </w:r>
          </w:p>
        </w:tc>
      </w:tr>
      <w:tr>
        <w:tc>
          <w:tcPr/>
          <w:p>
            <w:pPr>
              <w:pStyle w:val="Compact"/>
              <w:bidi/>
              <w:jc w:val="left"/>
            </w:pPr>
            <w:r>
              <w:rPr>
                <w:rtl/>
              </w:rPr>
              <w:t xml:space="preserve">الإحالة</w:t>
            </w:r>
          </w:p>
        </w:tc>
        <w:tc>
          <w:tcPr/>
          <w:p>
            <w:pPr>
              <w:pStyle w:val="Compact"/>
              <w:bidi/>
              <w:jc w:val="left"/>
            </w:pPr>
            <w:r>
              <w:rPr>
                <w:rtl/>
              </w:rPr>
              <w:t xml:space="preserve">إخطار دائرة الشؤون القانونية عند استمرار الامتناع أو عدم الالتزام بالأجل أو عدم الاستجابة.</w:t>
            </w:r>
          </w:p>
        </w:tc>
      </w:tr>
    </w:tbl>
    <w:bookmarkEnd w:id="64"/>
    <w:bookmarkStart w:id="65" w:name="X0adc65b327521644dea70223d56f61f2e6c10bd"/>
    <w:p>
      <w:pPr>
        <w:pStyle w:val="Heading3"/>
        <w:bidi/>
      </w:pPr>
      <w:r>
        <w:rPr>
          <w:rtl/>
        </w:rPr>
        <w:t xml:space="preserve">6.2 · Multimedia › Attachment</w:t>
      </w:r>
    </w:p>
    <w:p>
      <w:pPr>
        <w:bidi/>
      </w:pPr>
      <w:r>
        <w:rPr>
          <w:rtl/>
          <w:bCs/>
          <w:b/>
        </w:rPr>
        <w:t xml:space="preserve">File:</w:t>
      </w:r>
      <w:r>
        <w:rPr>
          <w:rtl/>
        </w:rPr>
        <w:t xml:space="preserve"> </w:t>
      </w:r>
      <w:r>
        <w:rPr>
          <w:rStyle w:val="VerbatimChar"/>
          <w:rtl/>
        </w:rPr>
        <w:t xml:space="preserve">LAD-M4-protective-measures-checklist.docx</w:t>
      </w:r>
      <w:r>
        <w:rPr>
          <w:rtl/>
        </w:rPr>
        <w:t xml:space="preserve"> </w:t>
      </w:r>
      <w:r>
        <w:rPr>
          <w:rtl/>
        </w:rPr>
        <w:t xml:space="preserve">—</w:t>
      </w:r>
      <w:r>
        <w:rPr>
          <w:rtl/>
        </w:rPr>
        <w:t xml:space="preserve"> </w:t>
      </w:r>
      <w:r>
        <w:rPr>
          <w:rtl/>
          <w:bCs/>
          <w:b/>
        </w:rPr>
        <w:t xml:space="preserve">Label:</w:t>
      </w:r>
      <w:r>
        <w:rPr>
          <w:rtl/>
        </w:rPr>
        <w:t xml:space="preserve"> </w:t>
      </w:r>
      <w:r>
        <w:rPr>
          <w:rtl/>
        </w:rPr>
        <w:t xml:space="preserve">قائمة التحقق: الإجراءات الوقائية والتصعيدية للجهة المؤجرة</w:t>
      </w:r>
    </w:p>
    <w:bookmarkEnd w:id="65"/>
    <w:bookmarkStart w:id="66" w:name="Xbad2072c60d80028b453bc3a79280803e15daac"/>
    <w:p>
      <w:pPr>
        <w:pStyle w:val="Heading3"/>
        <w:bidi/>
      </w:pPr>
      <w:r>
        <w:rPr>
          <w:rtl/>
        </w:rPr>
        <w:t xml:space="preserve">6.3 · Text › Paragraph (reflection prompt)</w:t>
      </w:r>
    </w:p>
    <w:p>
      <w:pPr>
        <w:bidi/>
      </w:pPr>
      <w:r>
        <w:rPr>
          <w:rtl/>
          <w:bCs/>
          <w:b/>
        </w:rPr>
        <w:t xml:space="preserve">خطة عمل:</w:t>
      </w:r>
      <w:r>
        <w:rPr>
          <w:rtl/>
        </w:rPr>
        <w:t xml:space="preserve"> </w:t>
      </w:r>
      <w:r>
        <w:rPr>
          <w:rtl/>
        </w:rPr>
        <w:t xml:space="preserve">اختر توصية واحدة من الإحدى عشرة لا تطبقها جهتك اليوم. من المسؤول عنها؟ وما أول خطوة لتطبيقها خلال الشهر القادم؟</w:t>
      </w:r>
    </w:p>
    <w:bookmarkEnd w:id="66"/>
    <w:bookmarkStart w:id="67" w:name="X6bed0bbd5437f79b4d8479ae39eb66f3757828a"/>
    <w:p>
      <w:pPr>
        <w:pStyle w:val="Heading3"/>
        <w:bidi/>
      </w:pPr>
      <w:r>
        <w:rPr>
          <w:rtl/>
        </w:rPr>
        <w:t xml:space="preserve">6.4 · Statement › Statement B</w:t>
      </w:r>
    </w:p>
    <w:p>
      <w:pPr>
        <w:bidi/>
      </w:pPr>
      <w:r>
        <w:rPr>
          <w:rtl/>
        </w:rPr>
        <w:t xml:space="preserve">الإخلاء هو آخر الطريق. حقوق الجهة تُحمى في كل مرحلة قبله.</w:t>
      </w:r>
    </w:p>
    <w:bookmarkEnd w:id="67"/>
    <w:bookmarkStart w:id="68" w:name="X460b585df75ffcabaef7cf596dc15c7105fced4"/>
    <w:p>
      <w:pPr>
        <w:pStyle w:val="Heading3"/>
        <w:bidi/>
      </w:pPr>
      <w:r>
        <w:rPr>
          <w:rtl/>
        </w:rPr>
        <w:t xml:space="preserve">6.5 · Divider › Continue</w:t>
      </w:r>
    </w:p>
    <w:p>
      <w:pPr>
        <w:bidi/>
      </w:pPr>
      <w:r>
        <w:rPr>
          <w:rtl/>
          <w:bCs/>
          <w:b/>
        </w:rPr>
        <w:t xml:space="preserve">Button label:</w:t>
      </w:r>
      <w:r>
        <w:rPr>
          <w:rtl/>
        </w:rPr>
        <w:t xml:space="preserve"> </w:t>
      </w:r>
      <w:r>
        <w:rPr>
          <w:rtl/>
        </w:rPr>
        <w:t xml:space="preserve">إلى الاختبار</w:t>
      </w:r>
    </w:p>
    <w:p>
      <w:r>
        <w:pict>
          <v:rect style="width:0;height:1.5pt" o:hralign="center" o:hrstd="t" o:hr="t"/>
        </w:pict>
      </w:r>
    </w:p>
    <w:bookmarkEnd w:id="68"/>
    <w:bookmarkEnd w:id="69"/>
    <w:bookmarkStart w:id="70" w:name="lesson-7--الاختبار-النهائي-quiz-lesson"/>
    <w:p>
      <w:pPr>
        <w:pStyle w:val="Heading2"/>
        <w:bidi/>
      </w:pPr>
      <w:r>
        <w:rPr>
          <w:rtl/>
        </w:rPr>
        <w:t xml:space="preserve">LESSON 7 — الاختبار النهائي</w:t>
      </w:r>
      <w:r>
        <w:rPr>
          <w:rtl/>
        </w:rPr>
        <w:t xml:space="preserve"> </w:t>
      </w:r>
      <w:r>
        <w:rPr>
          <w:rStyle w:val="VerbatimChar"/>
          <w:rtl/>
        </w:rPr>
        <w:t xml:space="preserve">Quiz lesson</w:t>
      </w:r>
    </w:p>
    <w:p>
      <w:pPr>
        <w:bidi/>
      </w:pPr>
      <w:r>
        <w:rPr>
          <w:rtl/>
          <w:bCs/>
          <w:b/>
        </w:rPr>
        <w:t xml:space="preserve">Settings:</w:t>
      </w:r>
      <w:r>
        <w:rPr>
          <w:rtl/>
        </w:rPr>
        <w:t xml:space="preserve"> </w:t>
      </w:r>
      <w:r>
        <w:rPr>
          <w:rtl/>
        </w:rPr>
        <w:t xml:space="preserve">Passing score 80% · Shuffle ON · Retry allowed · Report to LMS: pass/fail.</w:t>
      </w:r>
    </w:p>
    <w:p>
      <w:pPr>
        <w:bidi/>
      </w:pPr>
      <w:r>
        <w:rPr>
          <w:rtl/>
          <w:bCs/>
          <w:b/>
        </w:rPr>
        <w:t xml:space="preserve">Q1</w:t>
      </w:r>
      <w:r>
        <w:rPr>
          <w:rtl/>
        </w:rPr>
        <w:t xml:space="preserve"> </w:t>
      </w:r>
      <w:r>
        <w:rPr>
          <w:rtl/>
        </w:rPr>
        <w:t xml:space="preserve">— متى يقوم سبب الإخلاء لعدم السداد؟ ✅ عدم السداد خلال 30 يومًا من الإخطار بالسداد · فور التأخر · بعد 90 يومًا · عند انتهاء العقد.</w:t>
      </w:r>
      <w:r>
        <w:rPr>
          <w:rtl/>
        </w:rPr>
        <w:t xml:space="preserve"> </w:t>
      </w:r>
      <w:r>
        <w:rPr>
          <w:rtl/>
          <w:iCs/>
          <w:i/>
        </w:rPr>
        <w:t xml:space="preserve">(م. 25/1/أ.)</w:t>
      </w:r>
    </w:p>
    <w:p>
      <w:pPr>
        <w:bidi/>
      </w:pPr>
      <w:r>
        <w:rPr>
          <w:rtl/>
          <w:bCs/>
          <w:b/>
        </w:rPr>
        <w:t xml:space="preserve">Q2</w:t>
      </w:r>
      <w:r>
        <w:rPr>
          <w:rtl/>
        </w:rPr>
        <w:t xml:space="preserve"> </w:t>
      </w:r>
      <w:r>
        <w:rPr>
          <w:rtl/>
        </w:rPr>
        <w:t xml:space="preserve">— وسيلة إخطار الإخلاء بموجب المادة 25: ✅ الكاتب العدل أو البريد المسجل · البريد الإلكتروني · الرسالة النصية · الهاتف.</w:t>
      </w:r>
      <w:r>
        <w:rPr>
          <w:rtl/>
        </w:rPr>
        <w:t xml:space="preserve"> </w:t>
      </w:r>
      <w:r>
        <w:rPr>
          <w:rtl/>
          <w:iCs/>
          <w:i/>
        </w:rPr>
        <w:t xml:space="preserve">(م. 25.)</w:t>
      </w:r>
    </w:p>
    <w:p>
      <w:pPr>
        <w:bidi/>
      </w:pPr>
      <w:r>
        <w:rPr>
          <w:rtl/>
          <w:bCs/>
          <w:b/>
        </w:rPr>
        <w:t xml:space="preserve">Q3</w:t>
      </w:r>
      <w:r>
        <w:rPr>
          <w:rtl/>
        </w:rPr>
        <w:t xml:space="preserve"> </w:t>
      </w:r>
      <w:r>
        <w:rPr>
          <w:rtl/>
        </w:rPr>
        <w:t xml:space="preserve">— مهلة إخطار الإخلاء عند انتهاء العقد للبيع: ✅ 12 شهرًا على الأقل · 90 يومًا · 30 يومًا · 6 أشهر.</w:t>
      </w:r>
      <w:r>
        <w:rPr>
          <w:rtl/>
        </w:rPr>
        <w:t xml:space="preserve"> </w:t>
      </w:r>
      <w:r>
        <w:rPr>
          <w:rtl/>
          <w:iCs/>
          <w:i/>
        </w:rPr>
        <w:t xml:space="preserve">(م. 25/2.)</w:t>
      </w:r>
    </w:p>
    <w:p>
      <w:pPr>
        <w:bidi/>
      </w:pPr>
      <w:r>
        <w:rPr>
          <w:rtl/>
          <w:bCs/>
          <w:b/>
        </w:rPr>
        <w:t xml:space="preserve">Q4</w:t>
      </w:r>
      <w:r>
        <w:rPr>
          <w:rtl/>
        </w:rPr>
        <w:t xml:space="preserve"> </w:t>
      </w:r>
      <w:r>
        <w:rPr>
          <w:rtl/>
        </w:rPr>
        <w:t xml:space="preserve">— هل يوقف رفع دعوى الإخلاء استحقاق الأجرة؟ ✅ لا، حتى تنفيذ الحكم · نعم · نعم من تاريخ الحكم · يوقف الملحقات فقط.</w:t>
      </w:r>
      <w:r>
        <w:rPr>
          <w:rtl/>
        </w:rPr>
        <w:t xml:space="preserve"> </w:t>
      </w:r>
      <w:r>
        <w:rPr>
          <w:rtl/>
          <w:iCs/>
          <w:i/>
        </w:rPr>
        <w:t xml:space="preserve">(م. 31.)</w:t>
      </w:r>
    </w:p>
    <w:p>
      <w:pPr>
        <w:bidi/>
      </w:pPr>
      <w:r>
        <w:rPr>
          <w:rtl/>
          <w:bCs/>
          <w:b/>
        </w:rPr>
        <w:t xml:space="preserve">Q5</w:t>
      </w:r>
      <w:r>
        <w:rPr>
          <w:rtl/>
        </w:rPr>
        <w:t xml:space="preserve"> </w:t>
      </w:r>
      <w:r>
        <w:rPr>
          <w:rtl/>
        </w:rPr>
        <w:t xml:space="preserve">— أي التوصيات تُطبَّق</w:t>
      </w:r>
      <w:r>
        <w:rPr>
          <w:rtl/>
        </w:rPr>
        <w:t xml:space="preserve"> </w:t>
      </w:r>
      <w:r>
        <w:rPr>
          <w:rtl/>
          <w:bCs/>
          <w:b/>
        </w:rPr>
        <w:t xml:space="preserve">قبل</w:t>
      </w:r>
      <w:r>
        <w:rPr>
          <w:rtl/>
        </w:rPr>
        <w:t xml:space="preserve"> </w:t>
      </w:r>
      <w:r>
        <w:rPr>
          <w:rtl/>
        </w:rPr>
        <w:t xml:space="preserve">إبرام العقد؟ ✅ التحقق من الملاءة المالية · المعاينة الدورية · المراجعة بعد سنتين · إخطار دائرة الشؤون القانونية.</w:t>
      </w:r>
    </w:p>
    <w:p>
      <w:pPr>
        <w:bidi/>
      </w:pPr>
      <w:r>
        <w:rPr>
          <w:rtl/>
          <w:bCs/>
          <w:b/>
        </w:rPr>
        <w:t xml:space="preserve">Q6</w:t>
      </w:r>
      <w:r>
        <w:rPr>
          <w:rtl/>
        </w:rPr>
        <w:t xml:space="preserve"> </w:t>
      </w:r>
      <w:r>
        <w:rPr>
          <w:rtl/>
        </w:rPr>
        <w:t xml:space="preserve">— ما الغرض المزدوج من التواصل بالبريد الإلكتروني مع المستأجر المتقاعس؟ ✅ حثه على التسوية وإثبات واقعة الامتناع · إخطاره بالإخلاء رسميًا · تجديد العقد · تعديل الأجرة.</w:t>
      </w:r>
    </w:p>
    <w:p>
      <w:pPr>
        <w:bidi/>
      </w:pPr>
      <w:r>
        <w:rPr>
          <w:rtl/>
          <w:bCs/>
          <w:b/>
        </w:rPr>
        <w:t xml:space="preserve">Q7 (Multiple Response)</w:t>
      </w:r>
      <w:r>
        <w:rPr>
          <w:rtl/>
        </w:rPr>
        <w:t xml:space="preserve"> </w:t>
      </w:r>
      <w:r>
        <w:rPr>
          <w:rtl/>
        </w:rPr>
        <w:t xml:space="preserve">— متى تُخطَر دائرة الشؤون القانونية؟ ✅ استمرار الامتناع عن السداد · ✅ عدم الالتزام بالأجل الذي طلبه المستأجر · ✅ عدم الاستجابة للإخطار الكتابي · أول تأخير بيوم واحد.</w:t>
      </w:r>
    </w:p>
    <w:p>
      <w:pPr>
        <w:bidi/>
      </w:pPr>
      <w:r>
        <w:rPr>
          <w:rtl/>
          <w:bCs/>
          <w:b/>
        </w:rPr>
        <w:t xml:space="preserve">Q8</w:t>
      </w:r>
      <w:r>
        <w:rPr>
          <w:rtl/>
        </w:rPr>
        <w:t xml:space="preserve"> </w:t>
      </w:r>
      <w:r>
        <w:rPr>
          <w:rtl/>
        </w:rPr>
        <w:t xml:space="preserve">— ما الذي يمنع استمرار تجديد عقود المستأجرين المتعثرين؟ ✅ مؤشر تحذير قبل التجديد · التحقق من الملاءة · تحديث البريد الإلكتروني · المعاينة الدورية.</w:t>
      </w:r>
    </w:p>
    <w:p>
      <w:pPr>
        <w:bidi/>
      </w:pPr>
      <w:r>
        <w:rPr>
          <w:rtl/>
          <w:bCs/>
          <w:b/>
        </w:rPr>
        <w:t xml:space="preserve">Result (pass):</w:t>
      </w:r>
      <w:r>
        <w:rPr>
          <w:rtl/>
        </w:rPr>
        <w:t xml:space="preserve"> </w:t>
      </w:r>
      <w:r>
        <w:rPr>
          <w:rtl/>
        </w:rPr>
        <w:t xml:space="preserve">أحسنت — أنت جاهز لحماية حقوق جهتك قبل النزاع وأثناءه.</w:t>
      </w:r>
      <w:r>
        <w:rPr>
          <w:rtl/>
        </w:rPr>
        <w:t xml:space="preserve"> </w:t>
      </w:r>
      <w:r>
        <w:rPr>
          <w:rtl/>
          <w:bCs/>
          <w:b/>
        </w:rPr>
        <w:t xml:space="preserve">Result (fail):</w:t>
      </w:r>
      <w:r>
        <w:rPr>
          <w:rtl/>
        </w:rPr>
        <w:t xml:space="preserve"> </w:t>
      </w:r>
      <w:r>
        <w:rPr>
          <w:rtl/>
        </w:rPr>
        <w:t xml:space="preserve">راجع الدرسين 2 و4 ثم أعد المحاولة.</w:t>
      </w:r>
    </w:p>
    <w:p>
      <w:r>
        <w:pict>
          <v:rect style="width:0;height:1.5pt" o:hralign="center" o:hrstd="t" o:hr="t"/>
        </w:pict>
      </w:r>
    </w:p>
    <w:bookmarkEnd w:id="70"/>
    <w:bookmarkStart w:id="71" w:name="asset-list"/>
    <w:p>
      <w:pPr>
        <w:pStyle w:val="Heading2"/>
        <w:bidi/>
      </w:pPr>
      <w:r>
        <w:rPr>
          <w:rtl/>
        </w:rPr>
        <w:t xml:space="preserve">Asset list</w:t>
      </w:r>
    </w:p>
    <w:tbl>
      <w:tblPr>
        <w:bidiVisual/>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Asset</w:t>
            </w:r>
          </w:p>
        </w:tc>
        <w:tc>
          <w:tcPr/>
          <w:p>
            <w:pPr>
              <w:pStyle w:val="Compact"/>
              <w:bidi/>
              <w:jc w:val="left"/>
            </w:pPr>
            <w:r>
              <w:rPr>
                <w:rtl/>
              </w:rPr>
              <w:t xml:space="preserve">Used in</w:t>
            </w:r>
          </w:p>
        </w:tc>
        <w:tc>
          <w:tcPr/>
          <w:p>
            <w:pPr>
              <w:pStyle w:val="Compact"/>
              <w:bidi/>
              <w:jc w:val="left"/>
            </w:pPr>
            <w:r>
              <w:rPr>
                <w:rtl/>
              </w:rPr>
              <w:t xml:space="preserve">Status</w:t>
            </w:r>
          </w:p>
        </w:tc>
      </w:tr>
      <w:tr>
        <w:tc>
          <w:tcPr/>
          <w:p>
            <w:pPr>
              <w:pStyle w:val="Compact"/>
              <w:bidi/>
              <w:jc w:val="left"/>
            </w:pPr>
            <w:r>
              <w:rPr>
                <w:rtl/>
              </w:rPr>
              <w:t xml:space="preserve">1</w:t>
            </w:r>
          </w:p>
        </w:tc>
        <w:tc>
          <w:tcPr/>
          <w:p>
            <w:pPr>
              <w:pStyle w:val="Compact"/>
              <w:bidi/>
              <w:jc w:val="left"/>
            </w:pPr>
            <w:r>
              <w:rPr>
                <w:rtl/>
              </w:rPr>
              <w:t xml:space="preserve">Banner image (government building / keys)</w:t>
            </w:r>
          </w:p>
        </w:tc>
        <w:tc>
          <w:tcPr/>
          <w:p>
            <w:pPr>
              <w:pStyle w:val="Compact"/>
              <w:bidi/>
              <w:jc w:val="left"/>
            </w:pPr>
            <w:r>
              <w:rPr>
                <w:rtl/>
              </w:rPr>
              <w:t xml:space="preserve">1.1</w:t>
            </w:r>
          </w:p>
        </w:tc>
        <w:tc>
          <w:tcPr/>
          <w:p>
            <w:pPr>
              <w:pStyle w:val="Compact"/>
              <w:bidi/>
              <w:jc w:val="left"/>
            </w:pPr>
            <w:r>
              <w:rPr>
                <w:rStyle w:val="VerbatimChar"/>
                <w:rtl/>
              </w:rPr>
              <w:t xml:space="preserve">[ASSET NEEDED]</w:t>
            </w:r>
          </w:p>
        </w:tc>
      </w:tr>
      <w:tr>
        <w:tc>
          <w:tcPr/>
          <w:p>
            <w:pPr>
              <w:pStyle w:val="Compact"/>
              <w:bidi/>
              <w:jc w:val="left"/>
            </w:pPr>
            <w:r>
              <w:rPr>
                <w:rtl/>
              </w:rPr>
              <w:t xml:space="preserve">2</w:t>
            </w:r>
          </w:p>
        </w:tc>
        <w:tc>
          <w:tcPr/>
          <w:p>
            <w:pPr>
              <w:pStyle w:val="Compact"/>
              <w:bidi/>
              <w:jc w:val="left"/>
            </w:pPr>
            <w:r>
              <w:rPr>
                <w:rStyle w:val="VerbatimChar"/>
                <w:rtl/>
              </w:rPr>
              <w:t xml:space="preserve">LAD-M4-protective-measures-checklist.docx</w:t>
            </w:r>
          </w:p>
        </w:tc>
        <w:tc>
          <w:tcPr/>
          <w:p>
            <w:pPr>
              <w:pStyle w:val="Compact"/>
              <w:bidi/>
              <w:jc w:val="left"/>
            </w:pPr>
            <w:r>
              <w:rPr>
                <w:rtl/>
              </w:rPr>
              <w:t xml:space="preserve">6.2</w:t>
            </w:r>
          </w:p>
        </w:tc>
        <w:tc>
          <w:tcPr/>
          <w:p>
            <w:pPr>
              <w:pStyle w:val="Compact"/>
              <w:bidi/>
              <w:jc w:val="left"/>
            </w:pPr>
            <w:r>
              <w:rPr>
                <w:rtl/>
              </w:rPr>
              <w:t xml:space="preserve">✅ in this folder</w:t>
            </w:r>
          </w:p>
        </w:tc>
      </w:tr>
    </w:tbl>
    <w:bookmarkEnd w:id="71"/>
    <w:bookmarkStart w:id="72" w:name="build-checklist"/>
    <w:p>
      <w:pPr>
        <w:pStyle w:val="Heading2"/>
        <w:bidi/>
      </w:pPr>
      <w:r>
        <w:rPr>
          <w:rtl/>
        </w:rPr>
        <w:t xml:space="preserve">Build checklist</w:t>
      </w:r>
    </w:p>
    <w:p>
      <w:pPr>
        <w:numPr>
          <w:ilvl w:val="0"/>
          <w:numId w:val="1004"/>
        </w:numPr>
        <w:pStyle w:val="Compact"/>
        <w:bidi/>
      </w:pPr>
      <w:r>
        <w:rPr>
          <w:rtl/>
        </w:rPr>
        <w:t xml:space="preserve">☐ Create course; Arabic (RTL); Arabic player labels; LAD theme</w:t>
      </w:r>
    </w:p>
    <w:p>
      <w:pPr>
        <w:numPr>
          <w:ilvl w:val="0"/>
          <w:numId w:val="1004"/>
        </w:numPr>
        <w:pStyle w:val="Compact"/>
        <w:bidi/>
      </w:pPr>
      <w:r>
        <w:rPr>
          <w:rtl/>
        </w:rPr>
        <w:t xml:space="preserve">☐ Build Lessons 1–6 as Blank lessons; Lesson 7 as Quiz (80%)</w:t>
      </w:r>
    </w:p>
    <w:p>
      <w:pPr>
        <w:numPr>
          <w:ilvl w:val="0"/>
          <w:numId w:val="1004"/>
        </w:numPr>
        <w:pStyle w:val="Compact"/>
        <w:bidi/>
      </w:pPr>
      <w:r>
        <w:rPr>
          <w:rtl/>
        </w:rPr>
        <w:t xml:space="preserve">☐ Module author confirms the derived training objective and the full text of Article 19</w:t>
      </w:r>
    </w:p>
    <w:p>
      <w:pPr>
        <w:numPr>
          <w:ilvl w:val="0"/>
          <w:numId w:val="1004"/>
        </w:numPr>
        <w:pStyle w:val="Compact"/>
        <w:bidi/>
      </w:pPr>
      <w:r>
        <w:rPr>
          <w:rtl/>
        </w:rPr>
        <w:t xml:space="preserve">☐ Attach the checklist docx in 6.2; upload the banner</w:t>
      </w:r>
    </w:p>
    <w:p>
      <w:pPr>
        <w:numPr>
          <w:ilvl w:val="0"/>
          <w:numId w:val="1004"/>
        </w:numPr>
        <w:pStyle w:val="Compact"/>
        <w:bidi/>
      </w:pPr>
      <w:r>
        <w:rPr>
          <w:rtl/>
        </w:rPr>
        <w:t xml:space="preserve">☐ Legal check of article text against the current consolidated law</w:t>
      </w:r>
    </w:p>
    <w:p>
      <w:pPr>
        <w:numPr>
          <w:ilvl w:val="0"/>
          <w:numId w:val="1004"/>
        </w:numPr>
        <w:pStyle w:val="Compact"/>
        <w:bidi/>
      </w:pPr>
      <w:r>
        <w:rPr>
          <w:rtl/>
        </w:rPr>
        <w:t xml:space="preserve">☐ Preview desktop + mobile; check RTL in sorting activity and process blocks</w:t>
      </w:r>
    </w:p>
    <w:p>
      <w:pPr>
        <w:numPr>
          <w:ilvl w:val="0"/>
          <w:numId w:val="1004"/>
        </w:numPr>
        <w:pStyle w:val="Compact"/>
        <w:bidi/>
      </w:pPr>
      <w:r>
        <w:rPr>
          <w:rtl/>
        </w:rPr>
        <w:t xml:space="preserve">☐ Export SCORM / xAPI, completion = pass quiz</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2026-10-07T08:12:47Z</dcterms:created>
  <dcterms:modified xsi:type="dcterms:W3CDTF">2026-10-07T08:12:47Z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pagetitle">
    <vt:lpwstr>LAD M4</vt:lpwstr>
  </property>
</Properties>
</file>