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before="0"/>
        <w:jc w:val="center"/>
      </w:pPr>
      <w:r>
        <w:rPr>
          <w:rFonts w:ascii="Arial" w:cs="Arial" w:eastAsia="Arial" w:hAnsi="Arial"/>
          <w:b/>
          <w:bCs/>
          <w:color w:val="1B2A4A"/>
          <w:sz w:val="52"/>
          <w:szCs w:val="52"/>
        </w:rPr>
        <w:t xml:space="preserve">BETOPIA LIMITED</w:t>
      </w:r>
    </w:p>
    <w:p>
      <w:pPr>
        <w:spacing w:after="80" w:before="0"/>
        <w:jc w:val="center"/>
      </w:pPr>
      <w:r>
        <w:rPr>
          <w:rFonts w:ascii="Arial" w:cs="Arial" w:eastAsia="Arial" w:hAnsi="Arial"/>
          <w:b/>
          <w:bCs/>
          <w:color w:val="E8192C"/>
          <w:sz w:val="40"/>
          <w:szCs w:val="40"/>
        </w:rPr>
        <w:t xml:space="preserve">&amp; BETOPIA GROUP</w:t>
      </w:r>
    </w:p>
    <w:p>
      <w:pPr>
        <w:pBdr>
          <w:bottom w:val="single" w:color="E8192C" w:sz="12"/>
        </w:pBdr>
        <w:spacing w:after="80" w:before="80"/>
      </w:pPr>
    </w:p>
    <w:p>
      <w:pPr>
        <w:spacing w:after="120" w:before="240"/>
        <w:jc w:val="center"/>
      </w:pPr>
      <w:r>
        <w:rPr>
          <w:rFonts w:ascii="Arial" w:cs="Arial" w:eastAsia="Arial" w:hAnsi="Arial"/>
          <w:b/>
          <w:bCs/>
          <w:color w:val="1B2A4A"/>
          <w:sz w:val="48"/>
          <w:szCs w:val="48"/>
        </w:rPr>
        <w:t xml:space="preserve">PRIVACY POLICY</w:t>
      </w:r>
    </w:p>
    <w:p>
      <w:pPr>
        <w:spacing w:after="480" w:before="0"/>
        <w:jc w:val="center"/>
      </w:pPr>
      <w:r>
        <w:rPr>
          <w:rFonts w:ascii="Arial" w:cs="Arial" w:eastAsia="Arial" w:hAnsi="Arial"/>
          <w:i/>
          <w:iCs/>
          <w:color w:val="666666"/>
          <w:sz w:val="24"/>
          <w:szCs w:val="24"/>
        </w:rPr>
        <w:t xml:space="preserve">GDPR · UK GDPR · CCPA · PDPA (Bangladesh) Compliant</w:t>
      </w:r>
    </w:p>
    <w:p>
      <w:pPr>
        <w:jc w:val="center"/>
      </w:pPr>
      <w:r>
        <w:rPr>
          <w:rFonts w:ascii="Arial" w:cs="Arial" w:eastAsia="Arial" w:hAnsi="Arial"/>
          <w:color w:val="444444"/>
          <w:sz w:val="22"/>
          <w:szCs w:val="22"/>
        </w:rPr>
        <w:t xml:space="preserve">Effective Date: 11 May 2026</w:t>
      </w:r>
    </w:p>
    <w:p>
      <w:pPr>
        <w:jc w:val="center"/>
      </w:pPr>
      <w:r>
        <w:rPr>
          <w:rFonts w:ascii="Arial" w:cs="Arial" w:eastAsia="Arial" w:hAnsi="Arial"/>
          <w:color w:val="444444"/>
          <w:sz w:val="22"/>
          <w:szCs w:val="22"/>
        </w:rPr>
        <w:t xml:space="preserve">Next Review: 11 May 2027</w:t>
      </w:r>
    </w:p>
    <w:p>
      <w:pPr>
        <w:spacing w:before="200"/>
        <w:jc w:val="center"/>
      </w:pPr>
      <w:r>
        <w:rPr>
          <w:rFonts w:ascii="Arial" w:cs="Arial" w:eastAsia="Arial" w:hAnsi="Arial"/>
          <w:color w:val="888888"/>
          <w:sz w:val="20"/>
          <w:szCs w:val="20"/>
        </w:rPr>
        <w:t xml:space="preserve">Document Reference: BL-PP-2026-001</w:t>
      </w:r>
    </w:p>
    <w:p>
      <w:r>
        <w:br w:type="page"/>
      </w:r>
    </w:p>
    <w:p>
      <w:pPr>
        <w:pStyle w:val="Heading1"/>
        <w:pBdr>
          <w:bottom w:val="single" w:color="1B2A4A" w:sz="6" w:space="4"/>
        </w:pBdr>
        <w:spacing w:after="160" w:before="360"/>
      </w:pPr>
      <w:r>
        <w:rPr>
          <w:rFonts w:ascii="Arial" w:cs="Arial" w:eastAsia="Arial" w:hAnsi="Arial"/>
          <w:b/>
          <w:bCs/>
          <w:color w:val="1B2A4A"/>
          <w:sz w:val="32"/>
          <w:szCs w:val="32"/>
        </w:rPr>
        <w:t xml:space="preserve">1. Overview and Scope</w:t>
      </w:r>
    </w:p>
    <w:p>
      <w:pPr>
        <w:spacing w:after="120" w:before="80" w:line="276"/>
        <w:jc w:val="both"/>
      </w:pPr>
      <w:r>
        <w:rPr>
          <w:rFonts w:ascii="Arial" w:cs="Arial" w:eastAsia="Arial" w:hAnsi="Arial"/>
          <w:sz w:val="22"/>
          <w:szCs w:val="22"/>
        </w:rPr>
        <w:t xml:space="preserve">Betopia Limited (registered office: Daisy Garden, House 14, Block A, Banasree, Dhaka-1219, Bangladesh; "Betopia," "we," "us," or "our") is the Data Controller for all personal data collected through the websites betopiagroup.com and betopialimited.com, and any associated digital properties operated by Betopia Limited and its affiliated Strategic Business Units (collectively, "Betopia Group").</w:t>
      </w:r>
    </w:p>
    <w:p>
      <w:pPr>
        <w:spacing w:after="120" w:before="80" w:line="276"/>
        <w:jc w:val="both"/>
      </w:pPr>
      <w:r>
        <w:rPr>
          <w:rFonts w:ascii="Arial" w:cs="Arial" w:eastAsia="Arial" w:hAnsi="Arial"/>
          <w:sz w:val="22"/>
          <w:szCs w:val="22"/>
        </w:rPr>
        <w:t xml:space="preserve">Betopia Limited holds ISO 22301:2019 (Business Continuity Management) and ISO 9001:2015 (Quality Management System) certifications issued by QRO, reflecting our commitment to operational excellence and responsible data stewardship.</w:t>
      </w:r>
    </w:p>
    <w:p>
      <w:pPr>
        <w:spacing w:after="120" w:before="80" w:line="276"/>
        <w:jc w:val="both"/>
      </w:pPr>
      <w:r>
        <w:rPr>
          <w:rFonts w:ascii="Arial" w:cs="Arial" w:eastAsia="Arial" w:hAnsi="Arial"/>
          <w:sz w:val="22"/>
          <w:szCs w:val="22"/>
        </w:rPr>
        <w:t xml:space="preserve">This Privacy Policy explains what personal data we collect, why we collect it, how we use and protect it, and what rights you have regarding your data. It applies to:</w:t>
      </w:r>
    </w:p>
    <w:p>
      <w:pPr>
        <w:pStyle w:val="ListParagraph"/>
        <w:numPr>
          <w:ilvl w:val="0"/>
          <w:numId w:val="2"/>
        </w:numPr>
        <w:spacing w:after="60" w:before="40"/>
      </w:pPr>
      <w:r>
        <w:rPr>
          <w:rFonts w:ascii="Arial" w:cs="Arial" w:eastAsia="Arial" w:hAnsi="Arial"/>
          <w:sz w:val="22"/>
          <w:szCs w:val="22"/>
        </w:rPr>
        <w:t xml:space="preserve">Visitors to our websites and digital properties</w:t>
      </w:r>
    </w:p>
    <w:p>
      <w:pPr>
        <w:pStyle w:val="ListParagraph"/>
        <w:numPr>
          <w:ilvl w:val="0"/>
          <w:numId w:val="2"/>
        </w:numPr>
        <w:spacing w:after="60" w:before="40"/>
      </w:pPr>
      <w:r>
        <w:rPr>
          <w:rFonts w:ascii="Arial" w:cs="Arial" w:eastAsia="Arial" w:hAnsi="Arial"/>
          <w:sz w:val="22"/>
          <w:szCs w:val="22"/>
        </w:rPr>
        <w:t xml:space="preserve">Prospective clients, partners, and investors submitting business enquiries or RFQ forms</w:t>
      </w:r>
    </w:p>
    <w:p>
      <w:pPr>
        <w:pStyle w:val="ListParagraph"/>
        <w:numPr>
          <w:ilvl w:val="0"/>
          <w:numId w:val="2"/>
        </w:numPr>
        <w:spacing w:after="60" w:before="40"/>
      </w:pPr>
      <w:r>
        <w:rPr>
          <w:rFonts w:ascii="Arial" w:cs="Arial" w:eastAsia="Arial" w:hAnsi="Arial"/>
          <w:sz w:val="22"/>
          <w:szCs w:val="22"/>
        </w:rPr>
        <w:t xml:space="preserve">Job applicants and talent community members</w:t>
      </w:r>
    </w:p>
    <w:p>
      <w:pPr>
        <w:pStyle w:val="ListParagraph"/>
        <w:numPr>
          <w:ilvl w:val="0"/>
          <w:numId w:val="2"/>
        </w:numPr>
        <w:spacing w:after="60" w:before="40"/>
      </w:pPr>
      <w:r>
        <w:rPr>
          <w:rFonts w:ascii="Arial" w:cs="Arial" w:eastAsia="Arial" w:hAnsi="Arial"/>
          <w:sz w:val="22"/>
          <w:szCs w:val="22"/>
        </w:rPr>
        <w:t xml:space="preserve">Newsletter subscribers and marketing communication recipients</w:t>
      </w:r>
    </w:p>
    <w:p>
      <w:pPr>
        <w:pStyle w:val="ListParagraph"/>
        <w:numPr>
          <w:ilvl w:val="0"/>
          <w:numId w:val="2"/>
        </w:numPr>
        <w:spacing w:after="60" w:before="40"/>
      </w:pPr>
      <w:r>
        <w:rPr>
          <w:rFonts w:ascii="Arial" w:cs="Arial" w:eastAsia="Arial" w:hAnsi="Arial"/>
          <w:sz w:val="22"/>
          <w:szCs w:val="22"/>
        </w:rPr>
        <w:t xml:space="preserve">Any individual whose personal data is processed by Betopia in the context of our services</w:t>
      </w:r>
    </w:p>
    <w:p>
      <w:pPr>
        <w:spacing w:after="60" w:before="0"/>
      </w:pPr>
      <w:r>
        <w:t xml:space="preserve"/>
      </w:r>
    </w:p>
    <w:p>
      <w:pPr>
        <w:spacing w:after="120" w:before="80" w:line="276"/>
        <w:jc w:val="both"/>
      </w:pPr>
      <w:r>
        <w:rPr>
          <w:rFonts w:ascii="Arial" w:cs="Arial" w:eastAsia="Arial" w:hAnsi="Arial"/>
          <w:sz w:val="22"/>
          <w:szCs w:val="22"/>
        </w:rPr>
        <w:t xml:space="preserve">This Policy is designed to comply with the following legal frameworks: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Framework</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Jurisdiction</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Key Obligation</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GDPR (EU) 2016/679</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European Union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Lawful basis, data subject rights, DPA notification</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UK GDPR / DPA 2018</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United Kingdom</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Post-Brexit data protection regime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CCPA / CPRA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California, USA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Right to know, delete, opt-out of sale</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PDPA Bangladesh (draft)</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Bangladesh</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National data sovereignty compliance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ISO 27001 aligned</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Global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Information security management best practice</w:t>
            </w:r>
          </w:p>
        </w:tc>
      </w:tr>
    </w:tbl>
    <w:p>
      <w:pPr>
        <w:spacing w:after="60" w:before="0"/>
      </w:pPr>
      <w:r>
        <w:t xml:space="preserve"/>
      </w:r>
    </w:p>
    <w:p>
      <w:pPr>
        <w:pStyle w:val="Heading1"/>
        <w:pBdr>
          <w:bottom w:val="single" w:color="1B2A4A" w:sz="6" w:space="4"/>
        </w:pBdr>
        <w:spacing w:after="160" w:before="360"/>
      </w:pPr>
      <w:r>
        <w:rPr>
          <w:rFonts w:ascii="Arial" w:cs="Arial" w:eastAsia="Arial" w:hAnsi="Arial"/>
          <w:b/>
          <w:bCs/>
          <w:color w:val="1B2A4A"/>
          <w:sz w:val="32"/>
          <w:szCs w:val="32"/>
        </w:rPr>
        <w:t xml:space="preserve">2. Data Controller and Contact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Detail</w:t>
            </w:r>
          </w:p>
        </w:tc>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Information</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Legal Entity</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Betopia Limited</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Registered Address</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Daisy Garden, House 14, Block A, Banasree, Dhaka-1219, Bangladesh</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General Contact</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info@betopialimited.com</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Privacy / DPO Contact</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privacy@betopialimited.com</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Website</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www.betopiagroup.com | www.betopialimited.com</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ISO Certifications</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ISO 22301:2019 (QRO) | ISO 9001:2015 (QRO)</w:t>
            </w:r>
          </w:p>
        </w:tc>
      </w:tr>
    </w:tbl>
    <w:p>
      <w:pPr>
        <w:spacing w:after="60" w:before="0"/>
      </w:pPr>
      <w:r>
        <w:t xml:space="preserve"/>
      </w:r>
    </w:p>
    <w:p>
      <w:pPr>
        <w:spacing w:after="120" w:before="80" w:line="276"/>
        <w:jc w:val="both"/>
      </w:pPr>
      <w:r>
        <w:rPr>
          <w:rFonts w:ascii="Arial" w:cs="Arial" w:eastAsia="Arial" w:hAnsi="Arial"/>
          <w:sz w:val="22"/>
          <w:szCs w:val="22"/>
        </w:rPr>
        <w:t xml:space="preserve">For all privacy-related enquiries, data subject access requests, or complaints, please contact us at privacy@betopialimited.com. We will acknowledge your request within 72 hours and respond substantively within 30 calendar days (extendable to 90 days for complex requests with prior notice).</w:t>
      </w:r>
    </w:p>
    <w:p>
      <w:pPr>
        <w:pStyle w:val="Heading1"/>
        <w:pBdr>
          <w:bottom w:val="single" w:color="1B2A4A" w:sz="6" w:space="4"/>
        </w:pBdr>
        <w:spacing w:after="160" w:before="360"/>
      </w:pPr>
      <w:r>
        <w:rPr>
          <w:rFonts w:ascii="Arial" w:cs="Arial" w:eastAsia="Arial" w:hAnsi="Arial"/>
          <w:b/>
          <w:bCs/>
          <w:color w:val="1B2A4A"/>
          <w:sz w:val="32"/>
          <w:szCs w:val="32"/>
        </w:rPr>
        <w:t xml:space="preserve">3. Personal Data We Collect</w:t>
      </w:r>
    </w:p>
    <w:p>
      <w:pPr>
        <w:pStyle w:val="Heading2"/>
        <w:spacing w:after="120" w:before="280"/>
      </w:pPr>
      <w:r>
        <w:rPr>
          <w:rFonts w:ascii="Arial" w:cs="Arial" w:eastAsia="Arial" w:hAnsi="Arial"/>
          <w:b/>
          <w:bCs/>
          <w:color w:val="1B2A4A"/>
          <w:sz w:val="26"/>
          <w:szCs w:val="26"/>
        </w:rPr>
        <w:t xml:space="preserve">3.1 Data You Provide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Examples</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Collection Point</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Identity data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name, job title, company name</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 forms, RFQ forms, job applications</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Contact data</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Email address, phone number, LinkedIn URL</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Lead capture forms, newsletter signup, applications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Professional data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CV/resume, work history, skills, references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Career / talent application portal</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Business enquiry data</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Project scope, budget range, RFQ specifications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RFQ forms, partner enquiry forms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Communication data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Messages sent via live chat or email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Intercom / Tawk.to live chat, contact forms</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3.2 Data Collected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Examples</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Source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Technical data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IP address, browser type, OS, device ID</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 logs, GA4, Google Tag Manager</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Usage data</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Pages visited, session duration, click paths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Google Analytics 4, Hotjar</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Cookie data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Session IDs, preference cookies, analytics cookies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See Cookie &amp; Tracker Policy (BL-CTP-2026-001)</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Advertising data</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Ad impressions, conversion events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Meta Pixel, LinkedIn Insight Tag</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Heatmap / session data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Mouse movements, scroll depth, form interactions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Hotjar</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3.3 Data We Do Not Collect</w:t>
      </w:r>
    </w:p>
    <w:p>
      <w:pPr>
        <w:spacing w:after="120" w:before="80" w:line="276"/>
        <w:jc w:val="both"/>
      </w:pPr>
      <w:r>
        <w:rPr>
          <w:rFonts w:ascii="Arial" w:cs="Arial" w:eastAsia="Arial" w:hAnsi="Arial"/>
          <w:sz w:val="22"/>
          <w:szCs w:val="22"/>
        </w:rPr>
        <w:t xml:space="preserve">We do not intentionally collect Special Category data (as defined under GDPR Article 9), including racial or ethnic origin, political opinions, religious beliefs, health data, or biometric data through our public-facing websites. Job applications may incidentally include such data — we treat all application data with heightened care.</w:t>
      </w:r>
    </w:p>
    <w:p>
      <w:pPr>
        <w:spacing w:after="120" w:before="80" w:line="276"/>
        <w:jc w:val="both"/>
      </w:pPr>
      <w:r>
        <w:rPr>
          <w:rFonts w:ascii="Arial" w:cs="Arial" w:eastAsia="Arial" w:hAnsi="Arial"/>
          <w:sz w:val="22"/>
          <w:szCs w:val="22"/>
        </w:rPr>
        <w:t xml:space="preserve">Our websites are not directed at children under the age of 16. We do not knowingly collect personal data from minors. If we become aware that we have inadvertently collected data from a person under 16, we will delete it promptly.</w:t>
      </w:r>
    </w:p>
    <w:p>
      <w:pPr>
        <w:pStyle w:val="Heading1"/>
        <w:pBdr>
          <w:bottom w:val="single" w:color="1B2A4A" w:sz="6" w:space="4"/>
        </w:pBdr>
        <w:spacing w:after="160" w:before="360"/>
      </w:pPr>
      <w:r>
        <w:rPr>
          <w:rFonts w:ascii="Arial" w:cs="Arial" w:eastAsia="Arial" w:hAnsi="Arial"/>
          <w:b/>
          <w:bCs/>
          <w:color w:val="1B2A4A"/>
          <w:sz w:val="32"/>
          <w:szCs w:val="32"/>
        </w:rPr>
        <w:t xml:space="preserve">4. Lawful Basis for Processing (GDPR Articles 6 &amp; 9)</w:t>
      </w:r>
    </w:p>
    <w:p>
      <w:pPr>
        <w:spacing w:after="120" w:before="80" w:line="276"/>
        <w:jc w:val="both"/>
      </w:pPr>
      <w:r>
        <w:rPr>
          <w:rFonts w:ascii="Arial" w:cs="Arial" w:eastAsia="Arial" w:hAnsi="Arial"/>
          <w:sz w:val="22"/>
          <w:szCs w:val="22"/>
        </w:rPr>
        <w:t xml:space="preserve">Under the GDPR, we must have a lawful basis for each processing activity. The following table maps our primary processing activities to their lawful basis: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Processing Activity</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Lawful Basis</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GDPR Article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Responding to business enquiries and RFQ forms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Legitimate interests / Pre-contractual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Art. 6(1)(b)(f)</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Processing job applications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Pre-contractual steps / Legitimate interests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Art. 6(1)(b)(f)</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Sending marketing communications (newsletter)</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Consent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Art. 6(1)(a)</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Website analytics (GA4, Hotjar)</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Consent (cookie banner)</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Art. 6(1)(a)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Targeted advertising (Meta Pixel, LinkedIn)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Consent (cookie banner)</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Art. 6(1)(a)</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Legal compliance and record-keeping</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Legal obligation</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Art. 6(1)(c)</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Fraud prevention and site security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Legitimate interests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Art. 6(1)(f)</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Live chat support</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Legitimate interests / Consent</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Art. 6(1)(a)(f)</w:t>
            </w:r>
          </w:p>
        </w:tc>
      </w:tr>
    </w:tbl>
    <w:p>
      <w:pPr>
        <w:spacing w:after="60" w:before="0"/>
      </w:pPr>
      <w:r>
        <w:t xml:space="preserve"/>
      </w:r>
    </w:p>
    <w:p>
      <w:pPr>
        <w:spacing w:after="120" w:before="80" w:line="276"/>
        <w:jc w:val="both"/>
      </w:pPr>
      <w:r>
        <w:rPr>
          <w:rFonts w:ascii="Arial" w:cs="Arial" w:eastAsia="Arial" w:hAnsi="Arial"/>
          <w:sz w:val="22"/>
          <w:szCs w:val="22"/>
        </w:rPr>
        <w:t xml:space="preserve">Where we rely on Legitimate Interests, we have conducted a Legitimate Interests Assessment (LIA) to confirm that our interests are not overridden by your rights and freedoms. You may request a summary of our LIA by contacting privacy@betopialimited.com.</w:t>
      </w:r>
    </w:p>
    <w:p>
      <w:pPr>
        <w:pStyle w:val="Heading1"/>
        <w:pBdr>
          <w:bottom w:val="single" w:color="1B2A4A" w:sz="6" w:space="4"/>
        </w:pBdr>
        <w:spacing w:after="160" w:before="360"/>
      </w:pPr>
      <w:r>
        <w:rPr>
          <w:rFonts w:ascii="Arial" w:cs="Arial" w:eastAsia="Arial" w:hAnsi="Arial"/>
          <w:b/>
          <w:bCs/>
          <w:color w:val="1B2A4A"/>
          <w:sz w:val="32"/>
          <w:szCs w:val="32"/>
        </w:rPr>
        <w:t xml:space="preserve">5. How We Use Your Personal Data</w:t>
      </w:r>
    </w:p>
    <w:p>
      <w:pPr>
        <w:pStyle w:val="Heading2"/>
        <w:spacing w:after="120" w:before="280"/>
      </w:pPr>
      <w:r>
        <w:rPr>
          <w:rFonts w:ascii="Arial" w:cs="Arial" w:eastAsia="Arial" w:hAnsi="Arial"/>
          <w:b/>
          <w:bCs/>
          <w:color w:val="1B2A4A"/>
          <w:sz w:val="26"/>
          <w:szCs w:val="26"/>
        </w:rPr>
        <w:t xml:space="preserve">5.1 Business Operations</w:t>
      </w:r>
    </w:p>
    <w:p>
      <w:pPr>
        <w:pStyle w:val="ListParagraph"/>
        <w:numPr>
          <w:ilvl w:val="0"/>
          <w:numId w:val="2"/>
        </w:numPr>
        <w:spacing w:after="60" w:before="40"/>
      </w:pPr>
      <w:r>
        <w:rPr>
          <w:rFonts w:ascii="Arial" w:cs="Arial" w:eastAsia="Arial" w:hAnsi="Arial"/>
          <w:sz w:val="22"/>
          <w:szCs w:val="22"/>
        </w:rPr>
        <w:t xml:space="preserve">Responding to business enquiries, RFQ forms, and partnership proposals</w:t>
      </w:r>
    </w:p>
    <w:p>
      <w:pPr>
        <w:pStyle w:val="ListParagraph"/>
        <w:numPr>
          <w:ilvl w:val="0"/>
          <w:numId w:val="2"/>
        </w:numPr>
        <w:spacing w:after="60" w:before="40"/>
      </w:pPr>
      <w:r>
        <w:rPr>
          <w:rFonts w:ascii="Arial" w:cs="Arial" w:eastAsia="Arial" w:hAnsi="Arial"/>
          <w:sz w:val="22"/>
          <w:szCs w:val="22"/>
        </w:rPr>
        <w:t xml:space="preserve">Managing client and partner relationships across Betopia Group's 22+ Strategic Business Units</w:t>
      </w:r>
    </w:p>
    <w:p>
      <w:pPr>
        <w:pStyle w:val="ListParagraph"/>
        <w:numPr>
          <w:ilvl w:val="0"/>
          <w:numId w:val="2"/>
        </w:numPr>
        <w:spacing w:after="60" w:before="40"/>
      </w:pPr>
      <w:r>
        <w:rPr>
          <w:rFonts w:ascii="Arial" w:cs="Arial" w:eastAsia="Arial" w:hAnsi="Arial"/>
          <w:sz w:val="22"/>
          <w:szCs w:val="22"/>
        </w:rPr>
        <w:t xml:space="preserve">Providing information about our services across technology, real estate, FMCG, and related sectors</w:t>
      </w:r>
    </w:p>
    <w:p>
      <w:pPr>
        <w:pStyle w:val="ListParagraph"/>
        <w:numPr>
          <w:ilvl w:val="0"/>
          <w:numId w:val="2"/>
        </w:numPr>
        <w:spacing w:after="60" w:before="40"/>
      </w:pPr>
      <w:r>
        <w:rPr>
          <w:rFonts w:ascii="Arial" w:cs="Arial" w:eastAsia="Arial" w:hAnsi="Arial"/>
          <w:sz w:val="22"/>
          <w:szCs w:val="22"/>
        </w:rPr>
        <w:t xml:space="preserve">Generating service proposals and commercial agreements</w:t>
      </w:r>
    </w:p>
    <w:p>
      <w:pPr>
        <w:pStyle w:val="Heading2"/>
        <w:spacing w:after="120" w:before="280"/>
      </w:pPr>
      <w:r>
        <w:rPr>
          <w:rFonts w:ascii="Arial" w:cs="Arial" w:eastAsia="Arial" w:hAnsi="Arial"/>
          <w:b/>
          <w:bCs/>
          <w:color w:val="1B2A4A"/>
          <w:sz w:val="26"/>
          <w:szCs w:val="26"/>
        </w:rPr>
        <w:t xml:space="preserve">5.2 Recruitment and Talent</w:t>
      </w:r>
    </w:p>
    <w:p>
      <w:pPr>
        <w:pStyle w:val="ListParagraph"/>
        <w:numPr>
          <w:ilvl w:val="0"/>
          <w:numId w:val="2"/>
        </w:numPr>
        <w:spacing w:after="60" w:before="40"/>
      </w:pPr>
      <w:r>
        <w:rPr>
          <w:rFonts w:ascii="Arial" w:cs="Arial" w:eastAsia="Arial" w:hAnsi="Arial"/>
          <w:sz w:val="22"/>
          <w:szCs w:val="22"/>
        </w:rPr>
        <w:t xml:space="preserve">Processing job applications and managing the recruitment pipeline</w:t>
      </w:r>
    </w:p>
    <w:p>
      <w:pPr>
        <w:pStyle w:val="ListParagraph"/>
        <w:numPr>
          <w:ilvl w:val="0"/>
          <w:numId w:val="2"/>
        </w:numPr>
        <w:spacing w:after="60" w:before="40"/>
      </w:pPr>
      <w:r>
        <w:rPr>
          <w:rFonts w:ascii="Arial" w:cs="Arial" w:eastAsia="Arial" w:hAnsi="Arial"/>
          <w:sz w:val="22"/>
          <w:szCs w:val="22"/>
        </w:rPr>
        <w:t xml:space="preserve">Assessing candidate suitability for current and future roles</w:t>
      </w:r>
    </w:p>
    <w:p>
      <w:pPr>
        <w:pStyle w:val="ListParagraph"/>
        <w:numPr>
          <w:ilvl w:val="0"/>
          <w:numId w:val="2"/>
        </w:numPr>
        <w:spacing w:after="60" w:before="40"/>
      </w:pPr>
      <w:r>
        <w:rPr>
          <w:rFonts w:ascii="Arial" w:cs="Arial" w:eastAsia="Arial" w:hAnsi="Arial"/>
          <w:sz w:val="22"/>
          <w:szCs w:val="22"/>
        </w:rPr>
        <w:t xml:space="preserve">Retaining applicant data for a talent pool (with your explicit consent)</w:t>
      </w:r>
    </w:p>
    <w:p>
      <w:pPr>
        <w:pStyle w:val="ListParagraph"/>
        <w:numPr>
          <w:ilvl w:val="0"/>
          <w:numId w:val="2"/>
        </w:numPr>
        <w:spacing w:after="60" w:before="40"/>
      </w:pPr>
      <w:r>
        <w:rPr>
          <w:rFonts w:ascii="Arial" w:cs="Arial" w:eastAsia="Arial" w:hAnsi="Arial"/>
          <w:sz w:val="22"/>
          <w:szCs w:val="22"/>
        </w:rPr>
        <w:t xml:space="preserve">Complying with employment law obligations in Bangladesh and other operating jurisdictions</w:t>
      </w:r>
    </w:p>
    <w:p>
      <w:pPr>
        <w:pStyle w:val="Heading2"/>
        <w:spacing w:after="120" w:before="280"/>
      </w:pPr>
      <w:r>
        <w:rPr>
          <w:rFonts w:ascii="Arial" w:cs="Arial" w:eastAsia="Arial" w:hAnsi="Arial"/>
          <w:b/>
          <w:bCs/>
          <w:color w:val="1B2A4A"/>
          <w:sz w:val="26"/>
          <w:szCs w:val="26"/>
        </w:rPr>
        <w:t xml:space="preserve">5.3 Marketing and Communications</w:t>
      </w:r>
    </w:p>
    <w:p>
      <w:pPr>
        <w:pStyle w:val="ListParagraph"/>
        <w:numPr>
          <w:ilvl w:val="0"/>
          <w:numId w:val="2"/>
        </w:numPr>
        <w:spacing w:after="60" w:before="40"/>
      </w:pPr>
      <w:r>
        <w:rPr>
          <w:rFonts w:ascii="Arial" w:cs="Arial" w:eastAsia="Arial" w:hAnsi="Arial"/>
          <w:sz w:val="22"/>
          <w:szCs w:val="22"/>
        </w:rPr>
        <w:t xml:space="preserve">Sending newsletters, thought leadership content, and company updates (consent-based)</w:t>
      </w:r>
    </w:p>
    <w:p>
      <w:pPr>
        <w:pStyle w:val="ListParagraph"/>
        <w:numPr>
          <w:ilvl w:val="0"/>
          <w:numId w:val="2"/>
        </w:numPr>
        <w:spacing w:after="60" w:before="40"/>
      </w:pPr>
      <w:r>
        <w:rPr>
          <w:rFonts w:ascii="Arial" w:cs="Arial" w:eastAsia="Arial" w:hAnsi="Arial"/>
          <w:sz w:val="22"/>
          <w:szCs w:val="22"/>
        </w:rPr>
        <w:t xml:space="preserve">Running targeted advertising campaigns via Meta (Facebook/Instagram) and LinkedIn</w:t>
      </w:r>
    </w:p>
    <w:p>
      <w:pPr>
        <w:pStyle w:val="ListParagraph"/>
        <w:numPr>
          <w:ilvl w:val="0"/>
          <w:numId w:val="2"/>
        </w:numPr>
        <w:spacing w:after="60" w:before="40"/>
      </w:pPr>
      <w:r>
        <w:rPr>
          <w:rFonts w:ascii="Arial" w:cs="Arial" w:eastAsia="Arial" w:hAnsi="Arial"/>
          <w:sz w:val="22"/>
          <w:szCs w:val="22"/>
        </w:rPr>
        <w:t xml:space="preserve">Retargeting website visitors through Meta Pixel and LinkedIn Insight Tag (consent-based)</w:t>
      </w:r>
    </w:p>
    <w:p>
      <w:pPr>
        <w:pStyle w:val="ListParagraph"/>
        <w:numPr>
          <w:ilvl w:val="0"/>
          <w:numId w:val="2"/>
        </w:numPr>
        <w:spacing w:after="60" w:before="40"/>
      </w:pPr>
      <w:r>
        <w:rPr>
          <w:rFonts w:ascii="Arial" w:cs="Arial" w:eastAsia="Arial" w:hAnsi="Arial"/>
          <w:sz w:val="22"/>
          <w:szCs w:val="22"/>
        </w:rPr>
        <w:t xml:space="preserve">Measuring campaign performance and return on ad spend</w:t>
      </w:r>
    </w:p>
    <w:p>
      <w:pPr>
        <w:pStyle w:val="Heading2"/>
        <w:spacing w:after="120" w:before="280"/>
      </w:pPr>
      <w:r>
        <w:rPr>
          <w:rFonts w:ascii="Arial" w:cs="Arial" w:eastAsia="Arial" w:hAnsi="Arial"/>
          <w:b/>
          <w:bCs/>
          <w:color w:val="1B2A4A"/>
          <w:sz w:val="26"/>
          <w:szCs w:val="26"/>
        </w:rPr>
        <w:t xml:space="preserve">5.4 Website Improvement and Security</w:t>
      </w:r>
    </w:p>
    <w:p>
      <w:pPr>
        <w:pStyle w:val="ListParagraph"/>
        <w:numPr>
          <w:ilvl w:val="0"/>
          <w:numId w:val="2"/>
        </w:numPr>
        <w:spacing w:after="60" w:before="40"/>
      </w:pPr>
      <w:r>
        <w:rPr>
          <w:rFonts w:ascii="Arial" w:cs="Arial" w:eastAsia="Arial" w:hAnsi="Arial"/>
          <w:sz w:val="22"/>
          <w:szCs w:val="22"/>
        </w:rPr>
        <w:t xml:space="preserve">Analysing website performance, page load times, and user journeys via GA4</w:t>
      </w:r>
    </w:p>
    <w:p>
      <w:pPr>
        <w:pStyle w:val="ListParagraph"/>
        <w:numPr>
          <w:ilvl w:val="0"/>
          <w:numId w:val="2"/>
        </w:numPr>
        <w:spacing w:after="60" w:before="40"/>
      </w:pPr>
      <w:r>
        <w:rPr>
          <w:rFonts w:ascii="Arial" w:cs="Arial" w:eastAsia="Arial" w:hAnsi="Arial"/>
          <w:sz w:val="22"/>
          <w:szCs w:val="22"/>
        </w:rPr>
        <w:t xml:space="preserve">Identifying usability issues via Hotjar heatmaps and session recordings</w:t>
      </w:r>
    </w:p>
    <w:p>
      <w:pPr>
        <w:pStyle w:val="ListParagraph"/>
        <w:numPr>
          <w:ilvl w:val="0"/>
          <w:numId w:val="2"/>
        </w:numPr>
        <w:spacing w:after="60" w:before="40"/>
      </w:pPr>
      <w:r>
        <w:rPr>
          <w:rFonts w:ascii="Arial" w:cs="Arial" w:eastAsia="Arial" w:hAnsi="Arial"/>
          <w:sz w:val="22"/>
          <w:szCs w:val="22"/>
        </w:rPr>
        <w:t xml:space="preserve">Protecting our websites against fraud, bots, and security threats</w:t>
      </w:r>
    </w:p>
    <w:p>
      <w:pPr>
        <w:pStyle w:val="ListParagraph"/>
        <w:numPr>
          <w:ilvl w:val="0"/>
          <w:numId w:val="2"/>
        </w:numPr>
        <w:spacing w:after="60" w:before="40"/>
      </w:pPr>
      <w:r>
        <w:rPr>
          <w:rFonts w:ascii="Arial" w:cs="Arial" w:eastAsia="Arial" w:hAnsi="Arial"/>
          <w:sz w:val="22"/>
          <w:szCs w:val="22"/>
        </w:rPr>
        <w:t xml:space="preserve">Maintaining server and infrastructure security logs</w:t>
      </w:r>
    </w:p>
    <w:p>
      <w:pPr>
        <w:pStyle w:val="Heading1"/>
        <w:pBdr>
          <w:bottom w:val="single" w:color="1B2A4A" w:sz="6" w:space="4"/>
        </w:pBdr>
        <w:spacing w:after="160" w:before="360"/>
      </w:pPr>
      <w:r>
        <w:rPr>
          <w:rFonts w:ascii="Arial" w:cs="Arial" w:eastAsia="Arial" w:hAnsi="Arial"/>
          <w:b/>
          <w:bCs/>
          <w:color w:val="1B2A4A"/>
          <w:sz w:val="32"/>
          <w:szCs w:val="32"/>
        </w:rPr>
        <w:t xml:space="preserve">6. Data Sharing and Third-Party Processors</w:t>
      </w:r>
    </w:p>
    <w:p>
      <w:pPr>
        <w:pStyle w:val="Heading2"/>
        <w:spacing w:after="120" w:before="280"/>
      </w:pPr>
      <w:r>
        <w:rPr>
          <w:rFonts w:ascii="Arial" w:cs="Arial" w:eastAsia="Arial" w:hAnsi="Arial"/>
          <w:b/>
          <w:bCs/>
          <w:color w:val="1B2A4A"/>
          <w:sz w:val="26"/>
          <w:szCs w:val="26"/>
        </w:rPr>
        <w:t xml:space="preserve">6.1 Intra-Group Data Sharing</w:t>
      </w:r>
    </w:p>
    <w:p>
      <w:pPr>
        <w:spacing w:after="120" w:before="80" w:line="276"/>
        <w:jc w:val="both"/>
      </w:pPr>
      <w:r>
        <w:rPr>
          <w:rFonts w:ascii="Arial" w:cs="Arial" w:eastAsia="Arial" w:hAnsi="Arial"/>
          <w:sz w:val="22"/>
          <w:szCs w:val="22"/>
        </w:rPr>
        <w:t xml:space="preserve">Betopia Limited operates as the parent entity of Betopia Group, which comprises 22+ Strategic Business Units (SBUs) including Bdcalling IT Ltd, ZenCore, Softvence, Hamim Group, and others. Personal data collected through our websites may be shared with these affiliated entities where:</w:t>
      </w:r>
    </w:p>
    <w:p>
      <w:pPr>
        <w:pStyle w:val="ListParagraph"/>
        <w:numPr>
          <w:ilvl w:val="0"/>
          <w:numId w:val="2"/>
        </w:numPr>
        <w:spacing w:after="60" w:before="40"/>
      </w:pPr>
      <w:r>
        <w:rPr>
          <w:rFonts w:ascii="Arial" w:cs="Arial" w:eastAsia="Arial" w:hAnsi="Arial"/>
          <w:sz w:val="22"/>
          <w:szCs w:val="22"/>
        </w:rPr>
        <w:t xml:space="preserve">The processing is necessary to respond to your specific business enquiry directed at an SBU</w:t>
      </w:r>
    </w:p>
    <w:p>
      <w:pPr>
        <w:pStyle w:val="ListParagraph"/>
        <w:numPr>
          <w:ilvl w:val="0"/>
          <w:numId w:val="2"/>
        </w:numPr>
        <w:spacing w:after="60" w:before="40"/>
      </w:pPr>
      <w:r>
        <w:rPr>
          <w:rFonts w:ascii="Arial" w:cs="Arial" w:eastAsia="Arial" w:hAnsi="Arial"/>
          <w:sz w:val="22"/>
          <w:szCs w:val="22"/>
        </w:rPr>
        <w:t xml:space="preserve">You have applied for a role within a specific SBU</w:t>
      </w:r>
    </w:p>
    <w:p>
      <w:pPr>
        <w:pStyle w:val="ListParagraph"/>
        <w:numPr>
          <w:ilvl w:val="0"/>
          <w:numId w:val="2"/>
        </w:numPr>
        <w:spacing w:after="60" w:before="40"/>
      </w:pPr>
      <w:r>
        <w:rPr>
          <w:rFonts w:ascii="Arial" w:cs="Arial" w:eastAsia="Arial" w:hAnsi="Arial"/>
          <w:sz w:val="22"/>
          <w:szCs w:val="22"/>
        </w:rPr>
        <w:t xml:space="preserve">We have a legitimate interest in coordinating group-level marketing or business development</w:t>
      </w:r>
    </w:p>
    <w:p>
      <w:pPr>
        <w:spacing w:after="120" w:before="80" w:line="276"/>
        <w:jc w:val="both"/>
      </w:pPr>
      <w:r>
        <w:rPr>
          <w:rFonts w:ascii="Arial" w:cs="Arial" w:eastAsia="Arial" w:hAnsi="Arial"/>
          <w:sz w:val="22"/>
          <w:szCs w:val="22"/>
        </w:rPr>
        <w:t xml:space="preserve">All intra-group data transfers are governed by internal data sharing agreements consistent with GDPR requirements. Betopia Group SBUs operate as data processors acting on behalf of Betopia Limited as Data Controller.</w:t>
      </w:r>
    </w:p>
    <w:p>
      <w:pPr>
        <w:pStyle w:val="Heading2"/>
        <w:spacing w:after="120" w:before="280"/>
      </w:pPr>
      <w:r>
        <w:rPr>
          <w:rFonts w:ascii="Arial" w:cs="Arial" w:eastAsia="Arial" w:hAnsi="Arial"/>
          <w:b/>
          <w:bCs/>
          <w:color w:val="1B2A4A"/>
          <w:sz w:val="26"/>
          <w:szCs w:val="26"/>
        </w:rPr>
        <w:t xml:space="preserve">6.2 Third-Party Service Providers (Sub-Processors)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Sub-Processor</w:t>
            </w:r>
          </w:p>
        </w:tc>
        <w:tc>
          <w:tcPr>
            <w:tcW w:type="dxa" w:w="1805"/>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1805"/>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Data Transferred</w:t>
            </w:r>
          </w:p>
        </w:tc>
        <w:tc>
          <w:tcPr>
            <w:tcW w:type="dxa" w:w="1805"/>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Location</w:t>
            </w:r>
          </w:p>
        </w:tc>
        <w:tc>
          <w:tcPr>
            <w:tcW w:type="dxa" w:w="1805"/>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Safeguard</w:t>
            </w:r>
          </w:p>
        </w:tc>
      </w:tr>
      <w:t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LLC (GA4 + GTM)</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 analytics, tag management</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IP (anonymised), usage data</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USA</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SCCs + EU-US DPF</w:t>
            </w:r>
          </w:p>
        </w:tc>
      </w:tr>
      <w:tr>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Meta Platforms Inc.</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Advertising, conversion tracking</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Hashed email, pixel events</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USA</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SCCs + EU-US DPF</w:t>
            </w:r>
          </w:p>
        </w:tc>
      </w:tr>
      <w:t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 Ireland UC</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B2B advertising, insight tag</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Page view events, demographics</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Ireland / USA</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GDPR adequacy + SCCs</w:t>
            </w:r>
          </w:p>
        </w:tc>
      </w:tr>
      <w:tr>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HubSpot Inc.</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CRM, email marketing</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Name, email, enquiry data</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USA</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SCCs + EU-US DPF</w:t>
            </w:r>
          </w:p>
        </w:tc>
      </w:tr>
      <w:t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Hotjar Ltd</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Heatmaps, session recording</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Anonymised interaction data</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Malta (EU)</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GDPR compliant</w:t>
            </w:r>
          </w:p>
        </w:tc>
      </w:tr>
      <w:tr>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Intercom / Tawk.to</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Live chat support</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Name, email, chat transcripts</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USA / Global</w:t>
            </w:r>
          </w:p>
        </w:tc>
        <w:tc>
          <w:tcPr>
            <w:tcW w:type="dxa" w:w="1805"/>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SCCs</w:t>
            </w:r>
          </w:p>
        </w:tc>
      </w:tr>
      <w:t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Amazon Web Services / hosting</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Website infrastructure</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 logs, IP addresses</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Global</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SCCs + ISO 27001</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6.3 Legal Disclosures</w:t>
      </w:r>
    </w:p>
    <w:p>
      <w:pPr>
        <w:spacing w:after="120" w:before="80" w:line="276"/>
        <w:jc w:val="both"/>
      </w:pPr>
      <w:r>
        <w:rPr>
          <w:rFonts w:ascii="Arial" w:cs="Arial" w:eastAsia="Arial" w:hAnsi="Arial"/>
          <w:sz w:val="22"/>
          <w:szCs w:val="22"/>
        </w:rPr>
        <w:t xml:space="preserve">We may disclose personal data to law enforcement, regulatory authorities, or courts where required by applicable law, court order, or to protect the rights, property, or safety of Betopia, our staff, clients, or the public. We will notify you of such disclosures where legally permitted to do so.</w:t>
      </w:r>
    </w:p>
    <w:p>
      <w:pPr>
        <w:pStyle w:val="Heading2"/>
        <w:spacing w:after="120" w:before="280"/>
      </w:pPr>
      <w:r>
        <w:rPr>
          <w:rFonts w:ascii="Arial" w:cs="Arial" w:eastAsia="Arial" w:hAnsi="Arial"/>
          <w:b/>
          <w:bCs/>
          <w:color w:val="1B2A4A"/>
          <w:sz w:val="26"/>
          <w:szCs w:val="26"/>
        </w:rPr>
        <w:t xml:space="preserve">6.4 Business Transfers</w:t>
      </w:r>
    </w:p>
    <w:p>
      <w:pPr>
        <w:spacing w:after="120" w:before="80" w:line="276"/>
        <w:jc w:val="both"/>
      </w:pPr>
      <w:r>
        <w:rPr>
          <w:rFonts w:ascii="Arial" w:cs="Arial" w:eastAsia="Arial" w:hAnsi="Arial"/>
          <w:sz w:val="22"/>
          <w:szCs w:val="22"/>
        </w:rPr>
        <w:t xml:space="preserve">In the event of a merger, acquisition, restructuring, or sale of all or part of Betopia's assets, personal data may be transferred to the relevant acquiring or merging entity. We will notify affected data subjects and ensure continuity of data protection obligations.</w:t>
      </w:r>
    </w:p>
    <w:p>
      <w:pPr>
        <w:pStyle w:val="Heading1"/>
        <w:pBdr>
          <w:bottom w:val="single" w:color="1B2A4A" w:sz="6" w:space="4"/>
        </w:pBdr>
        <w:spacing w:after="160" w:before="360"/>
      </w:pPr>
      <w:r>
        <w:rPr>
          <w:rFonts w:ascii="Arial" w:cs="Arial" w:eastAsia="Arial" w:hAnsi="Arial"/>
          <w:b/>
          <w:bCs/>
          <w:color w:val="1B2A4A"/>
          <w:sz w:val="32"/>
          <w:szCs w:val="32"/>
        </w:rPr>
        <w:t xml:space="preserve">7. International Data Transfers</w:t>
      </w:r>
    </w:p>
    <w:p>
      <w:pPr>
        <w:spacing w:after="120" w:before="80" w:line="276"/>
        <w:jc w:val="both"/>
      </w:pPr>
      <w:r>
        <w:rPr>
          <w:rFonts w:ascii="Arial" w:cs="Arial" w:eastAsia="Arial" w:hAnsi="Arial"/>
          <w:sz w:val="22"/>
          <w:szCs w:val="22"/>
        </w:rPr>
        <w:t xml:space="preserve">Betopia Group operates in 80+ countries. When your personal data is transferred outside your country of residence (including outside the European Economic Area or the United Kingdom), we ensure appropriate safeguards are in place:</w:t>
      </w:r>
    </w:p>
    <w:p>
      <w:pPr>
        <w:pStyle w:val="ListParagraph"/>
        <w:numPr>
          <w:ilvl w:val="0"/>
          <w:numId w:val="2"/>
        </w:numPr>
        <w:spacing w:after="60" w:before="40"/>
      </w:pPr>
      <w:r>
        <w:rPr>
          <w:rFonts w:ascii="Arial" w:cs="Arial" w:eastAsia="Arial" w:hAnsi="Arial"/>
          <w:sz w:val="22"/>
          <w:szCs w:val="22"/>
        </w:rPr>
        <w:t xml:space="preserve">Standard Contractual Clauses (SCCs) approved by the European Commission (EU SCCs 2021)</w:t>
      </w:r>
    </w:p>
    <w:p>
      <w:pPr>
        <w:pStyle w:val="ListParagraph"/>
        <w:numPr>
          <w:ilvl w:val="0"/>
          <w:numId w:val="2"/>
        </w:numPr>
        <w:spacing w:after="60" w:before="40"/>
      </w:pPr>
      <w:r>
        <w:rPr>
          <w:rFonts w:ascii="Arial" w:cs="Arial" w:eastAsia="Arial" w:hAnsi="Arial"/>
          <w:sz w:val="22"/>
          <w:szCs w:val="22"/>
        </w:rPr>
        <w:t xml:space="preserve">UK International Data Transfer Agreements (IDTAs) for UK GDPR transfers</w:t>
      </w:r>
    </w:p>
    <w:p>
      <w:pPr>
        <w:pStyle w:val="ListParagraph"/>
        <w:numPr>
          <w:ilvl w:val="0"/>
          <w:numId w:val="2"/>
        </w:numPr>
        <w:spacing w:after="60" w:before="40"/>
      </w:pPr>
      <w:r>
        <w:rPr>
          <w:rFonts w:ascii="Arial" w:cs="Arial" w:eastAsia="Arial" w:hAnsi="Arial"/>
          <w:sz w:val="22"/>
          <w:szCs w:val="22"/>
        </w:rPr>
        <w:t xml:space="preserve">Transfers to countries with EU or UK adequacy decisions</w:t>
      </w:r>
    </w:p>
    <w:p>
      <w:pPr>
        <w:pStyle w:val="ListParagraph"/>
        <w:numPr>
          <w:ilvl w:val="0"/>
          <w:numId w:val="2"/>
        </w:numPr>
        <w:spacing w:after="60" w:before="40"/>
      </w:pPr>
      <w:r>
        <w:rPr>
          <w:rFonts w:ascii="Arial" w:cs="Arial" w:eastAsia="Arial" w:hAnsi="Arial"/>
          <w:sz w:val="22"/>
          <w:szCs w:val="22"/>
        </w:rPr>
        <w:t xml:space="preserve">EU-US Data Privacy Framework (DPF) where applicable</w:t>
      </w:r>
    </w:p>
    <w:p>
      <w:pPr>
        <w:spacing w:after="120" w:before="80" w:line="276"/>
        <w:jc w:val="both"/>
      </w:pPr>
      <w:r>
        <w:rPr>
          <w:rFonts w:ascii="Arial" w:cs="Arial" w:eastAsia="Arial" w:hAnsi="Arial"/>
          <w:sz w:val="22"/>
          <w:szCs w:val="22"/>
        </w:rPr>
        <w:t xml:space="preserve">You may request a copy of the applicable transfer mechanism by contacting privacy@betopialimited.com.</w:t>
      </w:r>
    </w:p>
    <w:p>
      <w:pPr>
        <w:pStyle w:val="Heading1"/>
        <w:pBdr>
          <w:bottom w:val="single" w:color="1B2A4A" w:sz="6" w:space="4"/>
        </w:pBdr>
        <w:spacing w:after="160" w:before="360"/>
      </w:pPr>
      <w:r>
        <w:rPr>
          <w:rFonts w:ascii="Arial" w:cs="Arial" w:eastAsia="Arial" w:hAnsi="Arial"/>
          <w:b/>
          <w:bCs/>
          <w:color w:val="1B2A4A"/>
          <w:sz w:val="32"/>
          <w:szCs w:val="32"/>
        </w:rPr>
        <w:t xml:space="preserve">8. Data Retention</w:t>
      </w:r>
    </w:p>
    <w:p>
      <w:pPr>
        <w:spacing w:after="120" w:before="80" w:line="276"/>
        <w:jc w:val="both"/>
      </w:pPr>
      <w:r>
        <w:rPr>
          <w:rFonts w:ascii="Arial" w:cs="Arial" w:eastAsia="Arial" w:hAnsi="Arial"/>
          <w:sz w:val="22"/>
          <w:szCs w:val="22"/>
        </w:rPr>
        <w:t xml:space="preserve">We retain personal data only for as long as necessary to fulfil the purposes for which it was collected, subject to applicable legal, regulatory, and contractual requirements.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Data Category</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Retention Period</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Basis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enquiry / RFQ forms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years from last contact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Legitimate interests, commercial records</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Client / partner contact data</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Duration of relationship + 7 years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Legal obligation (Bangladesh Companies Act)</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 application data (unsuccessful)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months from rejection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Legitimate interests (talent pool)</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Job application data (successful)</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Duration of employment + 7 years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Employment law obligations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Marketing consent records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Until consent withdrawn + 3 years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GDPR accountability (Art. 5(2))</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Website analytics data (GA4)</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14 months (GA4 default, anonymised)</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Analytics, legitimate interests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 and security logs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months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Security, fraud prevention</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Live chat transcripts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12 months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Service quality, legitimate interests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Financial / contractual records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 years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Bangladesh tax and company law</w:t>
            </w:r>
          </w:p>
        </w:tc>
      </w:tr>
    </w:tbl>
    <w:p>
      <w:pPr>
        <w:spacing w:after="60" w:before="0"/>
      </w:pPr>
      <w:r>
        <w:t xml:space="preserve"/>
      </w:r>
    </w:p>
    <w:p>
      <w:pPr>
        <w:spacing w:after="120" w:before="80" w:line="276"/>
        <w:jc w:val="both"/>
      </w:pPr>
      <w:r>
        <w:rPr>
          <w:rFonts w:ascii="Arial" w:cs="Arial" w:eastAsia="Arial" w:hAnsi="Arial"/>
          <w:sz w:val="22"/>
          <w:szCs w:val="22"/>
        </w:rPr>
        <w:t xml:space="preserve">After expiry of the applicable retention period, personal data is securely deleted or anonymised in accordance with our Data Destruction Procedure (ISO 27001 Annex A.8.10 aligned).</w:t>
      </w:r>
    </w:p>
    <w:p>
      <w:pPr>
        <w:pStyle w:val="Heading1"/>
        <w:pBdr>
          <w:bottom w:val="single" w:color="1B2A4A" w:sz="6" w:space="4"/>
        </w:pBdr>
        <w:spacing w:after="160" w:before="360"/>
      </w:pPr>
      <w:r>
        <w:rPr>
          <w:rFonts w:ascii="Arial" w:cs="Arial" w:eastAsia="Arial" w:hAnsi="Arial"/>
          <w:b/>
          <w:bCs/>
          <w:color w:val="1B2A4A"/>
          <w:sz w:val="32"/>
          <w:szCs w:val="32"/>
        </w:rPr>
        <w:t xml:space="preserve">9. Your Data Subject Rights</w:t>
      </w:r>
    </w:p>
    <w:p>
      <w:pPr>
        <w:spacing w:after="120" w:before="80" w:line="276"/>
        <w:jc w:val="both"/>
      </w:pPr>
      <w:r>
        <w:rPr>
          <w:rFonts w:ascii="Arial" w:cs="Arial" w:eastAsia="Arial" w:hAnsi="Arial"/>
          <w:sz w:val="22"/>
          <w:szCs w:val="22"/>
        </w:rPr>
        <w:t xml:space="preserve">Depending on your location and the applicable legal framework, you may have the following rights: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Right</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Applicable Framework</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Right to be informed</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 what data we hold and how we use it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GDPR Art. 13/14</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Right of access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Obtain a copy of your personal data (DSAR)</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GDPR Art. 15 | CCPA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Right to rectification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Correct inaccurate or incomplete data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GDPR Art. 16</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Right to erasure ('right to be forgotten')</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Request deletion of your personal data</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GDPR Art. 17 | CCPA</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Right to restrict processing</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Limit how we use your data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GDPR Art. 18</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Right to data portability</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Receive your data in a machine-readable format</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GDPR Art. 20</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Right to object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Object to processing based on legitimate interests or direct marketing</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GDPR Art. 21</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Right to withdraw consent</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Withdraw consent at any time without affecting prior processing</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GDPR Art. 7(3)</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Right to opt-out of sale/sharing (CCPA)</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California residents: opt out of sale of personal information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CCPA § 1798.120</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Right to non-discrimination (CCPA)</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Exercise rights without discriminatory treatment</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CCPA § 1798.125</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Right to lodge a complaint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Complain to a supervisory authority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GDPR Art. 77</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9.1 How to Exercise Your Rights</w:t>
      </w:r>
    </w:p>
    <w:p>
      <w:pPr>
        <w:spacing w:after="120" w:before="80" w:line="276"/>
        <w:jc w:val="both"/>
      </w:pPr>
      <w:r>
        <w:rPr>
          <w:rFonts w:ascii="Arial" w:cs="Arial" w:eastAsia="Arial" w:hAnsi="Arial"/>
          <w:sz w:val="22"/>
          <w:szCs w:val="22"/>
        </w:rPr>
        <w:t xml:space="preserve">To exercise any of the above rights, please submit a written request to privacy@betopialimited.com with the subject line 'Data Subject Request'. Please include sufficient information to verify your identity. We will respond within 30 days (extendable to 90 days for complex requests). There is no fee for exercising your rights unless requests are manifestly unfounded or excessive.</w:t>
      </w:r>
    </w:p>
    <w:p>
      <w:pPr>
        <w:pStyle w:val="Heading2"/>
        <w:spacing w:after="120" w:before="280"/>
      </w:pPr>
      <w:r>
        <w:rPr>
          <w:rFonts w:ascii="Arial" w:cs="Arial" w:eastAsia="Arial" w:hAnsi="Arial"/>
          <w:b/>
          <w:bCs/>
          <w:color w:val="1B2A4A"/>
          <w:sz w:val="26"/>
          <w:szCs w:val="26"/>
        </w:rPr>
        <w:t xml:space="preserve">9.2 Supervisory Authority Complaints</w:t>
      </w:r>
    </w:p>
    <w:p>
      <w:pPr>
        <w:spacing w:after="120" w:before="80" w:line="276"/>
        <w:jc w:val="both"/>
      </w:pPr>
      <w:r>
        <w:rPr>
          <w:rFonts w:ascii="Arial" w:cs="Arial" w:eastAsia="Arial" w:hAnsi="Arial"/>
          <w:sz w:val="22"/>
          <w:szCs w:val="22"/>
        </w:rPr>
        <w:t xml:space="preserve">EU residents: You have the right to lodge a complaint with the supervisory authority in your EU Member State. UK residents: You may contact the Information Commissioner's Office (ICO) at ico.org.uk. California residents: You may contact the California Privacy Protection Agency (CPPA). Bangladesh residents: Complaints may be addressed to the Bangladesh Telecommunication Regulatory Commission (BTRC).</w:t>
      </w:r>
    </w:p>
    <w:p>
      <w:pPr>
        <w:pStyle w:val="Heading1"/>
        <w:pBdr>
          <w:bottom w:val="single" w:color="1B2A4A" w:sz="6" w:space="4"/>
        </w:pBdr>
        <w:spacing w:after="160" w:before="360"/>
      </w:pPr>
      <w:r>
        <w:rPr>
          <w:rFonts w:ascii="Arial" w:cs="Arial" w:eastAsia="Arial" w:hAnsi="Arial"/>
          <w:b/>
          <w:bCs/>
          <w:color w:val="1B2A4A"/>
          <w:sz w:val="32"/>
          <w:szCs w:val="32"/>
        </w:rPr>
        <w:t xml:space="preserve">10. Cookies and Tracking Technologies</w:t>
      </w:r>
    </w:p>
    <w:p>
      <w:pPr>
        <w:spacing w:after="120" w:before="80" w:line="276"/>
        <w:jc w:val="both"/>
      </w:pPr>
      <w:r>
        <w:rPr>
          <w:rFonts w:ascii="Arial" w:cs="Arial" w:eastAsia="Arial" w:hAnsi="Arial"/>
          <w:sz w:val="22"/>
          <w:szCs w:val="22"/>
        </w:rPr>
        <w:t xml:space="preserve">We use cookies and similar tracking technologies on our websites. Full details of all cookies, trackers, and your consent options are set out in our Cookie &amp; Tracker Policy (Document Reference: BL-CTP-2026-001), available at betopiagroup.com/cookie-policy.</w:t>
      </w:r>
    </w:p>
    <w:p>
      <w:pPr>
        <w:spacing w:after="120" w:before="80" w:line="276"/>
        <w:jc w:val="both"/>
      </w:pPr>
      <w:r>
        <w:rPr>
          <w:rFonts w:ascii="Arial" w:cs="Arial" w:eastAsia="Arial" w:hAnsi="Arial"/>
          <w:sz w:val="22"/>
          <w:szCs w:val="22"/>
        </w:rPr>
        <w:t xml:space="preserve">In summary, our websites use:</w:t>
      </w:r>
    </w:p>
    <w:p>
      <w:pPr>
        <w:pStyle w:val="ListParagraph"/>
        <w:numPr>
          <w:ilvl w:val="0"/>
          <w:numId w:val="2"/>
        </w:numPr>
        <w:spacing w:after="60" w:before="40"/>
      </w:pPr>
      <w:r>
        <w:rPr>
          <w:rFonts w:ascii="Arial" w:cs="Arial" w:eastAsia="Arial" w:hAnsi="Arial"/>
          <w:sz w:val="22"/>
          <w:szCs w:val="22"/>
        </w:rPr>
        <w:t xml:space="preserve">Strictly necessary cookies (no consent required)</w:t>
      </w:r>
    </w:p>
    <w:p>
      <w:pPr>
        <w:pStyle w:val="ListParagraph"/>
        <w:numPr>
          <w:ilvl w:val="0"/>
          <w:numId w:val="2"/>
        </w:numPr>
        <w:spacing w:after="60" w:before="40"/>
      </w:pPr>
      <w:r>
        <w:rPr>
          <w:rFonts w:ascii="Arial" w:cs="Arial" w:eastAsia="Arial" w:hAnsi="Arial"/>
          <w:sz w:val="22"/>
          <w:szCs w:val="22"/>
        </w:rPr>
        <w:t xml:space="preserve">Analytics cookies — Google Analytics 4, Hotjar (consent required)</w:t>
      </w:r>
    </w:p>
    <w:p>
      <w:pPr>
        <w:pStyle w:val="ListParagraph"/>
        <w:numPr>
          <w:ilvl w:val="0"/>
          <w:numId w:val="2"/>
        </w:numPr>
        <w:spacing w:after="60" w:before="40"/>
      </w:pPr>
      <w:r>
        <w:rPr>
          <w:rFonts w:ascii="Arial" w:cs="Arial" w:eastAsia="Arial" w:hAnsi="Arial"/>
          <w:sz w:val="22"/>
          <w:szCs w:val="22"/>
        </w:rPr>
        <w:t xml:space="preserve">Marketing/advertising cookies — Meta Pixel, LinkedIn Insight Tag (consent required)</w:t>
      </w:r>
    </w:p>
    <w:p>
      <w:pPr>
        <w:pStyle w:val="ListParagraph"/>
        <w:numPr>
          <w:ilvl w:val="0"/>
          <w:numId w:val="2"/>
        </w:numPr>
        <w:spacing w:after="60" w:before="40"/>
      </w:pPr>
      <w:r>
        <w:rPr>
          <w:rFonts w:ascii="Arial" w:cs="Arial" w:eastAsia="Arial" w:hAnsi="Arial"/>
          <w:sz w:val="22"/>
          <w:szCs w:val="22"/>
        </w:rPr>
        <w:t xml:space="preserve">Functionality cookies — live chat session management (consent required)</w:t>
      </w:r>
    </w:p>
    <w:p>
      <w:pPr>
        <w:spacing w:after="120" w:before="80" w:line="276"/>
        <w:jc w:val="both"/>
      </w:pPr>
      <w:r>
        <w:rPr>
          <w:rFonts w:ascii="Arial" w:cs="Arial" w:eastAsia="Arial" w:hAnsi="Arial"/>
          <w:sz w:val="22"/>
          <w:szCs w:val="22"/>
        </w:rPr>
        <w:t xml:space="preserve">You can manage your cookie preferences at any time via our Cookie Preference Centre, accessible in the footer of our websites.</w:t>
      </w:r>
    </w:p>
    <w:p>
      <w:pPr>
        <w:pStyle w:val="Heading1"/>
        <w:pBdr>
          <w:bottom w:val="single" w:color="1B2A4A" w:sz="6" w:space="4"/>
        </w:pBdr>
        <w:spacing w:after="160" w:before="360"/>
      </w:pPr>
      <w:r>
        <w:rPr>
          <w:rFonts w:ascii="Arial" w:cs="Arial" w:eastAsia="Arial" w:hAnsi="Arial"/>
          <w:b/>
          <w:bCs/>
          <w:color w:val="1B2A4A"/>
          <w:sz w:val="32"/>
          <w:szCs w:val="32"/>
        </w:rPr>
        <w:t xml:space="preserve">11. Information Security</w:t>
      </w:r>
    </w:p>
    <w:p>
      <w:pPr>
        <w:spacing w:after="120" w:before="80" w:line="276"/>
        <w:jc w:val="both"/>
      </w:pPr>
      <w:r>
        <w:rPr>
          <w:rFonts w:ascii="Arial" w:cs="Arial" w:eastAsia="Arial" w:hAnsi="Arial"/>
          <w:sz w:val="22"/>
          <w:szCs w:val="22"/>
        </w:rPr>
        <w:t xml:space="preserve">Betopia Limited is aligned with ISO 27001 information security best practices and holds ISO 9001:2015 and ISO 22301:2019 certifications. We implement the following technical and organisational measures (TOMs) to protect your personal data:</w:t>
      </w:r>
    </w:p>
    <w:p>
      <w:pPr>
        <w:pStyle w:val="Heading2"/>
        <w:spacing w:after="120" w:before="280"/>
      </w:pPr>
      <w:r>
        <w:rPr>
          <w:rFonts w:ascii="Arial" w:cs="Arial" w:eastAsia="Arial" w:hAnsi="Arial"/>
          <w:b/>
          <w:bCs/>
          <w:color w:val="1B2A4A"/>
          <w:sz w:val="26"/>
          <w:szCs w:val="26"/>
        </w:rPr>
        <w:t xml:space="preserve">11.1 Technical Measures</w:t>
      </w:r>
    </w:p>
    <w:p>
      <w:pPr>
        <w:pStyle w:val="ListParagraph"/>
        <w:numPr>
          <w:ilvl w:val="0"/>
          <w:numId w:val="2"/>
        </w:numPr>
        <w:spacing w:after="60" w:before="40"/>
      </w:pPr>
      <w:r>
        <w:rPr>
          <w:rFonts w:ascii="Arial" w:cs="Arial" w:eastAsia="Arial" w:hAnsi="Arial"/>
          <w:sz w:val="22"/>
          <w:szCs w:val="22"/>
        </w:rPr>
        <w:t xml:space="preserve">TLS 1.2+ encryption for all data in transit</w:t>
      </w:r>
    </w:p>
    <w:p>
      <w:pPr>
        <w:pStyle w:val="ListParagraph"/>
        <w:numPr>
          <w:ilvl w:val="0"/>
          <w:numId w:val="2"/>
        </w:numPr>
        <w:spacing w:after="60" w:before="40"/>
      </w:pPr>
      <w:r>
        <w:rPr>
          <w:rFonts w:ascii="Arial" w:cs="Arial" w:eastAsia="Arial" w:hAnsi="Arial"/>
          <w:sz w:val="22"/>
          <w:szCs w:val="22"/>
        </w:rPr>
        <w:t xml:space="preserve">AES-256 encryption for data at rest on production systems</w:t>
      </w:r>
    </w:p>
    <w:p>
      <w:pPr>
        <w:pStyle w:val="ListParagraph"/>
        <w:numPr>
          <w:ilvl w:val="0"/>
          <w:numId w:val="2"/>
        </w:numPr>
        <w:spacing w:after="60" w:before="40"/>
      </w:pPr>
      <w:r>
        <w:rPr>
          <w:rFonts w:ascii="Arial" w:cs="Arial" w:eastAsia="Arial" w:hAnsi="Arial"/>
          <w:sz w:val="22"/>
          <w:szCs w:val="22"/>
        </w:rPr>
        <w:t xml:space="preserve">Access controls based on role-based access (RBAC) and least-privilege principles</w:t>
      </w:r>
    </w:p>
    <w:p>
      <w:pPr>
        <w:pStyle w:val="ListParagraph"/>
        <w:numPr>
          <w:ilvl w:val="0"/>
          <w:numId w:val="2"/>
        </w:numPr>
        <w:spacing w:after="60" w:before="40"/>
      </w:pPr>
      <w:r>
        <w:rPr>
          <w:rFonts w:ascii="Arial" w:cs="Arial" w:eastAsia="Arial" w:hAnsi="Arial"/>
          <w:sz w:val="22"/>
          <w:szCs w:val="22"/>
        </w:rPr>
        <w:t xml:space="preserve">Multi-factor authentication (MFA) for all administrative system access</w:t>
      </w:r>
    </w:p>
    <w:p>
      <w:pPr>
        <w:pStyle w:val="ListParagraph"/>
        <w:numPr>
          <w:ilvl w:val="0"/>
          <w:numId w:val="2"/>
        </w:numPr>
        <w:spacing w:after="60" w:before="40"/>
      </w:pPr>
      <w:r>
        <w:rPr>
          <w:rFonts w:ascii="Arial" w:cs="Arial" w:eastAsia="Arial" w:hAnsi="Arial"/>
          <w:sz w:val="22"/>
          <w:szCs w:val="22"/>
        </w:rPr>
        <w:t xml:space="preserve">Regular vulnerability scanning and penetration testing</w:t>
      </w:r>
    </w:p>
    <w:p>
      <w:pPr>
        <w:pStyle w:val="ListParagraph"/>
        <w:numPr>
          <w:ilvl w:val="0"/>
          <w:numId w:val="2"/>
        </w:numPr>
        <w:spacing w:after="60" w:before="40"/>
      </w:pPr>
      <w:r>
        <w:rPr>
          <w:rFonts w:ascii="Arial" w:cs="Arial" w:eastAsia="Arial" w:hAnsi="Arial"/>
          <w:sz w:val="22"/>
          <w:szCs w:val="22"/>
        </w:rPr>
        <w:t xml:space="preserve">Web Application Firewall (WAF) and DDoS protection</w:t>
      </w:r>
    </w:p>
    <w:p>
      <w:pPr>
        <w:pStyle w:val="Heading2"/>
        <w:spacing w:after="120" w:before="280"/>
      </w:pPr>
      <w:r>
        <w:rPr>
          <w:rFonts w:ascii="Arial" w:cs="Arial" w:eastAsia="Arial" w:hAnsi="Arial"/>
          <w:b/>
          <w:bCs/>
          <w:color w:val="1B2A4A"/>
          <w:sz w:val="26"/>
          <w:szCs w:val="26"/>
        </w:rPr>
        <w:t xml:space="preserve">11.2 Organisational Measures</w:t>
      </w:r>
    </w:p>
    <w:p>
      <w:pPr>
        <w:pStyle w:val="ListParagraph"/>
        <w:numPr>
          <w:ilvl w:val="0"/>
          <w:numId w:val="2"/>
        </w:numPr>
        <w:spacing w:after="60" w:before="40"/>
      </w:pPr>
      <w:r>
        <w:rPr>
          <w:rFonts w:ascii="Arial" w:cs="Arial" w:eastAsia="Arial" w:hAnsi="Arial"/>
          <w:sz w:val="22"/>
          <w:szCs w:val="22"/>
        </w:rPr>
        <w:t xml:space="preserve">Annual mandatory data protection training for all staff handling personal data</w:t>
      </w:r>
    </w:p>
    <w:p>
      <w:pPr>
        <w:pStyle w:val="ListParagraph"/>
        <w:numPr>
          <w:ilvl w:val="0"/>
          <w:numId w:val="2"/>
        </w:numPr>
        <w:spacing w:after="60" w:before="40"/>
      </w:pPr>
      <w:r>
        <w:rPr>
          <w:rFonts w:ascii="Arial" w:cs="Arial" w:eastAsia="Arial" w:hAnsi="Arial"/>
          <w:sz w:val="22"/>
          <w:szCs w:val="22"/>
        </w:rPr>
        <w:t xml:space="preserve">Background screening for employees with access to sensitive data</w:t>
      </w:r>
    </w:p>
    <w:p>
      <w:pPr>
        <w:pStyle w:val="ListParagraph"/>
        <w:numPr>
          <w:ilvl w:val="0"/>
          <w:numId w:val="2"/>
        </w:numPr>
        <w:spacing w:after="60" w:before="40"/>
      </w:pPr>
      <w:r>
        <w:rPr>
          <w:rFonts w:ascii="Arial" w:cs="Arial" w:eastAsia="Arial" w:hAnsi="Arial"/>
          <w:sz w:val="22"/>
          <w:szCs w:val="22"/>
        </w:rPr>
        <w:t xml:space="preserve">Data Processing Agreements (DPAs) with all sub-processors</w:t>
      </w:r>
    </w:p>
    <w:p>
      <w:pPr>
        <w:pStyle w:val="ListParagraph"/>
        <w:numPr>
          <w:ilvl w:val="0"/>
          <w:numId w:val="2"/>
        </w:numPr>
        <w:spacing w:after="60" w:before="40"/>
      </w:pPr>
      <w:r>
        <w:rPr>
          <w:rFonts w:ascii="Arial" w:cs="Arial" w:eastAsia="Arial" w:hAnsi="Arial"/>
          <w:sz w:val="22"/>
          <w:szCs w:val="22"/>
        </w:rPr>
        <w:t xml:space="preserve">Internal Data Protection Policy and Incident Response Procedure</w:t>
      </w:r>
    </w:p>
    <w:p>
      <w:pPr>
        <w:pStyle w:val="ListParagraph"/>
        <w:numPr>
          <w:ilvl w:val="0"/>
          <w:numId w:val="2"/>
        </w:numPr>
        <w:spacing w:after="60" w:before="40"/>
      </w:pPr>
      <w:r>
        <w:rPr>
          <w:rFonts w:ascii="Arial" w:cs="Arial" w:eastAsia="Arial" w:hAnsi="Arial"/>
          <w:sz w:val="22"/>
          <w:szCs w:val="22"/>
        </w:rPr>
        <w:t xml:space="preserve">Business Continuity Plan (ISO 22301:2019 certified)</w:t>
      </w:r>
    </w:p>
    <w:p>
      <w:pPr>
        <w:pStyle w:val="Heading2"/>
        <w:spacing w:after="120" w:before="280"/>
      </w:pPr>
      <w:r>
        <w:rPr>
          <w:rFonts w:ascii="Arial" w:cs="Arial" w:eastAsia="Arial" w:hAnsi="Arial"/>
          <w:b/>
          <w:bCs/>
          <w:color w:val="1B2A4A"/>
          <w:sz w:val="26"/>
          <w:szCs w:val="26"/>
        </w:rPr>
        <w:t xml:space="preserve">11.3 Data Breach Notification</w:t>
      </w:r>
    </w:p>
    <w:p>
      <w:pPr>
        <w:spacing w:after="120" w:before="80" w:line="276"/>
        <w:jc w:val="both"/>
      </w:pPr>
      <w:r>
        <w:rPr>
          <w:rFonts w:ascii="Arial" w:cs="Arial" w:eastAsia="Arial" w:hAnsi="Arial"/>
          <w:sz w:val="22"/>
          <w:szCs w:val="22"/>
        </w:rPr>
        <w:t xml:space="preserve">In the event of a personal data breach that poses a risk to your rights and freedoms, we will notify the relevant supervisory authority within 72 hours of becoming aware, and affected individuals without undue delay, in accordance with GDPR Article 33/34 requirements.</w:t>
      </w:r>
    </w:p>
    <w:p>
      <w:pPr>
        <w:pStyle w:val="Heading1"/>
        <w:pBdr>
          <w:bottom w:val="single" w:color="1B2A4A" w:sz="6" w:space="4"/>
        </w:pBdr>
        <w:spacing w:after="160" w:before="360"/>
      </w:pPr>
      <w:r>
        <w:rPr>
          <w:rFonts w:ascii="Arial" w:cs="Arial" w:eastAsia="Arial" w:hAnsi="Arial"/>
          <w:b/>
          <w:bCs/>
          <w:color w:val="1B2A4A"/>
          <w:sz w:val="32"/>
          <w:szCs w:val="32"/>
        </w:rPr>
        <w:t xml:space="preserve">12. California Privacy Rights (CCPA / CPRA)</w:t>
      </w:r>
    </w:p>
    <w:p>
      <w:pPr>
        <w:spacing w:after="120" w:before="80" w:line="276"/>
        <w:jc w:val="both"/>
      </w:pPr>
      <w:r>
        <w:rPr>
          <w:rFonts w:ascii="Arial" w:cs="Arial" w:eastAsia="Arial" w:hAnsi="Arial"/>
          <w:sz w:val="22"/>
          <w:szCs w:val="22"/>
        </w:rPr>
        <w:t xml:space="preserve">If you are a California resident, you have specific rights under the California Consumer Privacy Act (CCPA) as amended by the California Privacy Rights Act (CPRA):</w:t>
      </w:r>
    </w:p>
    <w:p>
      <w:pPr>
        <w:pStyle w:val="ListParagraph"/>
        <w:numPr>
          <w:ilvl w:val="0"/>
          <w:numId w:val="2"/>
        </w:numPr>
        <w:spacing w:after="60" w:before="40"/>
      </w:pPr>
      <w:r>
        <w:rPr>
          <w:rFonts w:ascii="Arial" w:cs="Arial" w:eastAsia="Arial" w:hAnsi="Arial"/>
          <w:sz w:val="22"/>
          <w:szCs w:val="22"/>
        </w:rPr>
        <w:t xml:space="preserve">Right to know: Request disclosure of the categories and specific pieces of personal information we have collected about you in the past 12 months</w:t>
      </w:r>
    </w:p>
    <w:p>
      <w:pPr>
        <w:pStyle w:val="ListParagraph"/>
        <w:numPr>
          <w:ilvl w:val="0"/>
          <w:numId w:val="2"/>
        </w:numPr>
        <w:spacing w:after="60" w:before="40"/>
      </w:pPr>
      <w:r>
        <w:rPr>
          <w:rFonts w:ascii="Arial" w:cs="Arial" w:eastAsia="Arial" w:hAnsi="Arial"/>
          <w:sz w:val="22"/>
          <w:szCs w:val="22"/>
        </w:rPr>
        <w:t xml:space="preserve">Right to delete: Request deletion of personal information we have collected from you</w:t>
      </w:r>
    </w:p>
    <w:p>
      <w:pPr>
        <w:pStyle w:val="ListParagraph"/>
        <w:numPr>
          <w:ilvl w:val="0"/>
          <w:numId w:val="2"/>
        </w:numPr>
        <w:spacing w:after="60" w:before="40"/>
      </w:pPr>
      <w:r>
        <w:rPr>
          <w:rFonts w:ascii="Arial" w:cs="Arial" w:eastAsia="Arial" w:hAnsi="Arial"/>
          <w:sz w:val="22"/>
          <w:szCs w:val="22"/>
        </w:rPr>
        <w:t xml:space="preserve">Right to correct: Request correction of inaccurate personal information</w:t>
      </w:r>
    </w:p>
    <w:p>
      <w:pPr>
        <w:pStyle w:val="ListParagraph"/>
        <w:numPr>
          <w:ilvl w:val="0"/>
          <w:numId w:val="2"/>
        </w:numPr>
        <w:spacing w:after="60" w:before="40"/>
      </w:pPr>
      <w:r>
        <w:rPr>
          <w:rFonts w:ascii="Arial" w:cs="Arial" w:eastAsia="Arial" w:hAnsi="Arial"/>
          <w:sz w:val="22"/>
          <w:szCs w:val="22"/>
        </w:rPr>
        <w:t xml:space="preserve">Right to opt-out: Opt out of the sale or sharing of personal information. Note: Betopia does not sell personal information for monetary consideration. However, sharing data with advertising platforms (Meta, LinkedIn) for targeted advertising may constitute 'sharing' under CPRA</w:t>
      </w:r>
    </w:p>
    <w:p>
      <w:pPr>
        <w:pStyle w:val="ListParagraph"/>
        <w:numPr>
          <w:ilvl w:val="0"/>
          <w:numId w:val="2"/>
        </w:numPr>
        <w:spacing w:after="60" w:before="40"/>
      </w:pPr>
      <w:r>
        <w:rPr>
          <w:rFonts w:ascii="Arial" w:cs="Arial" w:eastAsia="Arial" w:hAnsi="Arial"/>
          <w:sz w:val="22"/>
          <w:szCs w:val="22"/>
        </w:rPr>
        <w:t xml:space="preserve">Right to limit use of sensitive personal information</w:t>
      </w:r>
    </w:p>
    <w:p>
      <w:pPr>
        <w:pStyle w:val="ListParagraph"/>
        <w:numPr>
          <w:ilvl w:val="0"/>
          <w:numId w:val="2"/>
        </w:numPr>
        <w:spacing w:after="60" w:before="40"/>
      </w:pPr>
      <w:r>
        <w:rPr>
          <w:rFonts w:ascii="Arial" w:cs="Arial" w:eastAsia="Arial" w:hAnsi="Arial"/>
          <w:sz w:val="22"/>
          <w:szCs w:val="22"/>
        </w:rPr>
        <w:t xml:space="preserve">Right to non-discrimination: We will not discriminate against you for exercising your CCPA rights</w:t>
      </w:r>
    </w:p>
    <w:p>
      <w:pPr>
        <w:spacing w:after="120" w:before="80" w:line="276"/>
        <w:jc w:val="both"/>
      </w:pPr>
      <w:r>
        <w:rPr>
          <w:rFonts w:ascii="Arial" w:cs="Arial" w:eastAsia="Arial" w:hAnsi="Arial"/>
          <w:sz w:val="22"/>
          <w:szCs w:val="22"/>
        </w:rPr>
        <w:t xml:space="preserve">To submit a CCPA request, email privacy@betopialimited.com with subject line 'CCPA Request' or use the request form at betopiagroup.com/privacy-request. We will verify your identity before processing your request.</w:t>
      </w:r>
    </w:p>
    <w:p>
      <w:pPr>
        <w:spacing w:after="120" w:before="80" w:line="276"/>
        <w:jc w:val="both"/>
      </w:pPr>
      <w:r>
        <w:rPr>
          <w:rFonts w:ascii="Arial" w:cs="Arial" w:eastAsia="Arial" w:hAnsi="Arial"/>
          <w:sz w:val="22"/>
          <w:szCs w:val="22"/>
        </w:rPr>
        <w:t xml:space="preserve">Categories of personal information collected in the past 12 months: Identifiers (name, email, IP address); Commercial information (enquiry and RFQ data); Internet or other electronic network activity (usage data); Professional or employment-related information (job application data).</w:t>
      </w:r>
    </w:p>
    <w:p>
      <w:pPr>
        <w:pStyle w:val="Heading1"/>
        <w:pBdr>
          <w:bottom w:val="single" w:color="1B2A4A" w:sz="6" w:space="4"/>
        </w:pBdr>
        <w:spacing w:after="160" w:before="360"/>
      </w:pPr>
      <w:r>
        <w:rPr>
          <w:rFonts w:ascii="Arial" w:cs="Arial" w:eastAsia="Arial" w:hAnsi="Arial"/>
          <w:b/>
          <w:bCs/>
          <w:color w:val="1B2A4A"/>
          <w:sz w:val="32"/>
          <w:szCs w:val="32"/>
        </w:rPr>
        <w:t xml:space="preserve">13. Changes to This Privacy Policy</w:t>
      </w:r>
    </w:p>
    <w:p>
      <w:pPr>
        <w:spacing w:after="120" w:before="80" w:line="276"/>
        <w:jc w:val="both"/>
      </w:pPr>
      <w:r>
        <w:rPr>
          <w:rFonts w:ascii="Arial" w:cs="Arial" w:eastAsia="Arial" w:hAnsi="Arial"/>
          <w:sz w:val="22"/>
          <w:szCs w:val="22"/>
        </w:rPr>
        <w:t xml:space="preserve">We review this Privacy Policy at least annually, and whenever there is a material change to our data processing activities or applicable law. The effective date at the top of this document indicates when it was last updated.</w:t>
      </w:r>
    </w:p>
    <w:p>
      <w:pPr>
        <w:spacing w:after="120" w:before="80" w:line="276"/>
        <w:jc w:val="both"/>
      </w:pPr>
      <w:r>
        <w:rPr>
          <w:rFonts w:ascii="Arial" w:cs="Arial" w:eastAsia="Arial" w:hAnsi="Arial"/>
          <w:sz w:val="22"/>
          <w:szCs w:val="22"/>
        </w:rPr>
        <w:t xml:space="preserve">We will notify you of material changes by:</w:t>
      </w:r>
    </w:p>
    <w:p>
      <w:pPr>
        <w:pStyle w:val="ListParagraph"/>
        <w:numPr>
          <w:ilvl w:val="0"/>
          <w:numId w:val="2"/>
        </w:numPr>
        <w:spacing w:after="60" w:before="40"/>
      </w:pPr>
      <w:r>
        <w:rPr>
          <w:rFonts w:ascii="Arial" w:cs="Arial" w:eastAsia="Arial" w:hAnsi="Arial"/>
          <w:sz w:val="22"/>
          <w:szCs w:val="22"/>
        </w:rPr>
        <w:t xml:space="preserve">Posting a prominent notice on our websites for at least 30 days</w:t>
      </w:r>
    </w:p>
    <w:p>
      <w:pPr>
        <w:pStyle w:val="ListParagraph"/>
        <w:numPr>
          <w:ilvl w:val="0"/>
          <w:numId w:val="2"/>
        </w:numPr>
        <w:spacing w:after="60" w:before="40"/>
      </w:pPr>
      <w:r>
        <w:rPr>
          <w:rFonts w:ascii="Arial" w:cs="Arial" w:eastAsia="Arial" w:hAnsi="Arial"/>
          <w:sz w:val="22"/>
          <w:szCs w:val="22"/>
        </w:rPr>
        <w:t xml:space="preserve">Emailing registered newsletter subscribers</w:t>
      </w:r>
    </w:p>
    <w:p>
      <w:pPr>
        <w:pStyle w:val="ListParagraph"/>
        <w:numPr>
          <w:ilvl w:val="0"/>
          <w:numId w:val="2"/>
        </w:numPr>
        <w:spacing w:after="60" w:before="40"/>
      </w:pPr>
      <w:r>
        <w:rPr>
          <w:rFonts w:ascii="Arial" w:cs="Arial" w:eastAsia="Arial" w:hAnsi="Arial"/>
          <w:sz w:val="22"/>
          <w:szCs w:val="22"/>
        </w:rPr>
        <w:t xml:space="preserve">Updating the document version reference and effective date</w:t>
      </w:r>
    </w:p>
    <w:p>
      <w:pPr>
        <w:spacing w:after="120" w:before="80" w:line="276"/>
        <w:jc w:val="both"/>
      </w:pPr>
      <w:r>
        <w:rPr>
          <w:rFonts w:ascii="Arial" w:cs="Arial" w:eastAsia="Arial" w:hAnsi="Arial"/>
          <w:sz w:val="22"/>
          <w:szCs w:val="22"/>
        </w:rPr>
        <w:t xml:space="preserve">Your continued use of our websites after the effective date of a revised Policy constitutes acceptance of the changes, to the extent permitted by applicable law.</w:t>
      </w:r>
    </w:p>
    <w:p>
      <w:pPr>
        <w:pStyle w:val="Heading1"/>
        <w:pBdr>
          <w:bottom w:val="single" w:color="1B2A4A" w:sz="6" w:space="4"/>
        </w:pBdr>
        <w:spacing w:after="160" w:before="360"/>
      </w:pPr>
      <w:r>
        <w:rPr>
          <w:rFonts w:ascii="Arial" w:cs="Arial" w:eastAsia="Arial" w:hAnsi="Arial"/>
          <w:b/>
          <w:bCs/>
          <w:color w:val="1B2A4A"/>
          <w:sz w:val="32"/>
          <w:szCs w:val="32"/>
        </w:rPr>
        <w:t xml:space="preserve">14. Governing Law</w:t>
      </w:r>
    </w:p>
    <w:p>
      <w:pPr>
        <w:spacing w:after="120" w:before="80" w:line="276"/>
        <w:jc w:val="both"/>
      </w:pPr>
      <w:r>
        <w:rPr>
          <w:rFonts w:ascii="Arial" w:cs="Arial" w:eastAsia="Arial" w:hAnsi="Arial"/>
          <w:sz w:val="22"/>
          <w:szCs w:val="22"/>
        </w:rPr>
        <w:t xml:space="preserve">This Privacy Policy is governed by and construed in accordance with the laws of Bangladesh, without prejudice to any mandatory data protection rights you hold under the laws of your country of residence (including the GDPR, UK GDPR, or CCPA as applicable).</w:t>
      </w:r>
    </w:p>
    <w:p>
      <w:pPr>
        <w:spacing w:after="120" w:before="80" w:line="276"/>
        <w:jc w:val="both"/>
      </w:pPr>
      <w:r>
        <w:rPr>
          <w:rFonts w:ascii="Arial" w:cs="Arial" w:eastAsia="Arial" w:hAnsi="Arial"/>
          <w:sz w:val="22"/>
          <w:szCs w:val="22"/>
        </w:rPr>
        <w:t xml:space="preserve">Any disputes arising under this Policy shall first be subject to good-faith negotiation. If unresolved, disputes shall be subject to the exclusive jurisdiction of the courts of Dhaka, Bangladesh, except where applicable law requires otherwise.</w:t>
      </w:r>
    </w:p>
    <w:p>
      <w:pPr>
        <w:pStyle w:val="Heading1"/>
        <w:pBdr>
          <w:bottom w:val="single" w:color="1B2A4A" w:sz="6" w:space="4"/>
        </w:pBdr>
        <w:spacing w:after="160" w:before="360"/>
      </w:pPr>
      <w:r>
        <w:rPr>
          <w:rFonts w:ascii="Arial" w:cs="Arial" w:eastAsia="Arial" w:hAnsi="Arial"/>
          <w:b/>
          <w:bCs/>
          <w:color w:val="1B2A4A"/>
          <w:sz w:val="32"/>
          <w:szCs w:val="32"/>
        </w:rPr>
        <w:t xml:space="preserve">15. Contact 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Contact Method</w:t>
            </w:r>
          </w:p>
        </w:tc>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Details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Privacy / DPO Email</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privacy@betopialimited.com</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General Email</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info@betopialimited.com</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Postal Address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Daisy Garden, House 14, Block A, Banasree, Dhaka-1219, Bangladesh</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Website</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www.betopiagroup.com | www.betopialimited.com</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Response Time</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72 hours acknowledgement | 30 days substantive response</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Document Reference</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BL-PP-2026-001</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Version</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v1.0 — May 2026</w:t>
            </w:r>
          </w:p>
        </w:tc>
      </w:tr>
    </w:tbl>
    <w:p>
      <w:pPr>
        <w:spacing w:after="60" w:before="0"/>
      </w:pPr>
      <w:r>
        <w:t xml:space="preserve"/>
      </w:r>
    </w:p>
    <w:p>
      <w:pPr>
        <w:spacing w:after="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pBdr>
      <w:tabs>
        <w:tab w:val="right" w:pos="8026"/>
      </w:tabs>
      <w:spacing w:before="100"/>
    </w:pPr>
    <w:r>
      <w:rPr>
        <w:rFonts w:ascii="Arial" w:cs="Arial" w:eastAsia="Arial" w:hAnsi="Arial"/>
        <w:color w:val="666666"/>
        <w:sz w:val="18"/>
        <w:szCs w:val="18"/>
      </w:rPr>
      <w:t xml:space="preserve">Effective: 11 May 2026  |  BL-PP-2026-001</w:t>
    </w:r>
    <w:r>
      <w:rPr>
        <w:rFonts w:ascii="Arial" w:cs="Arial" w:eastAsia="Arial" w:hAnsi="Arial"/>
        <w:color w:val="666666"/>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spacing w:after="100"/>
    </w:pPr>
    <w:r>
      <w:rPr>
        <w:rFonts w:ascii="Arial" w:cs="Arial" w:eastAsia="Arial" w:hAnsi="Arial"/>
        <w:color w:val="666666"/>
        <w:sz w:val="18"/>
        <w:szCs w:val="18"/>
      </w:rPr>
      <w:t xml:space="preserve">Betopia Limited — Privacy Policy</w:t>
    </w:r>
    <w:r>
      <w:rPr>
        <w:rFonts w:ascii="Arial" w:cs="Arial" w:eastAsia="Arial" w:hAnsi="Arial"/>
        <w:b/>
        <w:bCs/>
        <w:color w:val="E8192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2026-05-11T17:37:20.335Z</dcterms:created>
  <dcterms:modified xsi:type="dcterms:W3CDTF">2026-05-11T17:37:20.336Z</dcterms:modified>
</cp:coreProperties>
</file>

<file path=docProps/custom.xml><?xml version="1.0" encoding="utf-8"?>
<Properties xmlns="http://schemas.openxmlformats.org/officeDocument/2006/custom-properties" xmlns:vt="http://schemas.openxmlformats.org/officeDocument/2006/docPropsVTypes"/>
</file>