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0"/>
        <w:jc w:val="center"/>
      </w:pPr>
      <w:r>
        <w:rPr>
          <w:rFonts w:ascii="Arial" w:cs="Arial" w:eastAsia="Arial" w:hAnsi="Arial"/>
          <w:b/>
          <w:bCs/>
          <w:color w:val="1B2A4A"/>
          <w:sz w:val="52"/>
          <w:szCs w:val="52"/>
        </w:rPr>
        <w:t xml:space="preserve">BETOPIA LIMITED</w:t>
      </w:r>
    </w:p>
    <w:p>
      <w:pPr>
        <w:spacing w:after="80" w:before="0"/>
        <w:jc w:val="center"/>
      </w:pPr>
      <w:r>
        <w:rPr>
          <w:rFonts w:ascii="Arial" w:cs="Arial" w:eastAsia="Arial" w:hAnsi="Arial"/>
          <w:b/>
          <w:bCs/>
          <w:color w:val="E8192C"/>
          <w:sz w:val="40"/>
          <w:szCs w:val="40"/>
        </w:rPr>
        <w:t xml:space="preserve">&amp; BETOPIA GROUP</w:t>
      </w:r>
    </w:p>
    <w:p>
      <w:pPr>
        <w:pBdr>
          <w:bottom w:val="single" w:color="E8192C" w:sz="12"/>
        </w:pBdr>
        <w:spacing w:after="80" w:before="80"/>
      </w:pPr>
    </w:p>
    <w:p>
      <w:pPr>
        <w:spacing w:after="120" w:before="240"/>
        <w:jc w:val="center"/>
      </w:pPr>
      <w:r>
        <w:rPr>
          <w:rFonts w:ascii="Arial" w:cs="Arial" w:eastAsia="Arial" w:hAnsi="Arial"/>
          <w:b/>
          <w:bCs/>
          <w:color w:val="1B2A4A"/>
          <w:sz w:val="44"/>
          <w:szCs w:val="44"/>
        </w:rPr>
        <w:t xml:space="preserve">INFORMATION SECURITY POLICY</w:t>
      </w:r>
    </w:p>
    <w:p>
      <w:pPr>
        <w:spacing w:after="480" w:before="0"/>
        <w:jc w:val="center"/>
      </w:pPr>
      <w:r>
        <w:rPr>
          <w:rFonts w:ascii="Arial" w:cs="Arial" w:eastAsia="Arial" w:hAnsi="Arial"/>
          <w:i/>
          <w:iCs/>
          <w:color w:val="666666"/>
          <w:sz w:val="24"/>
          <w:szCs w:val="24"/>
        </w:rPr>
        <w:t xml:space="preserve">ISO 27001 Aligned · ISO 22301:2019 Certified · ISO 9001:2015 Certified</w:t>
      </w:r>
    </w:p>
    <w:p>
      <w:pPr>
        <w:jc w:val="center"/>
      </w:pPr>
      <w:r>
        <w:rPr>
          <w:rFonts w:ascii="Arial" w:cs="Arial" w:eastAsia="Arial" w:hAnsi="Arial"/>
          <w:color w:val="444444"/>
          <w:sz w:val="22"/>
          <w:szCs w:val="22"/>
        </w:rPr>
        <w:t xml:space="preserve">Effective Date: 11 May 2026</w:t>
      </w:r>
    </w:p>
    <w:p>
      <w:pPr>
        <w:jc w:val="center"/>
      </w:pPr>
      <w:r>
        <w:rPr>
          <w:rFonts w:ascii="Arial" w:cs="Arial" w:eastAsia="Arial" w:hAnsi="Arial"/>
          <w:color w:val="444444"/>
          <w:sz w:val="22"/>
          <w:szCs w:val="22"/>
        </w:rPr>
        <w:t xml:space="preserve">Next Review: 11 May 2027</w:t>
      </w:r>
    </w:p>
    <w:p>
      <w:pPr>
        <w:spacing w:before="200"/>
        <w:jc w:val="center"/>
      </w:pPr>
      <w:r>
        <w:rPr>
          <w:rFonts w:ascii="Arial" w:cs="Arial" w:eastAsia="Arial" w:hAnsi="Arial"/>
          <w:color w:val="888888"/>
          <w:sz w:val="20"/>
          <w:szCs w:val="20"/>
        </w:rPr>
        <w:t xml:space="preserve">Document Reference: BL-SP-2026-001  |  Classification: PUBLIC</w:t>
      </w:r>
    </w:p>
    <w:p>
      <w:r>
        <w:br w:type="page"/>
      </w:r>
    </w:p>
    <w:p>
      <w:pPr>
        <w:pStyle w:val="Heading1"/>
        <w:pBdr>
          <w:bottom w:val="single" w:color="1B2A4A" w:sz="6" w:space="4"/>
        </w:pBdr>
        <w:spacing w:after="160" w:before="360"/>
      </w:pPr>
      <w:r>
        <w:rPr>
          <w:rFonts w:ascii="Arial" w:cs="Arial" w:eastAsia="Arial" w:hAnsi="Arial"/>
          <w:b/>
          <w:bCs/>
          <w:color w:val="1B2A4A"/>
          <w:sz w:val="32"/>
          <w:szCs w:val="32"/>
        </w:rPr>
        <w:t xml:space="preserve">1. Policy Statement and Certifications</w:t>
      </w:r>
    </w:p>
    <w:p>
      <w:pPr>
        <w:spacing w:after="120" w:before="80" w:line="276"/>
        <w:jc w:val="both"/>
      </w:pPr>
      <w:r>
        <w:rPr>
          <w:rFonts w:ascii="Arial" w:cs="Arial" w:eastAsia="Arial" w:hAnsi="Arial"/>
          <w:sz w:val="22"/>
          <w:szCs w:val="22"/>
        </w:rPr>
        <w:t xml:space="preserve">Betopia Limited is committed to protecting the confidentiality, integrity, and availability of all information assets entrusted to us by our clients, partners, employees, and stakeholders. Information security is a strategic priority embedded across all 22+ Strategic Business Units (SBUs) of Betopia Group, operating across 80+ countries with 5,000+ professionals.</w:t>
      </w:r>
    </w:p>
    <w:p>
      <w:pPr>
        <w:spacing w:after="120" w:before="80" w:line="276"/>
        <w:jc w:val="both"/>
      </w:pPr>
      <w:r>
        <w:rPr>
          <w:rFonts w:ascii="Arial" w:cs="Arial" w:eastAsia="Arial" w:hAnsi="Arial"/>
          <w:sz w:val="22"/>
          <w:szCs w:val="22"/>
        </w:rPr>
        <w:t xml:space="preserve">Betopia Limited's security posture is underpinned by the following formal certifications, issued by QRO: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E8192C" w:sz="1"/>
              <w:left w:val="single" w:color="E8192C" w:sz="1"/>
              <w:bottom w:val="single" w:color="E8192C" w:sz="1"/>
              <w:right w:val="single" w:color="E8192C" w:sz="1"/>
            </w:tcBorders>
            <w:shd w:fill="E8192C" w:val="clear"/>
            <w:tcMar>
              <w:top w:type="dxa" w:w="100"/>
              <w:left w:type="dxa" w:w="140"/>
              <w:bottom w:type="dxa" w:w="100"/>
              <w:right w:type="dxa" w:w="140"/>
            </w:tcMar>
          </w:tcPr>
          <w:p>
            <w:r>
              <w:rPr>
                <w:rFonts w:ascii="Arial" w:cs="Arial" w:eastAsia="Arial" w:hAnsi="Arial"/>
                <w:b/>
                <w:bCs/>
                <w:color w:val="FFFFFF"/>
                <w:sz w:val="24"/>
                <w:szCs w:val="24"/>
              </w:rPr>
              <w:t xml:space="preserve">ISO 22301:2019</w:t>
            </w:r>
          </w:p>
        </w:tc>
        <w:tc>
          <w:tcPr>
            <w:tcW w:type="dxa" w:w="3600"/>
            <w:tcBorders>
              <w:top w:val="single" w:color="1B2A4A" w:sz="1"/>
              <w:left w:val="single" w:color="1B2A4A" w:sz="1"/>
              <w:bottom w:val="single" w:color="1B2A4A" w:sz="1"/>
              <w:right w:val="single" w:color="1B2A4A" w:sz="1"/>
            </w:tcBorders>
            <w:shd w:fill="EEF2F7" w:val="clear"/>
            <w:tcMar>
              <w:top w:type="dxa" w:w="100"/>
              <w:left w:type="dxa" w:w="140"/>
              <w:bottom w:type="dxa" w:w="100"/>
              <w:right w:type="dxa" w:w="140"/>
            </w:tcMar>
          </w:tcPr>
          <w:p>
            <w:r>
              <w:rPr>
                <w:rFonts w:ascii="Arial" w:cs="Arial" w:eastAsia="Arial" w:hAnsi="Arial"/>
                <w:sz w:val="20"/>
                <w:szCs w:val="20"/>
              </w:rPr>
              <w:t xml:space="preserve">Certified by QRO — Business Continuity Management System (BCMS)</w:t>
            </w:r>
          </w:p>
        </w:tc>
        <w:tc>
          <w:tcPr>
            <w:tcW w:type="dxa" w:w="2626"/>
            <w:tcBorders>
              <w:top w:val="single" w:color="1B2A4A" w:sz="1"/>
              <w:left w:val="single" w:color="1B2A4A" w:sz="1"/>
              <w:bottom w:val="single" w:color="1B2A4A" w:sz="1"/>
              <w:right w:val="single" w:color="1B2A4A" w:sz="1"/>
            </w:tcBorders>
            <w:shd w:fill="FFFFFF" w:val="clear"/>
            <w:tcMar>
              <w:top w:type="dxa" w:w="100"/>
              <w:left w:type="dxa" w:w="140"/>
              <w:bottom w:type="dxa" w:w="100"/>
              <w:right w:type="dxa" w:w="140"/>
            </w:tcMar>
          </w:tcPr>
          <w:p>
            <w:r>
              <w:rPr>
                <w:rFonts w:ascii="Arial" w:cs="Arial" w:eastAsia="Arial" w:hAnsi="Arial"/>
                <w:i/>
                <w:iCs/>
                <w:color w:val="555555"/>
                <w:sz w:val="20"/>
                <w:szCs w:val="20"/>
              </w:rPr>
              <w:t xml:space="preserve">Full organisational scope — Betopia Limited</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c>
          <w:tcPr>
            <w:tcW w:type="dxa" w:w="2800"/>
            <w:tcBorders>
              <w:top w:val="single" w:color="E8192C" w:sz="1"/>
              <w:left w:val="single" w:color="E8192C" w:sz="1"/>
              <w:bottom w:val="single" w:color="E8192C" w:sz="1"/>
              <w:right w:val="single" w:color="E8192C" w:sz="1"/>
            </w:tcBorders>
            <w:shd w:fill="E8192C" w:val="clear"/>
            <w:tcMar>
              <w:top w:type="dxa" w:w="100"/>
              <w:left w:type="dxa" w:w="140"/>
              <w:bottom w:type="dxa" w:w="100"/>
              <w:right w:type="dxa" w:w="140"/>
            </w:tcMar>
          </w:tcPr>
          <w:p>
            <w:r>
              <w:rPr>
                <w:rFonts w:ascii="Arial" w:cs="Arial" w:eastAsia="Arial" w:hAnsi="Arial"/>
                <w:b/>
                <w:bCs/>
                <w:color w:val="FFFFFF"/>
                <w:sz w:val="24"/>
                <w:szCs w:val="24"/>
              </w:rPr>
              <w:t xml:space="preserve">ISO 9001:2015</w:t>
            </w:r>
          </w:p>
        </w:tc>
        <w:tc>
          <w:tcPr>
            <w:tcW w:type="dxa" w:w="3600"/>
            <w:tcBorders>
              <w:top w:val="single" w:color="1B2A4A" w:sz="1"/>
              <w:left w:val="single" w:color="1B2A4A" w:sz="1"/>
              <w:bottom w:val="single" w:color="1B2A4A" w:sz="1"/>
              <w:right w:val="single" w:color="1B2A4A" w:sz="1"/>
            </w:tcBorders>
            <w:shd w:fill="EEF2F7" w:val="clear"/>
            <w:tcMar>
              <w:top w:type="dxa" w:w="100"/>
              <w:left w:type="dxa" w:w="140"/>
              <w:bottom w:type="dxa" w:w="100"/>
              <w:right w:type="dxa" w:w="140"/>
            </w:tcMar>
          </w:tcPr>
          <w:p>
            <w:r>
              <w:rPr>
                <w:rFonts w:ascii="Arial" w:cs="Arial" w:eastAsia="Arial" w:hAnsi="Arial"/>
                <w:sz w:val="20"/>
                <w:szCs w:val="20"/>
              </w:rPr>
              <w:t xml:space="preserve">Certified by QRO — Quality Management System (QMS)</w:t>
            </w:r>
          </w:p>
        </w:tc>
        <w:tc>
          <w:tcPr>
            <w:tcW w:type="dxa" w:w="2626"/>
            <w:tcBorders>
              <w:top w:val="single" w:color="1B2A4A" w:sz="1"/>
              <w:left w:val="single" w:color="1B2A4A" w:sz="1"/>
              <w:bottom w:val="single" w:color="1B2A4A" w:sz="1"/>
              <w:right w:val="single" w:color="1B2A4A" w:sz="1"/>
            </w:tcBorders>
            <w:shd w:fill="FFFFFF" w:val="clear"/>
            <w:tcMar>
              <w:top w:type="dxa" w:w="100"/>
              <w:left w:type="dxa" w:w="140"/>
              <w:bottom w:type="dxa" w:w="100"/>
              <w:right w:type="dxa" w:w="140"/>
            </w:tcMar>
          </w:tcPr>
          <w:p>
            <w:r>
              <w:rPr>
                <w:rFonts w:ascii="Arial" w:cs="Arial" w:eastAsia="Arial" w:hAnsi="Arial"/>
                <w:i/>
                <w:iCs/>
                <w:color w:val="555555"/>
                <w:sz w:val="20"/>
                <w:szCs w:val="20"/>
              </w:rPr>
              <w:t xml:space="preserve">Full organisational scope — Betopia Limited</w:t>
            </w:r>
          </w:p>
        </w:tc>
      </w:tr>
    </w:tbl>
    <w:p>
      <w:pPr>
        <w:spacing w:after="60" w:before="0"/>
      </w:pPr>
      <w:r>
        <w:t xml:space="preserve"/>
      </w:r>
    </w:p>
    <w:p>
      <w:pPr>
        <w:spacing w:after="120" w:before="80" w:line="276"/>
        <w:jc w:val="both"/>
      </w:pPr>
      <w:r>
        <w:rPr>
          <w:rFonts w:ascii="Arial" w:cs="Arial" w:eastAsia="Arial" w:hAnsi="Arial"/>
          <w:sz w:val="22"/>
          <w:szCs w:val="22"/>
        </w:rPr>
        <w:t xml:space="preserve">In addition to our formal certifications, our Information Security Management System (ISMS) is designed and operated in alignment with ISO/IEC 27001:2022 controls and best practices, covering Annex A control domains including access control, cryptography, physical security, operations security, communications security, and supplier relationships.</w:t>
      </w:r>
    </w:p>
    <w:p>
      <w:pPr>
        <w:spacing w:after="120" w:before="80" w:line="276"/>
        <w:jc w:val="both"/>
      </w:pPr>
      <w:r>
        <w:rPr>
          <w:rFonts w:ascii="Arial" w:cs="Arial" w:eastAsia="Arial" w:hAnsi="Arial"/>
          <w:sz w:val="22"/>
          <w:szCs w:val="22"/>
        </w:rPr>
        <w:t xml:space="preserve">This policy is reviewed annually by senior leadership and updated to reflect changes in our threat landscape, regulatory environment, and technology stack.</w:t>
      </w:r>
    </w:p>
    <w:p>
      <w:pPr>
        <w:pStyle w:val="Heading1"/>
        <w:pBdr>
          <w:bottom w:val="single" w:color="1B2A4A" w:sz="6" w:space="4"/>
        </w:pBdr>
        <w:spacing w:after="160" w:before="360"/>
      </w:pPr>
      <w:r>
        <w:rPr>
          <w:rFonts w:ascii="Arial" w:cs="Arial" w:eastAsia="Arial" w:hAnsi="Arial"/>
          <w:b/>
          <w:bCs/>
          <w:color w:val="1B2A4A"/>
          <w:sz w:val="32"/>
          <w:szCs w:val="32"/>
        </w:rPr>
        <w:t xml:space="preserve">2. Scope</w:t>
      </w:r>
    </w:p>
    <w:p>
      <w:pPr>
        <w:spacing w:after="120" w:before="80" w:line="276"/>
        <w:jc w:val="both"/>
      </w:pPr>
      <w:r>
        <w:rPr>
          <w:rFonts w:ascii="Arial" w:cs="Arial" w:eastAsia="Arial" w:hAnsi="Arial"/>
          <w:sz w:val="22"/>
          <w:szCs w:val="22"/>
        </w:rPr>
        <w:t xml:space="preserve">This Information Security Policy applies to:</w:t>
      </w:r>
    </w:p>
    <w:p>
      <w:pPr>
        <w:pStyle w:val="ListParagraph"/>
        <w:numPr>
          <w:ilvl w:val="0"/>
          <w:numId w:val="2"/>
        </w:numPr>
        <w:spacing w:after="60" w:before="40"/>
      </w:pPr>
      <w:r>
        <w:rPr>
          <w:rFonts w:ascii="Arial" w:cs="Arial" w:eastAsia="Arial" w:hAnsi="Arial"/>
          <w:sz w:val="22"/>
          <w:szCs w:val="22"/>
        </w:rPr>
        <w:t xml:space="preserve">All Betopia Limited and Betopia Group employees, contractors, consultants, interns, and temporary staff</w:t>
      </w:r>
    </w:p>
    <w:p>
      <w:pPr>
        <w:pStyle w:val="ListParagraph"/>
        <w:numPr>
          <w:ilvl w:val="0"/>
          <w:numId w:val="2"/>
        </w:numPr>
        <w:spacing w:after="60" w:before="40"/>
      </w:pPr>
      <w:r>
        <w:rPr>
          <w:rFonts w:ascii="Arial" w:cs="Arial" w:eastAsia="Arial" w:hAnsi="Arial"/>
          <w:sz w:val="22"/>
          <w:szCs w:val="22"/>
        </w:rPr>
        <w:t xml:space="preserve">All information systems, networks, applications, databases, and digital assets owned or operated by Betopia</w:t>
      </w:r>
    </w:p>
    <w:p>
      <w:pPr>
        <w:pStyle w:val="ListParagraph"/>
        <w:numPr>
          <w:ilvl w:val="0"/>
          <w:numId w:val="2"/>
        </w:numPr>
        <w:spacing w:after="60" w:before="40"/>
      </w:pPr>
      <w:r>
        <w:rPr>
          <w:rFonts w:ascii="Arial" w:cs="Arial" w:eastAsia="Arial" w:hAnsi="Arial"/>
          <w:sz w:val="22"/>
          <w:szCs w:val="22"/>
        </w:rPr>
        <w:t xml:space="preserve">All third-party suppliers, sub-processors, and partners who access Betopia information systems or process Betopia data</w:t>
      </w:r>
    </w:p>
    <w:p>
      <w:pPr>
        <w:pStyle w:val="ListParagraph"/>
        <w:numPr>
          <w:ilvl w:val="0"/>
          <w:numId w:val="2"/>
        </w:numPr>
        <w:spacing w:after="60" w:before="40"/>
      </w:pPr>
      <w:r>
        <w:rPr>
          <w:rFonts w:ascii="Arial" w:cs="Arial" w:eastAsia="Arial" w:hAnsi="Arial"/>
          <w:sz w:val="22"/>
          <w:szCs w:val="22"/>
        </w:rPr>
        <w:t xml:space="preserve">All data processed on behalf of our clients across all SBUs</w:t>
      </w:r>
    </w:p>
    <w:p>
      <w:pPr>
        <w:pStyle w:val="ListParagraph"/>
        <w:numPr>
          <w:ilvl w:val="0"/>
          <w:numId w:val="2"/>
        </w:numPr>
        <w:spacing w:after="60" w:before="40"/>
      </w:pPr>
      <w:r>
        <w:rPr>
          <w:rFonts w:ascii="Arial" w:cs="Arial" w:eastAsia="Arial" w:hAnsi="Arial"/>
          <w:sz w:val="22"/>
          <w:szCs w:val="22"/>
        </w:rPr>
        <w:t xml:space="preserve">Physical premises including our registered office in Dhaka and any branch or co-working locations</w:t>
      </w:r>
    </w:p>
    <w:p>
      <w:pPr>
        <w:spacing w:after="120" w:before="80" w:line="276"/>
        <w:jc w:val="both"/>
      </w:pPr>
      <w:r>
        <w:rPr>
          <w:rFonts w:ascii="Arial" w:cs="Arial" w:eastAsia="Arial" w:hAnsi="Arial"/>
          <w:sz w:val="22"/>
          <w:szCs w:val="22"/>
        </w:rPr>
        <w:t xml:space="preserve">This policy applies regardless of the location from which information is accessed (office, remote, or client site) and regardless of the device used (company-owned or personal BYOD).</w:t>
      </w:r>
    </w:p>
    <w:p>
      <w:pPr>
        <w:pStyle w:val="Heading1"/>
        <w:pBdr>
          <w:bottom w:val="single" w:color="1B2A4A" w:sz="6" w:space="4"/>
        </w:pBdr>
        <w:spacing w:after="160" w:before="360"/>
      </w:pPr>
      <w:r>
        <w:rPr>
          <w:rFonts w:ascii="Arial" w:cs="Arial" w:eastAsia="Arial" w:hAnsi="Arial"/>
          <w:b/>
          <w:bCs/>
          <w:color w:val="1B2A4A"/>
          <w:sz w:val="32"/>
          <w:szCs w:val="32"/>
        </w:rPr>
        <w:t xml:space="preserve">3. Information Security Objectives</w:t>
      </w:r>
    </w:p>
    <w:p>
      <w:pPr>
        <w:spacing w:after="120" w:before="80" w:line="276"/>
        <w:jc w:val="both"/>
      </w:pPr>
      <w:r>
        <w:rPr>
          <w:rFonts w:ascii="Arial" w:cs="Arial" w:eastAsia="Arial" w:hAnsi="Arial"/>
          <w:sz w:val="22"/>
          <w:szCs w:val="22"/>
        </w:rPr>
        <w:t xml:space="preserve">Our information security programme is designed to achieve the following objectives, aligned with the CIA triad:</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Objective</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Key Control Mechanisms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Confidentiality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Ensure information is accessible only to authorised individuals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RBAC, MFA, encryption, NDA agreements, data classification</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Integrity</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Safeguard accuracy and completeness of information and processing</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Checksums, audit logs, change management, code reviews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Availability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Ensure authorised users can access information when required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Redundancy, BCP (ISO 22301), SLA monitoring, disaster recovery</w:t>
            </w:r>
          </w:p>
        </w:tc>
      </w:tr>
    </w:tbl>
    <w:p>
      <w:pPr>
        <w:spacing w:after="60" w:before="0"/>
      </w:pPr>
      <w:r>
        <w:t xml:space="preserve"/>
      </w:r>
    </w:p>
    <w:p>
      <w:pPr>
        <w:pStyle w:val="Heading1"/>
        <w:pBdr>
          <w:bottom w:val="single" w:color="1B2A4A" w:sz="6" w:space="4"/>
        </w:pBdr>
        <w:spacing w:after="160" w:before="360"/>
      </w:pPr>
      <w:r>
        <w:rPr>
          <w:rFonts w:ascii="Arial" w:cs="Arial" w:eastAsia="Arial" w:hAnsi="Arial"/>
          <w:b/>
          <w:bCs/>
          <w:color w:val="1B2A4A"/>
          <w:sz w:val="32"/>
          <w:szCs w:val="32"/>
        </w:rPr>
        <w:t xml:space="preserve">4. Data Classification</w:t>
      </w:r>
    </w:p>
    <w:p>
      <w:pPr>
        <w:spacing w:after="120" w:before="80" w:line="276"/>
        <w:jc w:val="both"/>
      </w:pPr>
      <w:r>
        <w:rPr>
          <w:rFonts w:ascii="Arial" w:cs="Arial" w:eastAsia="Arial" w:hAnsi="Arial"/>
          <w:sz w:val="22"/>
          <w:szCs w:val="22"/>
        </w:rPr>
        <w:t xml:space="preserve">All Betopia information assets are classified into the following categories, which determine handling, storage, transmission, and disposal requirements: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Classification</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Examples</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Handling Requirements</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Public</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Approved for public release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Website content, press releases, published case studies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restrictions on distribution</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Internal</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For internal use within Betopia Group</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Internal memos, operational procedures, staff directories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Not to be shared externally without approval</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Confidential</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Sensitive business information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Client contracts, financial data, strategic plans, HR records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Encrypted in transit and at rest; restricted access; NDA required</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Restricted</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Highest sensitivity; breach would cause severe harm</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Encryption keys, credentials, client PII, source code</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Strict need-to-know; MFA required; encrypted; audit logs mandatory</w:t>
            </w:r>
          </w:p>
        </w:tc>
      </w:tr>
    </w:tbl>
    <w:p>
      <w:pPr>
        <w:spacing w:after="60" w:before="0"/>
      </w:pPr>
      <w:r>
        <w:t xml:space="preserve"/>
      </w:r>
    </w:p>
    <w:p>
      <w:pPr>
        <w:spacing w:after="120" w:before="80" w:line="276"/>
        <w:jc w:val="both"/>
      </w:pPr>
      <w:r>
        <w:rPr>
          <w:rFonts w:ascii="Arial" w:cs="Arial" w:eastAsia="Arial" w:hAnsi="Arial"/>
          <w:sz w:val="22"/>
          <w:szCs w:val="22"/>
        </w:rPr>
        <w:t xml:space="preserve">All staff are trained to identify and handle information according to its classification. Misclassification or mishandling of information is subject to disciplinary action.</w:t>
      </w:r>
    </w:p>
    <w:p>
      <w:pPr>
        <w:pStyle w:val="Heading1"/>
        <w:pBdr>
          <w:bottom w:val="single" w:color="1B2A4A" w:sz="6" w:space="4"/>
        </w:pBdr>
        <w:spacing w:after="160" w:before="360"/>
      </w:pPr>
      <w:r>
        <w:rPr>
          <w:rFonts w:ascii="Arial" w:cs="Arial" w:eastAsia="Arial" w:hAnsi="Arial"/>
          <w:b/>
          <w:bCs/>
          <w:color w:val="1B2A4A"/>
          <w:sz w:val="32"/>
          <w:szCs w:val="32"/>
        </w:rPr>
        <w:t xml:space="preserve">5. Access Control and Identity Management</w:t>
      </w:r>
    </w:p>
    <w:p>
      <w:pPr>
        <w:pStyle w:val="Heading2"/>
        <w:spacing w:after="120" w:before="280"/>
      </w:pPr>
      <w:r>
        <w:rPr>
          <w:rFonts w:ascii="Arial" w:cs="Arial" w:eastAsia="Arial" w:hAnsi="Arial"/>
          <w:b/>
          <w:bCs/>
          <w:color w:val="1B2A4A"/>
          <w:sz w:val="26"/>
          <w:szCs w:val="26"/>
        </w:rPr>
        <w:t xml:space="preserve">5.1 Principles</w:t>
      </w:r>
    </w:p>
    <w:p>
      <w:pPr>
        <w:pStyle w:val="ListParagraph"/>
        <w:numPr>
          <w:ilvl w:val="0"/>
          <w:numId w:val="2"/>
        </w:numPr>
        <w:spacing w:after="60" w:before="40"/>
      </w:pPr>
      <w:r>
        <w:rPr>
          <w:rFonts w:ascii="Arial" w:cs="Arial" w:eastAsia="Arial" w:hAnsi="Arial"/>
          <w:sz w:val="22"/>
          <w:szCs w:val="22"/>
        </w:rPr>
        <w:t xml:space="preserve">Least Privilege: Users are granted the minimum access rights required to perform their role</w:t>
      </w:r>
    </w:p>
    <w:p>
      <w:pPr>
        <w:pStyle w:val="ListParagraph"/>
        <w:numPr>
          <w:ilvl w:val="0"/>
          <w:numId w:val="2"/>
        </w:numPr>
        <w:spacing w:after="60" w:before="40"/>
      </w:pPr>
      <w:r>
        <w:rPr>
          <w:rFonts w:ascii="Arial" w:cs="Arial" w:eastAsia="Arial" w:hAnsi="Arial"/>
          <w:sz w:val="22"/>
          <w:szCs w:val="22"/>
        </w:rPr>
        <w:t xml:space="preserve">Need-to-Know: Access to Confidential and Restricted data is granted only to individuals with a documented business need</w:t>
      </w:r>
    </w:p>
    <w:p>
      <w:pPr>
        <w:pStyle w:val="ListParagraph"/>
        <w:numPr>
          <w:ilvl w:val="0"/>
          <w:numId w:val="2"/>
        </w:numPr>
        <w:spacing w:after="60" w:before="40"/>
      </w:pPr>
      <w:r>
        <w:rPr>
          <w:rFonts w:ascii="Arial" w:cs="Arial" w:eastAsia="Arial" w:hAnsi="Arial"/>
          <w:sz w:val="22"/>
          <w:szCs w:val="22"/>
        </w:rPr>
        <w:t xml:space="preserve">Segregation of Duties: Critical functions are divided among multiple individuals to reduce fraud and error risk</w:t>
      </w:r>
    </w:p>
    <w:p>
      <w:pPr>
        <w:pStyle w:val="ListParagraph"/>
        <w:numPr>
          <w:ilvl w:val="0"/>
          <w:numId w:val="2"/>
        </w:numPr>
        <w:spacing w:after="60" w:before="40"/>
      </w:pPr>
      <w:r>
        <w:rPr>
          <w:rFonts w:ascii="Arial" w:cs="Arial" w:eastAsia="Arial" w:hAnsi="Arial"/>
          <w:sz w:val="22"/>
          <w:szCs w:val="22"/>
        </w:rPr>
        <w:t xml:space="preserve">Zero Trust: Network access is not granted based solely on network location; identity verification is required regardless of location</w:t>
      </w:r>
    </w:p>
    <w:p>
      <w:pPr>
        <w:pStyle w:val="Heading2"/>
        <w:spacing w:after="120" w:before="280"/>
      </w:pPr>
      <w:r>
        <w:rPr>
          <w:rFonts w:ascii="Arial" w:cs="Arial" w:eastAsia="Arial" w:hAnsi="Arial"/>
          <w:b/>
          <w:bCs/>
          <w:color w:val="1B2A4A"/>
          <w:sz w:val="26"/>
          <w:szCs w:val="26"/>
        </w:rPr>
        <w:t xml:space="preserve">5.2 Authentication</w:t>
      </w:r>
    </w:p>
    <w:p>
      <w:pPr>
        <w:pStyle w:val="ListParagraph"/>
        <w:numPr>
          <w:ilvl w:val="0"/>
          <w:numId w:val="2"/>
        </w:numPr>
        <w:spacing w:after="60" w:before="40"/>
      </w:pPr>
      <w:r>
        <w:rPr>
          <w:rFonts w:ascii="Arial" w:cs="Arial" w:eastAsia="Arial" w:hAnsi="Arial"/>
          <w:sz w:val="22"/>
          <w:szCs w:val="22"/>
        </w:rPr>
        <w:t xml:space="preserve">Multi-factor authentication (MFA) is mandatory for all administrative access, cloud platform access, and remote access</w:t>
      </w:r>
    </w:p>
    <w:p>
      <w:pPr>
        <w:pStyle w:val="ListParagraph"/>
        <w:numPr>
          <w:ilvl w:val="0"/>
          <w:numId w:val="2"/>
        </w:numPr>
        <w:spacing w:after="60" w:before="40"/>
      </w:pPr>
      <w:r>
        <w:rPr>
          <w:rFonts w:ascii="Arial" w:cs="Arial" w:eastAsia="Arial" w:hAnsi="Arial"/>
          <w:sz w:val="22"/>
          <w:szCs w:val="22"/>
        </w:rPr>
        <w:t xml:space="preserve">Passwords must meet minimum complexity requirements: minimum 12 characters, combination of uppercase, lowercase, numbers, and special characters</w:t>
      </w:r>
    </w:p>
    <w:p>
      <w:pPr>
        <w:pStyle w:val="ListParagraph"/>
        <w:numPr>
          <w:ilvl w:val="0"/>
          <w:numId w:val="2"/>
        </w:numPr>
        <w:spacing w:after="60" w:before="40"/>
      </w:pPr>
      <w:r>
        <w:rPr>
          <w:rFonts w:ascii="Arial" w:cs="Arial" w:eastAsia="Arial" w:hAnsi="Arial"/>
          <w:sz w:val="22"/>
          <w:szCs w:val="22"/>
        </w:rPr>
        <w:t xml:space="preserve">Password managers are recommended and provided to all staff; sharing of credentials is strictly prohibited</w:t>
      </w:r>
    </w:p>
    <w:p>
      <w:pPr>
        <w:pStyle w:val="ListParagraph"/>
        <w:numPr>
          <w:ilvl w:val="0"/>
          <w:numId w:val="2"/>
        </w:numPr>
        <w:spacing w:after="60" w:before="40"/>
      </w:pPr>
      <w:r>
        <w:rPr>
          <w:rFonts w:ascii="Arial" w:cs="Arial" w:eastAsia="Arial" w:hAnsi="Arial"/>
          <w:sz w:val="22"/>
          <w:szCs w:val="22"/>
        </w:rPr>
        <w:t xml:space="preserve">Privileged access (administrator accounts) are subject to Privileged Access Management (PAM) controls</w:t>
      </w:r>
    </w:p>
    <w:p>
      <w:pPr>
        <w:pStyle w:val="Heading2"/>
        <w:spacing w:after="120" w:before="280"/>
      </w:pPr>
      <w:r>
        <w:rPr>
          <w:rFonts w:ascii="Arial" w:cs="Arial" w:eastAsia="Arial" w:hAnsi="Arial"/>
          <w:b/>
          <w:bCs/>
          <w:color w:val="1B2A4A"/>
          <w:sz w:val="26"/>
          <w:szCs w:val="26"/>
        </w:rPr>
        <w:t xml:space="preserve">5.3 Access Reviews</w:t>
      </w:r>
    </w:p>
    <w:p>
      <w:pPr>
        <w:pStyle w:val="ListParagraph"/>
        <w:numPr>
          <w:ilvl w:val="0"/>
          <w:numId w:val="2"/>
        </w:numPr>
        <w:spacing w:after="60" w:before="40"/>
      </w:pPr>
      <w:r>
        <w:rPr>
          <w:rFonts w:ascii="Arial" w:cs="Arial" w:eastAsia="Arial" w:hAnsi="Arial"/>
          <w:sz w:val="22"/>
          <w:szCs w:val="22"/>
        </w:rPr>
        <w:t xml:space="preserve">User access rights are reviewed quarterly by line managers and the IT/Security team</w:t>
      </w:r>
    </w:p>
    <w:p>
      <w:pPr>
        <w:pStyle w:val="ListParagraph"/>
        <w:numPr>
          <w:ilvl w:val="0"/>
          <w:numId w:val="2"/>
        </w:numPr>
        <w:spacing w:after="60" w:before="40"/>
      </w:pPr>
      <w:r>
        <w:rPr>
          <w:rFonts w:ascii="Arial" w:cs="Arial" w:eastAsia="Arial" w:hAnsi="Arial"/>
          <w:sz w:val="22"/>
          <w:szCs w:val="22"/>
        </w:rPr>
        <w:t xml:space="preserve">Access rights are revoked within 24 hours of employee or contractor departure</w:t>
      </w:r>
    </w:p>
    <w:p>
      <w:pPr>
        <w:pStyle w:val="ListParagraph"/>
        <w:numPr>
          <w:ilvl w:val="0"/>
          <w:numId w:val="2"/>
        </w:numPr>
        <w:spacing w:after="60" w:before="40"/>
      </w:pPr>
      <w:r>
        <w:rPr>
          <w:rFonts w:ascii="Arial" w:cs="Arial" w:eastAsia="Arial" w:hAnsi="Arial"/>
          <w:sz w:val="22"/>
          <w:szCs w:val="22"/>
        </w:rPr>
        <w:t xml:space="preserve">Access logs for Restricted systems are reviewed monthly for anomalous activity</w:t>
      </w:r>
    </w:p>
    <w:p>
      <w:pPr>
        <w:pStyle w:val="Heading1"/>
        <w:pBdr>
          <w:bottom w:val="single" w:color="1B2A4A" w:sz="6" w:space="4"/>
        </w:pBdr>
        <w:spacing w:after="160" w:before="360"/>
      </w:pPr>
      <w:r>
        <w:rPr>
          <w:rFonts w:ascii="Arial" w:cs="Arial" w:eastAsia="Arial" w:hAnsi="Arial"/>
          <w:b/>
          <w:bCs/>
          <w:color w:val="1B2A4A"/>
          <w:sz w:val="32"/>
          <w:szCs w:val="32"/>
        </w:rPr>
        <w:t xml:space="preserve">6. Cryptography and Encryption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Data State</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Minimum Encryption Standard</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Application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in transit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TLS 1.2 minimum (TLS 1.3 preferred)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web traffic (HTTPS), API communications, email (TLS)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Data at rest (servers)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AES-256</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All databases, cloud storage, backup files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at rest (endpoints)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AES-256 (full-disk encryption)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company laptops and mobile devices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Backup data</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AES-256 + separate key management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All backup storage locations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 management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Dedicated key management service (KMS)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 hard-coded keys in code repositories</w:t>
            </w:r>
          </w:p>
        </w:tc>
      </w:tr>
    </w:tbl>
    <w:p>
      <w:pPr>
        <w:spacing w:after="60" w:before="0"/>
      </w:pPr>
      <w:r>
        <w:t xml:space="preserve"/>
      </w:r>
    </w:p>
    <w:p>
      <w:pPr>
        <w:spacing w:after="120" w:before="80" w:line="276"/>
        <w:jc w:val="both"/>
      </w:pPr>
      <w:r>
        <w:rPr>
          <w:rFonts w:ascii="Arial" w:cs="Arial" w:eastAsia="Arial" w:hAnsi="Arial"/>
          <w:sz w:val="22"/>
          <w:szCs w:val="22"/>
        </w:rPr>
        <w:t xml:space="preserve">All cryptographic keys are stored in dedicated key management systems and rotated at least annually or following any suspected compromise. Private keys are never transmitted via email or messaging platforms.</w:t>
      </w:r>
    </w:p>
    <w:p>
      <w:pPr>
        <w:pStyle w:val="Heading1"/>
        <w:pBdr>
          <w:bottom w:val="single" w:color="1B2A4A" w:sz="6" w:space="4"/>
        </w:pBdr>
        <w:spacing w:after="160" w:before="360"/>
      </w:pPr>
      <w:r>
        <w:rPr>
          <w:rFonts w:ascii="Arial" w:cs="Arial" w:eastAsia="Arial" w:hAnsi="Arial"/>
          <w:b/>
          <w:bCs/>
          <w:color w:val="1B2A4A"/>
          <w:sz w:val="32"/>
          <w:szCs w:val="32"/>
        </w:rPr>
        <w:t xml:space="preserve">7. Network and Infrastructure Security</w:t>
      </w:r>
    </w:p>
    <w:p>
      <w:pPr>
        <w:pStyle w:val="Heading2"/>
        <w:spacing w:after="120" w:before="280"/>
      </w:pPr>
      <w:r>
        <w:rPr>
          <w:rFonts w:ascii="Arial" w:cs="Arial" w:eastAsia="Arial" w:hAnsi="Arial"/>
          <w:b/>
          <w:bCs/>
          <w:color w:val="1B2A4A"/>
          <w:sz w:val="26"/>
          <w:szCs w:val="26"/>
        </w:rPr>
        <w:t xml:space="preserve">7.1 Network Controls</w:t>
      </w:r>
    </w:p>
    <w:p>
      <w:pPr>
        <w:pStyle w:val="ListParagraph"/>
        <w:numPr>
          <w:ilvl w:val="0"/>
          <w:numId w:val="2"/>
        </w:numPr>
        <w:spacing w:after="60" w:before="40"/>
      </w:pPr>
      <w:r>
        <w:rPr>
          <w:rFonts w:ascii="Arial" w:cs="Arial" w:eastAsia="Arial" w:hAnsi="Arial"/>
          <w:sz w:val="22"/>
          <w:szCs w:val="22"/>
        </w:rPr>
        <w:t xml:space="preserve">All production environments are protected by a Web Application Firewall (WAF) and Distributed Denial-of-Service (DDoS) mitigation</w:t>
      </w:r>
    </w:p>
    <w:p>
      <w:pPr>
        <w:pStyle w:val="ListParagraph"/>
        <w:numPr>
          <w:ilvl w:val="0"/>
          <w:numId w:val="2"/>
        </w:numPr>
        <w:spacing w:after="60" w:before="40"/>
      </w:pPr>
      <w:r>
        <w:rPr>
          <w:rFonts w:ascii="Arial" w:cs="Arial" w:eastAsia="Arial" w:hAnsi="Arial"/>
          <w:sz w:val="22"/>
          <w:szCs w:val="22"/>
        </w:rPr>
        <w:t xml:space="preserve">Network traffic is segmented using VLANs and firewall rules; production, development, and corporate networks are separated</w:t>
      </w:r>
    </w:p>
    <w:p>
      <w:pPr>
        <w:pStyle w:val="ListParagraph"/>
        <w:numPr>
          <w:ilvl w:val="0"/>
          <w:numId w:val="2"/>
        </w:numPr>
        <w:spacing w:after="60" w:before="40"/>
      </w:pPr>
      <w:r>
        <w:rPr>
          <w:rFonts w:ascii="Arial" w:cs="Arial" w:eastAsia="Arial" w:hAnsi="Arial"/>
          <w:sz w:val="22"/>
          <w:szCs w:val="22"/>
        </w:rPr>
        <w:t xml:space="preserve">Intrusion Detection Systems (IDS) monitor network traffic for anomalous patterns</w:t>
      </w:r>
    </w:p>
    <w:p>
      <w:pPr>
        <w:pStyle w:val="ListParagraph"/>
        <w:numPr>
          <w:ilvl w:val="0"/>
          <w:numId w:val="2"/>
        </w:numPr>
        <w:spacing w:after="60" w:before="40"/>
      </w:pPr>
      <w:r>
        <w:rPr>
          <w:rFonts w:ascii="Arial" w:cs="Arial" w:eastAsia="Arial" w:hAnsi="Arial"/>
          <w:sz w:val="22"/>
          <w:szCs w:val="22"/>
        </w:rPr>
        <w:t xml:space="preserve">Remote access is provided exclusively through VPN with MFA; direct RDP or SSH access from the internet is prohibited</w:t>
      </w:r>
    </w:p>
    <w:p>
      <w:pPr>
        <w:pStyle w:val="Heading2"/>
        <w:spacing w:after="120" w:before="280"/>
      </w:pPr>
      <w:r>
        <w:rPr>
          <w:rFonts w:ascii="Arial" w:cs="Arial" w:eastAsia="Arial" w:hAnsi="Arial"/>
          <w:b/>
          <w:bCs/>
          <w:color w:val="1B2A4A"/>
          <w:sz w:val="26"/>
          <w:szCs w:val="26"/>
        </w:rPr>
        <w:t xml:space="preserve">7.2 Cloud Security</w:t>
      </w:r>
    </w:p>
    <w:p>
      <w:pPr>
        <w:pStyle w:val="ListParagraph"/>
        <w:numPr>
          <w:ilvl w:val="0"/>
          <w:numId w:val="2"/>
        </w:numPr>
        <w:spacing w:after="60" w:before="40"/>
      </w:pPr>
      <w:r>
        <w:rPr>
          <w:rFonts w:ascii="Arial" w:cs="Arial" w:eastAsia="Arial" w:hAnsi="Arial"/>
          <w:sz w:val="22"/>
          <w:szCs w:val="22"/>
        </w:rPr>
        <w:t xml:space="preserve">Cloud infrastructure is deployed following Cloud Security Alliance (CSA) and provider-specific security best practices</w:t>
      </w:r>
    </w:p>
    <w:p>
      <w:pPr>
        <w:pStyle w:val="ListParagraph"/>
        <w:numPr>
          <w:ilvl w:val="0"/>
          <w:numId w:val="2"/>
        </w:numPr>
        <w:spacing w:after="60" w:before="40"/>
      </w:pPr>
      <w:r>
        <w:rPr>
          <w:rFonts w:ascii="Arial" w:cs="Arial" w:eastAsia="Arial" w:hAnsi="Arial"/>
          <w:sz w:val="22"/>
          <w:szCs w:val="22"/>
        </w:rPr>
        <w:t xml:space="preserve">Cloud resources are configured with the principle of least privilege; public access is disabled by default</w:t>
      </w:r>
    </w:p>
    <w:p>
      <w:pPr>
        <w:pStyle w:val="ListParagraph"/>
        <w:numPr>
          <w:ilvl w:val="0"/>
          <w:numId w:val="2"/>
        </w:numPr>
        <w:spacing w:after="60" w:before="40"/>
      </w:pPr>
      <w:r>
        <w:rPr>
          <w:rFonts w:ascii="Arial" w:cs="Arial" w:eastAsia="Arial" w:hAnsi="Arial"/>
          <w:sz w:val="22"/>
          <w:szCs w:val="22"/>
        </w:rPr>
        <w:t xml:space="preserve">Cloud Security Posture Management (CSPM) tools continuously monitor for misconfigurations</w:t>
      </w:r>
    </w:p>
    <w:p>
      <w:pPr>
        <w:pStyle w:val="ListParagraph"/>
        <w:numPr>
          <w:ilvl w:val="0"/>
          <w:numId w:val="2"/>
        </w:numPr>
        <w:spacing w:after="60" w:before="40"/>
      </w:pPr>
      <w:r>
        <w:rPr>
          <w:rFonts w:ascii="Arial" w:cs="Arial" w:eastAsia="Arial" w:hAnsi="Arial"/>
          <w:sz w:val="22"/>
          <w:szCs w:val="22"/>
        </w:rPr>
        <w:t xml:space="preserve">All cloud-hosted data is stored in regions consistent with data residency requirements under GDPR, UK GDPR, and applicable law</w:t>
      </w:r>
    </w:p>
    <w:p>
      <w:pPr>
        <w:pStyle w:val="Heading2"/>
        <w:spacing w:after="120" w:before="280"/>
      </w:pPr>
      <w:r>
        <w:rPr>
          <w:rFonts w:ascii="Arial" w:cs="Arial" w:eastAsia="Arial" w:hAnsi="Arial"/>
          <w:b/>
          <w:bCs/>
          <w:color w:val="1B2A4A"/>
          <w:sz w:val="26"/>
          <w:szCs w:val="26"/>
        </w:rPr>
        <w:t xml:space="preserve">7.3 Vulnerability Management</w:t>
      </w:r>
    </w:p>
    <w:p>
      <w:pPr>
        <w:pStyle w:val="ListParagraph"/>
        <w:numPr>
          <w:ilvl w:val="0"/>
          <w:numId w:val="2"/>
        </w:numPr>
        <w:spacing w:after="60" w:before="40"/>
      </w:pPr>
      <w:r>
        <w:rPr>
          <w:rFonts w:ascii="Arial" w:cs="Arial" w:eastAsia="Arial" w:hAnsi="Arial"/>
          <w:sz w:val="22"/>
          <w:szCs w:val="22"/>
        </w:rPr>
        <w:t xml:space="preserve">Automated vulnerability scanning is performed at minimum monthly on all internet-facing systems</w:t>
      </w:r>
    </w:p>
    <w:p>
      <w:pPr>
        <w:pStyle w:val="ListParagraph"/>
        <w:numPr>
          <w:ilvl w:val="0"/>
          <w:numId w:val="2"/>
        </w:numPr>
        <w:spacing w:after="60" w:before="40"/>
      </w:pPr>
      <w:r>
        <w:rPr>
          <w:rFonts w:ascii="Arial" w:cs="Arial" w:eastAsia="Arial" w:hAnsi="Arial"/>
          <w:sz w:val="22"/>
          <w:szCs w:val="22"/>
        </w:rPr>
        <w:t xml:space="preserve">Manual penetration testing is conducted at minimum annually by qualified third-party testers</w:t>
      </w:r>
    </w:p>
    <w:p>
      <w:pPr>
        <w:pStyle w:val="ListParagraph"/>
        <w:numPr>
          <w:ilvl w:val="0"/>
          <w:numId w:val="2"/>
        </w:numPr>
        <w:spacing w:after="60" w:before="40"/>
      </w:pPr>
      <w:r>
        <w:rPr>
          <w:rFonts w:ascii="Arial" w:cs="Arial" w:eastAsia="Arial" w:hAnsi="Arial"/>
          <w:sz w:val="22"/>
          <w:szCs w:val="22"/>
        </w:rPr>
        <w:t xml:space="preserve">Critical and high-severity vulnerabilities are remediated within 72 hours of identification</w:t>
      </w:r>
    </w:p>
    <w:p>
      <w:pPr>
        <w:pStyle w:val="ListParagraph"/>
        <w:numPr>
          <w:ilvl w:val="0"/>
          <w:numId w:val="2"/>
        </w:numPr>
        <w:spacing w:after="60" w:before="40"/>
      </w:pPr>
      <w:r>
        <w:rPr>
          <w:rFonts w:ascii="Arial" w:cs="Arial" w:eastAsia="Arial" w:hAnsi="Arial"/>
          <w:sz w:val="22"/>
          <w:szCs w:val="22"/>
        </w:rPr>
        <w:t xml:space="preserve">Medium vulnerabilities are remediated within 30 days; low within 90 days</w:t>
      </w:r>
    </w:p>
    <w:p>
      <w:pPr>
        <w:pStyle w:val="ListParagraph"/>
        <w:numPr>
          <w:ilvl w:val="0"/>
          <w:numId w:val="2"/>
        </w:numPr>
        <w:spacing w:after="60" w:before="40"/>
      </w:pPr>
      <w:r>
        <w:rPr>
          <w:rFonts w:ascii="Arial" w:cs="Arial" w:eastAsia="Arial" w:hAnsi="Arial"/>
          <w:sz w:val="22"/>
          <w:szCs w:val="22"/>
        </w:rPr>
        <w:t xml:space="preserve">A responsible disclosure / bug bounty programme is available at betopiagroup.com/security</w:t>
      </w:r>
    </w:p>
    <w:p>
      <w:pPr>
        <w:pStyle w:val="Heading1"/>
        <w:pBdr>
          <w:bottom w:val="single" w:color="1B2A4A" w:sz="6" w:space="4"/>
        </w:pBdr>
        <w:spacing w:after="160" w:before="360"/>
      </w:pPr>
      <w:r>
        <w:rPr>
          <w:rFonts w:ascii="Arial" w:cs="Arial" w:eastAsia="Arial" w:hAnsi="Arial"/>
          <w:b/>
          <w:bCs/>
          <w:color w:val="1B2A4A"/>
          <w:sz w:val="32"/>
          <w:szCs w:val="32"/>
        </w:rPr>
        <w:t xml:space="preserve">8. Endpoint and Device Security</w:t>
      </w:r>
    </w:p>
    <w:p>
      <w:pPr>
        <w:pStyle w:val="ListParagraph"/>
        <w:numPr>
          <w:ilvl w:val="0"/>
          <w:numId w:val="2"/>
        </w:numPr>
        <w:spacing w:after="60" w:before="40"/>
      </w:pPr>
      <w:r>
        <w:rPr>
          <w:rFonts w:ascii="Arial" w:cs="Arial" w:eastAsia="Arial" w:hAnsi="Arial"/>
          <w:sz w:val="22"/>
          <w:szCs w:val="22"/>
        </w:rPr>
        <w:t xml:space="preserve">All company-owned devices are enrolled in Mobile Device Management (MDM) with full-disk encryption enabled</w:t>
      </w:r>
    </w:p>
    <w:p>
      <w:pPr>
        <w:pStyle w:val="ListParagraph"/>
        <w:numPr>
          <w:ilvl w:val="0"/>
          <w:numId w:val="2"/>
        </w:numPr>
        <w:spacing w:after="60" w:before="40"/>
      </w:pPr>
      <w:r>
        <w:rPr>
          <w:rFonts w:ascii="Arial" w:cs="Arial" w:eastAsia="Arial" w:hAnsi="Arial"/>
          <w:sz w:val="22"/>
          <w:szCs w:val="22"/>
        </w:rPr>
        <w:t xml:space="preserve">Endpoint Detection and Response (EDR) software is installed on all company devices</w:t>
      </w:r>
    </w:p>
    <w:p>
      <w:pPr>
        <w:pStyle w:val="ListParagraph"/>
        <w:numPr>
          <w:ilvl w:val="0"/>
          <w:numId w:val="2"/>
        </w:numPr>
        <w:spacing w:after="60" w:before="40"/>
      </w:pPr>
      <w:r>
        <w:rPr>
          <w:rFonts w:ascii="Arial" w:cs="Arial" w:eastAsia="Arial" w:hAnsi="Arial"/>
          <w:sz w:val="22"/>
          <w:szCs w:val="22"/>
        </w:rPr>
        <w:t xml:space="preserve">Automatic OS and application updates are enforced; unsupported or end-of-life software is prohibited</w:t>
      </w:r>
    </w:p>
    <w:p>
      <w:pPr>
        <w:pStyle w:val="ListParagraph"/>
        <w:numPr>
          <w:ilvl w:val="0"/>
          <w:numId w:val="2"/>
        </w:numPr>
        <w:spacing w:after="60" w:before="40"/>
      </w:pPr>
      <w:r>
        <w:rPr>
          <w:rFonts w:ascii="Arial" w:cs="Arial" w:eastAsia="Arial" w:hAnsi="Arial"/>
          <w:sz w:val="22"/>
          <w:szCs w:val="22"/>
        </w:rPr>
        <w:t xml:space="preserve">BYOD (Bring Your Own Device) access to company systems requires enrolment in MDM and compliance with this policy</w:t>
      </w:r>
    </w:p>
    <w:p>
      <w:pPr>
        <w:pStyle w:val="ListParagraph"/>
        <w:numPr>
          <w:ilvl w:val="0"/>
          <w:numId w:val="2"/>
        </w:numPr>
        <w:spacing w:after="60" w:before="40"/>
      </w:pPr>
      <w:r>
        <w:rPr>
          <w:rFonts w:ascii="Arial" w:cs="Arial" w:eastAsia="Arial" w:hAnsi="Arial"/>
          <w:sz w:val="22"/>
          <w:szCs w:val="22"/>
        </w:rPr>
        <w:t xml:space="preserve">Devices reported lost or stolen are remotely wiped within 4 hours of the report</w:t>
      </w:r>
    </w:p>
    <w:p>
      <w:pPr>
        <w:pStyle w:val="ListParagraph"/>
        <w:numPr>
          <w:ilvl w:val="0"/>
          <w:numId w:val="2"/>
        </w:numPr>
        <w:spacing w:after="60" w:before="40"/>
      </w:pPr>
      <w:r>
        <w:rPr>
          <w:rFonts w:ascii="Arial" w:cs="Arial" w:eastAsia="Arial" w:hAnsi="Arial"/>
          <w:sz w:val="22"/>
          <w:szCs w:val="22"/>
        </w:rPr>
        <w:t xml:space="preserve">USB and removable media are restricted on production systems; use requires prior approval</w:t>
      </w:r>
    </w:p>
    <w:p>
      <w:pPr>
        <w:pStyle w:val="Heading1"/>
        <w:pBdr>
          <w:bottom w:val="single" w:color="1B2A4A" w:sz="6" w:space="4"/>
        </w:pBdr>
        <w:spacing w:after="160" w:before="360"/>
      </w:pPr>
      <w:r>
        <w:rPr>
          <w:rFonts w:ascii="Arial" w:cs="Arial" w:eastAsia="Arial" w:hAnsi="Arial"/>
          <w:b/>
          <w:bCs/>
          <w:color w:val="1B2A4A"/>
          <w:sz w:val="32"/>
          <w:szCs w:val="32"/>
        </w:rPr>
        <w:t xml:space="preserve">9. Physical and Environmental Security</w:t>
      </w:r>
    </w:p>
    <w:p>
      <w:pPr>
        <w:pStyle w:val="ListParagraph"/>
        <w:numPr>
          <w:ilvl w:val="0"/>
          <w:numId w:val="2"/>
        </w:numPr>
        <w:spacing w:after="60" w:before="40"/>
      </w:pPr>
      <w:r>
        <w:rPr>
          <w:rFonts w:ascii="Arial" w:cs="Arial" w:eastAsia="Arial" w:hAnsi="Arial"/>
          <w:sz w:val="22"/>
          <w:szCs w:val="22"/>
        </w:rPr>
        <w:t xml:space="preserve">Access to our registered office and any data processing facilities is controlled by electronic access systems; visitor logs are maintained</w:t>
      </w:r>
    </w:p>
    <w:p>
      <w:pPr>
        <w:pStyle w:val="ListParagraph"/>
        <w:numPr>
          <w:ilvl w:val="0"/>
          <w:numId w:val="2"/>
        </w:numPr>
        <w:spacing w:after="60" w:before="40"/>
      </w:pPr>
      <w:r>
        <w:rPr>
          <w:rFonts w:ascii="Arial" w:cs="Arial" w:eastAsia="Arial" w:hAnsi="Arial"/>
          <w:sz w:val="22"/>
          <w:szCs w:val="22"/>
        </w:rPr>
        <w:t xml:space="preserve">Server equipment and sensitive physical assets are stored in locked rooms with restricted access</w:t>
      </w:r>
    </w:p>
    <w:p>
      <w:pPr>
        <w:pStyle w:val="ListParagraph"/>
        <w:numPr>
          <w:ilvl w:val="0"/>
          <w:numId w:val="2"/>
        </w:numPr>
        <w:spacing w:after="60" w:before="40"/>
      </w:pPr>
      <w:r>
        <w:rPr>
          <w:rFonts w:ascii="Arial" w:cs="Arial" w:eastAsia="Arial" w:hAnsi="Arial"/>
          <w:sz w:val="22"/>
          <w:szCs w:val="22"/>
        </w:rPr>
        <w:t xml:space="preserve">Clear desk and clear screen policies are enforced — Confidential and Restricted documents are not left unattended</w:t>
      </w:r>
    </w:p>
    <w:p>
      <w:pPr>
        <w:pStyle w:val="ListParagraph"/>
        <w:numPr>
          <w:ilvl w:val="0"/>
          <w:numId w:val="2"/>
        </w:numPr>
        <w:spacing w:after="60" w:before="40"/>
      </w:pPr>
      <w:r>
        <w:rPr>
          <w:rFonts w:ascii="Arial" w:cs="Arial" w:eastAsia="Arial" w:hAnsi="Arial"/>
          <w:sz w:val="22"/>
          <w:szCs w:val="22"/>
        </w:rPr>
        <w:t xml:space="preserve">Printing of Confidential or Restricted data requires justification; documents are shredded securely after use</w:t>
      </w:r>
    </w:p>
    <w:p>
      <w:pPr>
        <w:pStyle w:val="ListParagraph"/>
        <w:numPr>
          <w:ilvl w:val="0"/>
          <w:numId w:val="2"/>
        </w:numPr>
        <w:spacing w:after="60" w:before="40"/>
      </w:pPr>
      <w:r>
        <w:rPr>
          <w:rFonts w:ascii="Arial" w:cs="Arial" w:eastAsia="Arial" w:hAnsi="Arial"/>
          <w:sz w:val="22"/>
          <w:szCs w:val="22"/>
        </w:rPr>
        <w:t xml:space="preserve">Environmental controls (UPS, fire suppression, temperature monitoring) are maintained at primary data processing locations</w:t>
      </w:r>
    </w:p>
    <w:p>
      <w:pPr>
        <w:pStyle w:val="Heading1"/>
        <w:pBdr>
          <w:bottom w:val="single" w:color="1B2A4A" w:sz="6" w:space="4"/>
        </w:pBdr>
        <w:spacing w:after="160" w:before="360"/>
      </w:pPr>
      <w:r>
        <w:rPr>
          <w:rFonts w:ascii="Arial" w:cs="Arial" w:eastAsia="Arial" w:hAnsi="Arial"/>
          <w:b/>
          <w:bCs/>
          <w:color w:val="1B2A4A"/>
          <w:sz w:val="32"/>
          <w:szCs w:val="32"/>
        </w:rPr>
        <w:t xml:space="preserve">10. Third-Party and Supplier Security</w:t>
      </w:r>
    </w:p>
    <w:p>
      <w:pPr>
        <w:spacing w:after="120" w:before="80" w:line="276"/>
        <w:jc w:val="both"/>
      </w:pPr>
      <w:r>
        <w:rPr>
          <w:rFonts w:ascii="Arial" w:cs="Arial" w:eastAsia="Arial" w:hAnsi="Arial"/>
          <w:sz w:val="22"/>
          <w:szCs w:val="22"/>
        </w:rPr>
        <w:t xml:space="preserve">Our engagement with third-party suppliers, sub-processors, and technology partners is governed by the following controls, aligned with ISO 27001 Annex A.15 (Supplier Relationships):</w:t>
      </w:r>
    </w:p>
    <w:p>
      <w:pPr>
        <w:pStyle w:val="ListParagraph"/>
        <w:numPr>
          <w:ilvl w:val="0"/>
          <w:numId w:val="2"/>
        </w:numPr>
        <w:spacing w:after="60" w:before="40"/>
      </w:pPr>
      <w:r>
        <w:rPr>
          <w:rFonts w:ascii="Arial" w:cs="Arial" w:eastAsia="Arial" w:hAnsi="Arial"/>
          <w:sz w:val="22"/>
          <w:szCs w:val="22"/>
        </w:rPr>
        <w:t xml:space="preserve">All suppliers accessing Betopia data or systems must complete a security assessment prior to engagement</w:t>
      </w:r>
    </w:p>
    <w:p>
      <w:pPr>
        <w:pStyle w:val="ListParagraph"/>
        <w:numPr>
          <w:ilvl w:val="0"/>
          <w:numId w:val="2"/>
        </w:numPr>
        <w:spacing w:after="60" w:before="40"/>
      </w:pPr>
      <w:r>
        <w:rPr>
          <w:rFonts w:ascii="Arial" w:cs="Arial" w:eastAsia="Arial" w:hAnsi="Arial"/>
          <w:sz w:val="22"/>
          <w:szCs w:val="22"/>
        </w:rPr>
        <w:t xml:space="preserve">Data Processing Agreements (DPAs) are executed with all sub-processors handling personal data, as required by GDPR Article 28</w:t>
      </w:r>
    </w:p>
    <w:p>
      <w:pPr>
        <w:pStyle w:val="ListParagraph"/>
        <w:numPr>
          <w:ilvl w:val="0"/>
          <w:numId w:val="2"/>
        </w:numPr>
        <w:spacing w:after="60" w:before="40"/>
      </w:pPr>
      <w:r>
        <w:rPr>
          <w:rFonts w:ascii="Arial" w:cs="Arial" w:eastAsia="Arial" w:hAnsi="Arial"/>
          <w:sz w:val="22"/>
          <w:szCs w:val="22"/>
        </w:rPr>
        <w:t xml:space="preserve">Information security requirements are included in all supplier contracts</w:t>
      </w:r>
    </w:p>
    <w:p>
      <w:pPr>
        <w:pStyle w:val="ListParagraph"/>
        <w:numPr>
          <w:ilvl w:val="0"/>
          <w:numId w:val="2"/>
        </w:numPr>
        <w:spacing w:after="60" w:before="40"/>
      </w:pPr>
      <w:r>
        <w:rPr>
          <w:rFonts w:ascii="Arial" w:cs="Arial" w:eastAsia="Arial" w:hAnsi="Arial"/>
          <w:sz w:val="22"/>
          <w:szCs w:val="22"/>
        </w:rPr>
        <w:t xml:space="preserve">Supplier security performance is reviewed annually; material changes in supplier security posture trigger a re-assessment</w:t>
      </w:r>
    </w:p>
    <w:p>
      <w:pPr>
        <w:pStyle w:val="ListParagraph"/>
        <w:numPr>
          <w:ilvl w:val="0"/>
          <w:numId w:val="2"/>
        </w:numPr>
        <w:spacing w:after="60" w:before="40"/>
      </w:pPr>
      <w:r>
        <w:rPr>
          <w:rFonts w:ascii="Arial" w:cs="Arial" w:eastAsia="Arial" w:hAnsi="Arial"/>
          <w:sz w:val="22"/>
          <w:szCs w:val="22"/>
        </w:rPr>
        <w:t xml:space="preserve">A register of approved sub-processors is maintained and published in our Privacy Policy (BL-PP-2026-001, Section 6.2)</w:t>
      </w:r>
    </w:p>
    <w:p>
      <w:pPr>
        <w:pStyle w:val="ListParagraph"/>
        <w:numPr>
          <w:ilvl w:val="0"/>
          <w:numId w:val="2"/>
        </w:numPr>
        <w:spacing w:after="60" w:before="40"/>
      </w:pPr>
      <w:r>
        <w:rPr>
          <w:rFonts w:ascii="Arial" w:cs="Arial" w:eastAsia="Arial" w:hAnsi="Arial"/>
          <w:sz w:val="22"/>
          <w:szCs w:val="22"/>
        </w:rPr>
        <w:t xml:space="preserve">Critical suppliers are subject to enhanced due diligence including SOC 2 Type II or ISO 27001 certification requirements</w:t>
      </w:r>
    </w:p>
    <w:p>
      <w:pPr>
        <w:pStyle w:val="Heading1"/>
        <w:pBdr>
          <w:bottom w:val="single" w:color="1B2A4A" w:sz="6" w:space="4"/>
        </w:pBdr>
        <w:spacing w:after="160" w:before="360"/>
      </w:pPr>
      <w:r>
        <w:rPr>
          <w:rFonts w:ascii="Arial" w:cs="Arial" w:eastAsia="Arial" w:hAnsi="Arial"/>
          <w:b/>
          <w:bCs/>
          <w:color w:val="1B2A4A"/>
          <w:sz w:val="32"/>
          <w:szCs w:val="32"/>
        </w:rPr>
        <w:t xml:space="preserve">11. Business Continuity and Disaster Recovery</w:t>
      </w:r>
    </w:p>
    <w:p>
      <w:pPr>
        <w:spacing w:after="120" w:before="80" w:line="276"/>
        <w:jc w:val="both"/>
      </w:pPr>
      <w:r>
        <w:rPr>
          <w:rFonts w:ascii="Arial" w:cs="Arial" w:eastAsia="Arial" w:hAnsi="Arial"/>
          <w:sz w:val="22"/>
          <w:szCs w:val="22"/>
        </w:rPr>
        <w:t xml:space="preserve">Betopia Limited holds ISO 22301:2019 Business Continuity Management System (BCMS) certification, demonstrating our formal commitment to operational resilience.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Target</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Scope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Recovery Time Objective (RTO)</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 hours for critical systems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Core website, CRM, email, HR systems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Recovery Point Objective (RPO)</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1 hour maximum data loss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All production databases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Backup Frequency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 full backup + continuous incremental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production systems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Backup Testing</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Quarterly restore tests</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Random sample of backup sets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BCP Testing</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 full tabletop exercise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SBU heads and IT leadership</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DR Failover Testing</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Bi-annual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Primary to secondary site</w:t>
            </w:r>
          </w:p>
        </w:tc>
      </w:tr>
    </w:tbl>
    <w:p>
      <w:pPr>
        <w:spacing w:after="60" w:before="0"/>
      </w:pPr>
      <w:r>
        <w:t xml:space="preserve"/>
      </w:r>
    </w:p>
    <w:p>
      <w:pPr>
        <w:spacing w:after="120" w:before="80" w:line="276"/>
        <w:jc w:val="both"/>
      </w:pPr>
      <w:r>
        <w:rPr>
          <w:rFonts w:ascii="Arial" w:cs="Arial" w:eastAsia="Arial" w:hAnsi="Arial"/>
          <w:sz w:val="22"/>
          <w:szCs w:val="22"/>
        </w:rPr>
        <w:t xml:space="preserve">Our Business Continuity Plan (BCP) and Disaster Recovery Plan (DRP) are maintained as controlled documents under the ISO 22301 framework and are available to regulators and enterprise clients upon request under NDA.</w:t>
      </w:r>
    </w:p>
    <w:p>
      <w:pPr>
        <w:pStyle w:val="Heading1"/>
        <w:pBdr>
          <w:bottom w:val="single" w:color="1B2A4A" w:sz="6" w:space="4"/>
        </w:pBdr>
        <w:spacing w:after="160" w:before="360"/>
      </w:pPr>
      <w:r>
        <w:rPr>
          <w:rFonts w:ascii="Arial" w:cs="Arial" w:eastAsia="Arial" w:hAnsi="Arial"/>
          <w:b/>
          <w:bCs/>
          <w:color w:val="1B2A4A"/>
          <w:sz w:val="32"/>
          <w:szCs w:val="32"/>
        </w:rPr>
        <w:t xml:space="preserve">12. Incident Response</w:t>
      </w:r>
    </w:p>
    <w:p>
      <w:pPr>
        <w:pStyle w:val="Heading2"/>
        <w:spacing w:after="120" w:before="280"/>
      </w:pPr>
      <w:r>
        <w:rPr>
          <w:rFonts w:ascii="Arial" w:cs="Arial" w:eastAsia="Arial" w:hAnsi="Arial"/>
          <w:b/>
          <w:bCs/>
          <w:color w:val="1B2A4A"/>
          <w:sz w:val="26"/>
          <w:szCs w:val="26"/>
        </w:rPr>
        <w:t xml:space="preserve">12.1 Incident Classification</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Response Time</w:t>
            </w:r>
          </w:p>
        </w:tc>
        <w:tc>
          <w:tcPr>
            <w:tcW w:type="dxa" w:w="2256"/>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Escalation</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Critical (P1)</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Active breach; ransomware; data exfiltration; system-wide outage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Immediate (&lt; 1 hour)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CEO, Legal, DPO — all hands</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High (P2)</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Suspected breach; significant system impairment; DDoS attack</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&lt; 4 hours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IT Lead, DPO, Department Head</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Medium (P3)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Policy violation; phishing attempt; minor data exposure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&lt; 24 hours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 Lead, Line Manager</w:t>
            </w:r>
          </w:p>
        </w:tc>
      </w:tr>
      <w:tr>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Low (P4)</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Near miss; minor policy deviation; suspected vulnerability</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&lt; 72 hours</w:t>
            </w:r>
          </w:p>
        </w:tc>
        <w:tc>
          <w:tcPr>
            <w:tcW w:type="dxa" w:w="2256"/>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IT Security team</w:t>
            </w:r>
          </w:p>
        </w:tc>
      </w:tr>
    </w:tbl>
    <w:p>
      <w:pPr>
        <w:spacing w:after="60" w:before="0"/>
      </w:pPr>
      <w:r>
        <w:t xml:space="preserve"/>
      </w:r>
    </w:p>
    <w:p>
      <w:pPr>
        <w:pStyle w:val="Heading2"/>
        <w:spacing w:after="120" w:before="280"/>
      </w:pPr>
      <w:r>
        <w:rPr>
          <w:rFonts w:ascii="Arial" w:cs="Arial" w:eastAsia="Arial" w:hAnsi="Arial"/>
          <w:b/>
          <w:bCs/>
          <w:color w:val="1B2A4A"/>
          <w:sz w:val="26"/>
          <w:szCs w:val="26"/>
        </w:rPr>
        <w:t xml:space="preserve">12.2 Personal Data Breach Notification</w:t>
      </w:r>
    </w:p>
    <w:p>
      <w:pPr>
        <w:pStyle w:val="ListParagraph"/>
        <w:numPr>
          <w:ilvl w:val="0"/>
          <w:numId w:val="2"/>
        </w:numPr>
        <w:spacing w:after="60" w:before="40"/>
      </w:pPr>
      <w:r>
        <w:rPr>
          <w:rFonts w:ascii="Arial" w:cs="Arial" w:eastAsia="Arial" w:hAnsi="Arial"/>
          <w:sz w:val="22"/>
          <w:szCs w:val="22"/>
        </w:rPr>
        <w:t xml:space="preserve">GDPR / UK GDPR: Supervisory authority notification within 72 hours of becoming aware of a personal data breach (GDPR Article 33)</w:t>
      </w:r>
    </w:p>
    <w:p>
      <w:pPr>
        <w:pStyle w:val="ListParagraph"/>
        <w:numPr>
          <w:ilvl w:val="0"/>
          <w:numId w:val="2"/>
        </w:numPr>
        <w:spacing w:after="60" w:before="40"/>
      </w:pPr>
      <w:r>
        <w:rPr>
          <w:rFonts w:ascii="Arial" w:cs="Arial" w:eastAsia="Arial" w:hAnsi="Arial"/>
          <w:sz w:val="22"/>
          <w:szCs w:val="22"/>
        </w:rPr>
        <w:t xml:space="preserve">Individual notification: Affected data subjects notified without undue delay where breach poses a high risk (GDPR Article 34)</w:t>
      </w:r>
    </w:p>
    <w:p>
      <w:pPr>
        <w:pStyle w:val="ListParagraph"/>
        <w:numPr>
          <w:ilvl w:val="0"/>
          <w:numId w:val="2"/>
        </w:numPr>
        <w:spacing w:after="60" w:before="40"/>
      </w:pPr>
      <w:r>
        <w:rPr>
          <w:rFonts w:ascii="Arial" w:cs="Arial" w:eastAsia="Arial" w:hAnsi="Arial"/>
          <w:sz w:val="22"/>
          <w:szCs w:val="22"/>
        </w:rPr>
        <w:t xml:space="preserve">CCPA: California residents notified in the most expedient time possible and without unreasonable delay</w:t>
      </w:r>
    </w:p>
    <w:p>
      <w:pPr>
        <w:pStyle w:val="ListParagraph"/>
        <w:numPr>
          <w:ilvl w:val="0"/>
          <w:numId w:val="2"/>
        </w:numPr>
        <w:spacing w:after="60" w:before="40"/>
      </w:pPr>
      <w:r>
        <w:rPr>
          <w:rFonts w:ascii="Arial" w:cs="Arial" w:eastAsia="Arial" w:hAnsi="Arial"/>
          <w:sz w:val="22"/>
          <w:szCs w:val="22"/>
        </w:rPr>
        <w:t xml:space="preserve">All incidents are recorded in our Incident Register with root cause analysis and remediation tracking</w:t>
      </w:r>
    </w:p>
    <w:p>
      <w:pPr>
        <w:pStyle w:val="Heading2"/>
        <w:spacing w:after="120" w:before="280"/>
      </w:pPr>
      <w:r>
        <w:rPr>
          <w:rFonts w:ascii="Arial" w:cs="Arial" w:eastAsia="Arial" w:hAnsi="Arial"/>
          <w:b/>
          <w:bCs/>
          <w:color w:val="1B2A4A"/>
          <w:sz w:val="26"/>
          <w:szCs w:val="26"/>
        </w:rPr>
        <w:t xml:space="preserve">12.3 Reporting Security Concerns</w:t>
      </w:r>
    </w:p>
    <w:p>
      <w:pPr>
        <w:spacing w:after="120" w:before="80" w:line="276"/>
        <w:jc w:val="both"/>
      </w:pPr>
      <w:r>
        <w:rPr>
          <w:rFonts w:ascii="Arial" w:cs="Arial" w:eastAsia="Arial" w:hAnsi="Arial"/>
          <w:sz w:val="22"/>
          <w:szCs w:val="22"/>
        </w:rPr>
        <w:t xml:space="preserve">Employees, clients, partners, or members of the public who identify a potential security vulnerability or incident should report it to: security@betopialimited.com. Responsible disclosure is welcomed; we commit to acknowledging reports within 48 hours.</w:t>
      </w:r>
    </w:p>
    <w:p>
      <w:pPr>
        <w:pStyle w:val="Heading1"/>
        <w:pBdr>
          <w:bottom w:val="single" w:color="1B2A4A" w:sz="6" w:space="4"/>
        </w:pBdr>
        <w:spacing w:after="160" w:before="360"/>
      </w:pPr>
      <w:r>
        <w:rPr>
          <w:rFonts w:ascii="Arial" w:cs="Arial" w:eastAsia="Arial" w:hAnsi="Arial"/>
          <w:b/>
          <w:bCs/>
          <w:color w:val="1B2A4A"/>
          <w:sz w:val="32"/>
          <w:szCs w:val="32"/>
        </w:rPr>
        <w:t xml:space="preserve">13. Human Resources Security</w:t>
      </w:r>
    </w:p>
    <w:p>
      <w:pPr>
        <w:pStyle w:val="Heading2"/>
        <w:spacing w:after="120" w:before="280"/>
      </w:pPr>
      <w:r>
        <w:rPr>
          <w:rFonts w:ascii="Arial" w:cs="Arial" w:eastAsia="Arial" w:hAnsi="Arial"/>
          <w:b/>
          <w:bCs/>
          <w:color w:val="1B2A4A"/>
          <w:sz w:val="26"/>
          <w:szCs w:val="26"/>
        </w:rPr>
        <w:t xml:space="preserve">13.1 Pre-Employment</w:t>
      </w:r>
    </w:p>
    <w:p>
      <w:pPr>
        <w:pStyle w:val="ListParagraph"/>
        <w:numPr>
          <w:ilvl w:val="0"/>
          <w:numId w:val="2"/>
        </w:numPr>
        <w:spacing w:after="60" w:before="40"/>
      </w:pPr>
      <w:r>
        <w:rPr>
          <w:rFonts w:ascii="Arial" w:cs="Arial" w:eastAsia="Arial" w:hAnsi="Arial"/>
          <w:sz w:val="22"/>
          <w:szCs w:val="22"/>
        </w:rPr>
        <w:t xml:space="preserve">Background screening (identity verification, reference checks, and criminal record checks where legally permitted) is conducted for all employees and contractors with access to Confidential or Restricted data</w:t>
      </w:r>
    </w:p>
    <w:p>
      <w:pPr>
        <w:pStyle w:val="ListParagraph"/>
        <w:numPr>
          <w:ilvl w:val="0"/>
          <w:numId w:val="2"/>
        </w:numPr>
        <w:spacing w:after="60" w:before="40"/>
      </w:pPr>
      <w:r>
        <w:rPr>
          <w:rFonts w:ascii="Arial" w:cs="Arial" w:eastAsia="Arial" w:hAnsi="Arial"/>
          <w:sz w:val="22"/>
          <w:szCs w:val="22"/>
        </w:rPr>
        <w:t xml:space="preserve">All employees sign a Confidentiality and Non-Disclosure Agreement (NDA) before commencing employment</w:t>
      </w:r>
    </w:p>
    <w:p>
      <w:pPr>
        <w:pStyle w:val="Heading2"/>
        <w:spacing w:after="120" w:before="280"/>
      </w:pPr>
      <w:r>
        <w:rPr>
          <w:rFonts w:ascii="Arial" w:cs="Arial" w:eastAsia="Arial" w:hAnsi="Arial"/>
          <w:b/>
          <w:bCs/>
          <w:color w:val="1B2A4A"/>
          <w:sz w:val="26"/>
          <w:szCs w:val="26"/>
        </w:rPr>
        <w:t xml:space="preserve">13.2 During Employment</w:t>
      </w:r>
    </w:p>
    <w:p>
      <w:pPr>
        <w:pStyle w:val="ListParagraph"/>
        <w:numPr>
          <w:ilvl w:val="0"/>
          <w:numId w:val="2"/>
        </w:numPr>
        <w:spacing w:after="60" w:before="40"/>
      </w:pPr>
      <w:r>
        <w:rPr>
          <w:rFonts w:ascii="Arial" w:cs="Arial" w:eastAsia="Arial" w:hAnsi="Arial"/>
          <w:sz w:val="22"/>
          <w:szCs w:val="22"/>
        </w:rPr>
        <w:t xml:space="preserve">All staff complete mandatory Information Security Awareness training within 30 days of joining</w:t>
      </w:r>
    </w:p>
    <w:p>
      <w:pPr>
        <w:pStyle w:val="ListParagraph"/>
        <w:numPr>
          <w:ilvl w:val="0"/>
          <w:numId w:val="2"/>
        </w:numPr>
        <w:spacing w:after="60" w:before="40"/>
      </w:pPr>
      <w:r>
        <w:rPr>
          <w:rFonts w:ascii="Arial" w:cs="Arial" w:eastAsia="Arial" w:hAnsi="Arial"/>
          <w:sz w:val="22"/>
          <w:szCs w:val="22"/>
        </w:rPr>
        <w:t xml:space="preserve">Annual refresher training covering phishing awareness, social engineering, and data handling is mandatory for all staff</w:t>
      </w:r>
    </w:p>
    <w:p>
      <w:pPr>
        <w:pStyle w:val="ListParagraph"/>
        <w:numPr>
          <w:ilvl w:val="0"/>
          <w:numId w:val="2"/>
        </w:numPr>
        <w:spacing w:after="60" w:before="40"/>
      </w:pPr>
      <w:r>
        <w:rPr>
          <w:rFonts w:ascii="Arial" w:cs="Arial" w:eastAsia="Arial" w:hAnsi="Arial"/>
          <w:sz w:val="22"/>
          <w:szCs w:val="22"/>
        </w:rPr>
        <w:t xml:space="preserve">Role-specific security training is provided for development, IT, finance, and HR teams</w:t>
      </w:r>
    </w:p>
    <w:p>
      <w:pPr>
        <w:pStyle w:val="ListParagraph"/>
        <w:numPr>
          <w:ilvl w:val="0"/>
          <w:numId w:val="2"/>
        </w:numPr>
        <w:spacing w:after="60" w:before="40"/>
      </w:pPr>
      <w:r>
        <w:rPr>
          <w:rFonts w:ascii="Arial" w:cs="Arial" w:eastAsia="Arial" w:hAnsi="Arial"/>
          <w:sz w:val="22"/>
          <w:szCs w:val="22"/>
        </w:rPr>
        <w:t xml:space="preserve">Security awareness is reinforced through simulated phishing exercises conducted at least bi-annually</w:t>
      </w:r>
    </w:p>
    <w:p>
      <w:pPr>
        <w:pStyle w:val="Heading2"/>
        <w:spacing w:after="120" w:before="280"/>
      </w:pPr>
      <w:r>
        <w:rPr>
          <w:rFonts w:ascii="Arial" w:cs="Arial" w:eastAsia="Arial" w:hAnsi="Arial"/>
          <w:b/>
          <w:bCs/>
          <w:color w:val="1B2A4A"/>
          <w:sz w:val="26"/>
          <w:szCs w:val="26"/>
        </w:rPr>
        <w:t xml:space="preserve">13.3 Termination and Change of Role</w:t>
      </w:r>
    </w:p>
    <w:p>
      <w:pPr>
        <w:pStyle w:val="ListParagraph"/>
        <w:numPr>
          <w:ilvl w:val="0"/>
          <w:numId w:val="2"/>
        </w:numPr>
        <w:spacing w:after="60" w:before="40"/>
      </w:pPr>
      <w:r>
        <w:rPr>
          <w:rFonts w:ascii="Arial" w:cs="Arial" w:eastAsia="Arial" w:hAnsi="Arial"/>
          <w:sz w:val="22"/>
          <w:szCs w:val="22"/>
        </w:rPr>
        <w:t xml:space="preserve">All access rights are revoked within 24 hours of employment termination</w:t>
      </w:r>
    </w:p>
    <w:p>
      <w:pPr>
        <w:pStyle w:val="ListParagraph"/>
        <w:numPr>
          <w:ilvl w:val="0"/>
          <w:numId w:val="2"/>
        </w:numPr>
        <w:spacing w:after="60" w:before="40"/>
      </w:pPr>
      <w:r>
        <w:rPr>
          <w:rFonts w:ascii="Arial" w:cs="Arial" w:eastAsia="Arial" w:hAnsi="Arial"/>
          <w:sz w:val="22"/>
          <w:szCs w:val="22"/>
        </w:rPr>
        <w:t xml:space="preserve">Company devices and assets are recovered on or before the last day of employment</w:t>
      </w:r>
    </w:p>
    <w:p>
      <w:pPr>
        <w:pStyle w:val="ListParagraph"/>
        <w:numPr>
          <w:ilvl w:val="0"/>
          <w:numId w:val="2"/>
        </w:numPr>
        <w:spacing w:after="60" w:before="40"/>
      </w:pPr>
      <w:r>
        <w:rPr>
          <w:rFonts w:ascii="Arial" w:cs="Arial" w:eastAsia="Arial" w:hAnsi="Arial"/>
          <w:sz w:val="22"/>
          <w:szCs w:val="22"/>
        </w:rPr>
        <w:t xml:space="preserve">Confidentiality obligations continue post-employment as specified in employment contracts</w:t>
      </w:r>
    </w:p>
    <w:p>
      <w:pPr>
        <w:pStyle w:val="Heading1"/>
        <w:pBdr>
          <w:bottom w:val="single" w:color="1B2A4A" w:sz="6" w:space="4"/>
        </w:pBdr>
        <w:spacing w:after="160" w:before="360"/>
      </w:pPr>
      <w:r>
        <w:rPr>
          <w:rFonts w:ascii="Arial" w:cs="Arial" w:eastAsia="Arial" w:hAnsi="Arial"/>
          <w:b/>
          <w:bCs/>
          <w:color w:val="1B2A4A"/>
          <w:sz w:val="32"/>
          <w:szCs w:val="32"/>
        </w:rPr>
        <w:t xml:space="preserve">14. Compliance, Audit and Accountability</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Activity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Frequency</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Responsible Party</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Internal security audit (full scope)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 Security Lead + external auditor</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ISO 22301 surveillance audit</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Annual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QRO (external certifying body)</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 9001 surveillance audit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QRO (external certifying body)</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Penetration testing (external)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Annual minimum</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Qualified third-party tester</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Vulnerability scanning (automated)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Monthly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 Security team</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Access rights review</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Quarterly</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Line managers + IT Security</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BCP / DR test</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Annual / bi-annual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 Lead + SBU heads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Policy review and update</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Annual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DPO / Security Lead + CEO sign-off</w:t>
            </w:r>
          </w:p>
        </w:tc>
      </w:tr>
    </w:tbl>
    <w:p>
      <w:pPr>
        <w:spacing w:after="60" w:before="0"/>
      </w:pPr>
      <w:r>
        <w:t xml:space="preserve"/>
      </w:r>
    </w:p>
    <w:p>
      <w:pPr>
        <w:spacing w:after="120" w:before="80" w:line="276"/>
        <w:jc w:val="both"/>
      </w:pPr>
      <w:r>
        <w:rPr>
          <w:rFonts w:ascii="Arial" w:cs="Arial" w:eastAsia="Arial" w:hAnsi="Arial"/>
          <w:sz w:val="22"/>
          <w:szCs w:val="22"/>
        </w:rPr>
        <w:t xml:space="preserve">Non-compliance with this policy by employees or contractors may result in disciplinary action up to and including termination of employment or contract. Non-compliance by suppliers may result in contract termination. Material breaches are reported to the Betopia Board of Directors.</w:t>
      </w:r>
    </w:p>
    <w:p>
      <w:pPr>
        <w:pStyle w:val="Heading1"/>
        <w:pBdr>
          <w:bottom w:val="single" w:color="1B2A4A" w:sz="6" w:space="4"/>
        </w:pBdr>
        <w:spacing w:after="160" w:before="360"/>
      </w:pPr>
      <w:r>
        <w:rPr>
          <w:rFonts w:ascii="Arial" w:cs="Arial" w:eastAsia="Arial" w:hAnsi="Arial"/>
          <w:b/>
          <w:bCs/>
          <w:color w:val="1B2A4A"/>
          <w:sz w:val="32"/>
          <w:szCs w:val="32"/>
        </w:rPr>
        <w:t xml:space="preserve">15. Policy Governance</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4513"/>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Responsibility</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CEO / Board</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Ultimate accountability for information security; annual sign-off on policy</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Data Protection Officer (DPO)</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GDPR compliance oversight; breach notification; data subject rights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IT Security Lead</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Day-to-day security operations; vulnerability management; incident response</w:t>
            </w:r>
          </w:p>
        </w:tc>
      </w:tr>
      <w:tr>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All Managers</w:t>
            </w:r>
          </w:p>
        </w:tc>
        <w:tc>
          <w:tcPr>
            <w:tcW w:type="dxa" w:w="4513"/>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Enforcing policy within their teams; access provisioning requests</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All Staff &amp; Contractors</w:t>
            </w:r>
          </w:p>
        </w:tc>
        <w:tc>
          <w:tcPr>
            <w:tcW w:type="dxa" w:w="451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Complying with this policy; reporting incidents and suspicious activity</w:t>
            </w:r>
          </w:p>
        </w:tc>
      </w:tr>
    </w:tbl>
    <w:p>
      <w:pPr>
        <w:spacing w:after="60" w:before="0"/>
      </w:pPr>
      <w:r>
        <w:t xml:space="preserve"/>
      </w:r>
    </w:p>
    <w:p>
      <w:pPr>
        <w:spacing w:after="120" w:before="80" w:line="276"/>
        <w:jc w:val="both"/>
      </w:pPr>
      <w:r>
        <w:rPr>
          <w:rFonts w:ascii="Arial" w:cs="Arial" w:eastAsia="Arial" w:hAnsi="Arial"/>
          <w:sz w:val="22"/>
          <w:szCs w:val="22"/>
        </w:rPr>
        <w:t xml:space="preserve">This policy is owned by the Betopia Limited Board of Directors and managed by the IT Security Lead in coordination with the DPO. Policy exceptions require written approval from the IT Security Lead and CEO.</w:t>
      </w:r>
    </w:p>
    <w:p>
      <w:pPr>
        <w:pStyle w:val="Heading1"/>
        <w:pBdr>
          <w:bottom w:val="single" w:color="1B2A4A" w:sz="6" w:space="4"/>
        </w:pBdr>
        <w:spacing w:after="160" w:before="360"/>
      </w:pPr>
      <w:r>
        <w:rPr>
          <w:rFonts w:ascii="Arial" w:cs="Arial" w:eastAsia="Arial" w:hAnsi="Arial"/>
          <w:b/>
          <w:bCs/>
          <w:color w:val="1B2A4A"/>
          <w:sz w:val="32"/>
          <w:szCs w:val="32"/>
        </w:rPr>
        <w:t xml:space="preserve">16. Contact and Reporting</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Contact</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Email</w:t>
            </w:r>
          </w:p>
        </w:tc>
        <w:tc>
          <w:tcPr>
            <w:tcW w:type="dxa" w:w="3008"/>
            <w:tcBorders>
              <w:top w:val="single" w:color="1B2A4A" w:sz="1"/>
              <w:left w:val="single" w:color="1B2A4A" w:sz="1"/>
              <w:bottom w:val="single" w:color="1B2A4A" w:sz="1"/>
              <w:right w:val="single" w:color="1B2A4A" w:sz="1"/>
            </w:tcBorders>
            <w:shd w:fill="1B2A4A"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 incidents / vulnerabilities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security@betopialimited.com</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Report security incidents, responsible disclosure</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 / DPO</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privacy@betopialimited.com</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Data protection, GDPR requests, breach notification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General</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info@betopialimited.com</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General enquiries</w:t>
            </w:r>
          </w:p>
        </w:tc>
      </w:tr>
      <w:tr>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Postal</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Daisy Garden, House 14, Block A, Banasree, Dhaka-1219, Bangladesh</w:t>
            </w:r>
          </w:p>
        </w:tc>
        <w:tc>
          <w:tcPr>
            <w:tcW w:type="dxa" w:w="3008"/>
            <w:tcBorders>
              <w:top w:val="single" w:color="CCCCCC" w:sz="1"/>
              <w:left w:val="single" w:color="CCCCCC" w:sz="1"/>
              <w:bottom w:val="single" w:color="CCCCCC" w:sz="1"/>
              <w:right w:val="single" w:color="CCCCCC" w:sz="1"/>
            </w:tcBorders>
            <w:shd w:fill="EEF2F7" w:val="clear"/>
            <w:tcMar>
              <w:top w:type="dxa" w:w="60"/>
              <w:left w:type="dxa" w:w="100"/>
              <w:bottom w:type="dxa" w:w="60"/>
              <w:right w:type="dxa" w:w="100"/>
            </w:tcMar>
          </w:tcPr>
          <w:p>
            <w:r>
              <w:rPr>
                <w:rFonts w:ascii="Arial" w:cs="Arial" w:eastAsia="Arial" w:hAnsi="Arial"/>
                <w:sz w:val="20"/>
                <w:szCs w:val="20"/>
              </w:rPr>
              <w:t xml:space="preserve">Written correspondence</w:t>
            </w:r>
          </w:p>
        </w:tc>
      </w:tr>
    </w:tbl>
    <w:p>
      <w:pPr>
        <w:spacing w:after="60" w:before="0"/>
      </w:pPr>
      <w:r>
        <w:t xml:space="preserve"/>
      </w:r>
    </w:p>
    <w:p>
      <w:pPr>
        <w:spacing w:after="120" w:before="80" w:line="276"/>
        <w:jc w:val="both"/>
      </w:pPr>
      <w:r>
        <w:rPr>
          <w:rFonts w:ascii="Arial" w:cs="Arial" w:eastAsia="Arial" w:hAnsi="Arial"/>
          <w:sz w:val="22"/>
          <w:szCs w:val="22"/>
        </w:rPr>
        <w:t xml:space="preserve">Document Reference: BL-SP-2026-001  |  Version: 1.0  |  Effective: 11 May 2026  |  Next Review: 11 May 2027  |  Classification: PUBLIC</w:t>
      </w:r>
    </w:p>
    <w:p>
      <w:pPr>
        <w:spacing w:after="120" w:before="80" w:line="276"/>
        <w:jc w:val="both"/>
      </w:pPr>
      <w:r>
        <w:rPr>
          <w:rFonts w:ascii="Arial" w:cs="Arial" w:eastAsia="Arial" w:hAnsi="Arial"/>
          <w:sz w:val="22"/>
          <w:szCs w:val="22"/>
        </w:rPr>
        <w:t xml:space="preserve">Approved by: Betopia Limited Board of Directors  |  ISO 22301:2019 Certified by QRO  |  ISO 9001:2015 Certified by QRO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pBdr>
      <w:tabs>
        <w:tab w:val="right" w:pos="8026"/>
      </w:tabs>
      <w:spacing w:before="100"/>
    </w:pPr>
    <w:r>
      <w:rPr>
        <w:rFonts w:ascii="Arial" w:cs="Arial" w:eastAsia="Arial" w:hAnsi="Arial"/>
        <w:color w:val="666666"/>
        <w:sz w:val="18"/>
        <w:szCs w:val="18"/>
      </w:rPr>
      <w:t xml:space="preserve">Effective: 11 May 2026  |  BL-SP-2026-001</w:t>
    </w:r>
    <w:r>
      <w:rPr>
        <w:rFonts w:ascii="Arial" w:cs="Arial" w:eastAsia="Arial" w:hAnsi="Arial"/>
        <w:color w:val="666666"/>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pBdr>
      <w:spacing w:after="100"/>
    </w:pPr>
    <w:r>
      <w:rPr>
        <w:rFonts w:ascii="Arial" w:cs="Arial" w:eastAsia="Arial" w:hAnsi="Arial"/>
        <w:color w:val="666666"/>
        <w:sz w:val="18"/>
        <w:szCs w:val="18"/>
      </w:rPr>
      <w:t xml:space="preserve">Betopia Limited — Information Security Policy  |  BL-SP-2026-001  |  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2026-05-11T17:42:21.466Z</dcterms:created>
  <dcterms:modified xsi:type="dcterms:W3CDTF">2026-05-11T17:42:21.467Z</dcterms:modified>
</cp:coreProperties>
</file>

<file path=docProps/custom.xml><?xml version="1.0" encoding="utf-8"?>
<Properties xmlns="http://schemas.openxmlformats.org/officeDocument/2006/custom-properties" xmlns:vt="http://schemas.openxmlformats.org/officeDocument/2006/docPropsVTypes"/>
</file>