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FFA03" w14:textId="5F32CBEF" w:rsidR="00F62621" w:rsidRDefault="00356189" w:rsidP="00356189">
      <w:pPr>
        <w:pStyle w:val="Tittel"/>
      </w:pPr>
      <w:r>
        <w:t>e-oppslag, modell over aktører og komponenter</w:t>
      </w:r>
    </w:p>
    <w:p w14:paraId="32AE0B30" w14:textId="77777777" w:rsidR="00356189" w:rsidRDefault="00356189" w:rsidP="00356189">
      <w:r w:rsidRPr="00F757F5">
        <w:t>Av: Rolf Rander Næss, Acando AS, for Brønnøysundregistrene</w:t>
      </w:r>
    </w:p>
    <w:p w14:paraId="3AC6773A" w14:textId="6B6F4201" w:rsidR="00356189" w:rsidRPr="00356189" w:rsidRDefault="00356189" w:rsidP="00356189">
      <w:r>
        <w:t>Dato: 2018-05-23</w:t>
      </w:r>
    </w:p>
    <w:p w14:paraId="03EBD986" w14:textId="14ABBB48" w:rsidR="00356189" w:rsidRDefault="00356189" w:rsidP="00356189">
      <w:pPr>
        <w:pStyle w:val="Overskrift1"/>
      </w:pPr>
      <w:r>
        <w:t>Aktører og komponenter</w:t>
      </w:r>
    </w:p>
    <w:p w14:paraId="1B3C6B23" w14:textId="02E0711D" w:rsidR="00356189" w:rsidRDefault="00356189" w:rsidP="00356189">
      <w:r>
        <w:t>Figuren er i «</w:t>
      </w:r>
      <w:proofErr w:type="spellStart"/>
      <w:r>
        <w:t>archimate</w:t>
      </w:r>
      <w:proofErr w:type="spellEnd"/>
      <w:r>
        <w:t xml:space="preserve">»-notasjon. Dette skal ikke være noen lærebok i </w:t>
      </w:r>
      <w:proofErr w:type="spellStart"/>
      <w:r>
        <w:t>archimate</w:t>
      </w:r>
      <w:proofErr w:type="spellEnd"/>
      <w:r>
        <w:t>, men jeg forklarer hva de ulike figurene betyr i omtalen av hver enkelt nedenfor.</w:t>
      </w:r>
    </w:p>
    <w:p w14:paraId="77600860" w14:textId="4D98B046" w:rsidR="00356189" w:rsidRPr="00356189" w:rsidRDefault="00356189" w:rsidP="00356189">
      <w:r>
        <w:t>I denne modellen er token-tjenesten som gjør autentisering bevisst utelatt. Denne figuren skal vise det som inngår i målsetningen. Token-tjenesten er et middel for å oppnå kommunikasjon, ikke et mål i seg selv.</w:t>
      </w:r>
    </w:p>
    <w:p w14:paraId="614AEAA9" w14:textId="47B761F4" w:rsidR="00356189" w:rsidRDefault="00356189" w:rsidP="00356189">
      <w:r w:rsidRPr="00356189">
        <w:rPr>
          <w:noProof/>
        </w:rPr>
        <w:drawing>
          <wp:inline distT="0" distB="0" distL="0" distR="0" wp14:anchorId="6135BB42" wp14:editId="1E42A088">
            <wp:extent cx="5760720" cy="185102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51025"/>
                    </a:xfrm>
                    <a:prstGeom prst="rect">
                      <a:avLst/>
                    </a:prstGeom>
                  </pic:spPr>
                </pic:pic>
              </a:graphicData>
            </a:graphic>
          </wp:inline>
        </w:drawing>
      </w:r>
    </w:p>
    <w:p w14:paraId="35C851A3" w14:textId="2E2CC373" w:rsidR="00356189" w:rsidRDefault="00141FA8" w:rsidP="00141FA8">
      <w:pPr>
        <w:pStyle w:val="Overskrift2"/>
      </w:pPr>
      <w:r>
        <w:t>Aktører</w:t>
      </w:r>
    </w:p>
    <w:p w14:paraId="430632F1" w14:textId="3CFC21A8" w:rsidR="00356189" w:rsidRDefault="00356189" w:rsidP="00356189">
      <w:r>
        <w:t xml:space="preserve">En aktør er notert i </w:t>
      </w:r>
      <w:proofErr w:type="spellStart"/>
      <w:r>
        <w:t>archimate</w:t>
      </w:r>
      <w:proofErr w:type="spellEnd"/>
      <w:r>
        <w:t xml:space="preserve"> som en gul boks med en strekfigur. Vi diskuterte 4 ulike typer aktører, bokstavene i parentes er de vi brukte i figurene på tavla:</w:t>
      </w:r>
    </w:p>
    <w:p w14:paraId="6AC4776F" w14:textId="28ED13A2" w:rsidR="00356189" w:rsidRDefault="00356189" w:rsidP="00356189">
      <w:pPr>
        <w:pStyle w:val="Listeavsnitt"/>
        <w:numPr>
          <w:ilvl w:val="0"/>
          <w:numId w:val="1"/>
        </w:numPr>
      </w:pPr>
      <w:proofErr w:type="spellStart"/>
      <w:r>
        <w:t>Tjenesteeier</w:t>
      </w:r>
      <w:proofErr w:type="spellEnd"/>
      <w:r>
        <w:t xml:space="preserve"> (A): den part som tilbyr en tjeneste gjennom et API</w:t>
      </w:r>
    </w:p>
    <w:p w14:paraId="61C962AA" w14:textId="7AEEAB29" w:rsidR="00356189" w:rsidRDefault="00356189" w:rsidP="00356189">
      <w:pPr>
        <w:pStyle w:val="Listeavsnitt"/>
        <w:numPr>
          <w:ilvl w:val="0"/>
          <w:numId w:val="1"/>
        </w:numPr>
      </w:pPr>
      <w:r>
        <w:t>Konsument (C): den part som skal bruke tjenesten og juridisk sett er mottaker</w:t>
      </w:r>
    </w:p>
    <w:p w14:paraId="31293B2E" w14:textId="59EF1F4A" w:rsidR="00356189" w:rsidRDefault="00356189" w:rsidP="00356189">
      <w:pPr>
        <w:pStyle w:val="Listeavsnitt"/>
        <w:numPr>
          <w:ilvl w:val="0"/>
          <w:numId w:val="1"/>
        </w:numPr>
      </w:pPr>
      <w:r>
        <w:t xml:space="preserve">Konsumentens driftsleverandør (L): </w:t>
      </w:r>
      <w:r w:rsidR="004B7C39">
        <w:t>en separat organisasjon som konsumenten bruker til å forvalte deler av eller hele sin tekniske infrastruktur, samt som i større eller mindre grad er integrert i konsumentens forretningsprosesser. Her begynner det å bli vanskelig, fordi det finnes (minst) tre ulike modeller og det er utydelig hvor grensene går:</w:t>
      </w:r>
    </w:p>
    <w:p w14:paraId="45903C1D" w14:textId="0CAA14FC" w:rsidR="004B7C39" w:rsidRDefault="004B7C39" w:rsidP="004B7C39">
      <w:pPr>
        <w:pStyle w:val="Listeavsnitt"/>
        <w:numPr>
          <w:ilvl w:val="1"/>
          <w:numId w:val="2"/>
        </w:numPr>
      </w:pPr>
      <w:r>
        <w:t>C og L er samme organisasjon (eller L sin rolle er ubetydelig i denne sammenhengen): her kan man se bort fra de tre boksene til venstre i figuren (leverandør, plattform, og avtalen med leverandøren) og det hele blir mye enklere</w:t>
      </w:r>
    </w:p>
    <w:p w14:paraId="73F3C86F" w14:textId="7AC26ACA" w:rsidR="004B7C39" w:rsidRDefault="004B7C39" w:rsidP="004B7C39">
      <w:pPr>
        <w:pStyle w:val="Listeavsnitt"/>
        <w:numPr>
          <w:ilvl w:val="1"/>
          <w:numId w:val="2"/>
        </w:numPr>
      </w:pPr>
      <w:r>
        <w:t xml:space="preserve">L er en sky-leverandør, men C forvalter klienten selv (for eksempel: C kjøper programvare fra Visma og installerer i </w:t>
      </w:r>
      <w:proofErr w:type="spellStart"/>
      <w:r>
        <w:t>Azure</w:t>
      </w:r>
      <w:proofErr w:type="spellEnd"/>
      <w:r>
        <w:t>. I denne sammenhengen er Microsoft en «databehandler», men fra A sitt perspektiv er L usynlig)</w:t>
      </w:r>
    </w:p>
    <w:p w14:paraId="0F87C0FF" w14:textId="22C9ED07" w:rsidR="004B7C39" w:rsidRDefault="004B7C39" w:rsidP="004B7C39">
      <w:pPr>
        <w:pStyle w:val="Listeavsnitt"/>
        <w:numPr>
          <w:ilvl w:val="1"/>
          <w:numId w:val="2"/>
        </w:numPr>
      </w:pPr>
      <w:r>
        <w:t>L leverer en integrert tjeneste til C, typisk i en eller annen slags delt løsning, men hvor vi typisk ønsker at L autentiseres som seg selv, men er autorisert til å opptre på vegne av flere C. (for eksempel: Eika opptrer på vegne av 57 banker, et regnskapskontor opptrer på vegne av sine kunder)</w:t>
      </w:r>
    </w:p>
    <w:p w14:paraId="3796E65B" w14:textId="4410400D" w:rsidR="004B7C39" w:rsidRDefault="004B7C39" w:rsidP="004B7C39">
      <w:pPr>
        <w:pStyle w:val="Listeavsnitt"/>
        <w:numPr>
          <w:ilvl w:val="0"/>
          <w:numId w:val="1"/>
        </w:numPr>
      </w:pPr>
      <w:r>
        <w:t xml:space="preserve">Programvareleverandør (S): der hvor konsumenten (C) ikke går gjennom en driftsleverandør, men integrerer direkte vil det i mange sammenhenger ikke være C som lager programvaren, </w:t>
      </w:r>
      <w:r>
        <w:lastRenderedPageBreak/>
        <w:t>men de kjøper for eksempel et ERP-system fra en leverandør, og dette kaller tjenesten. Hvorvidt S er relevant i tilgangsstyringen vil variere.</w:t>
      </w:r>
    </w:p>
    <w:p w14:paraId="3E761900" w14:textId="7D8A675C" w:rsidR="004B7C39" w:rsidRDefault="004B7C39" w:rsidP="00141FA8">
      <w:pPr>
        <w:pStyle w:val="Overskrift2"/>
      </w:pPr>
      <w:r>
        <w:t>Avtaler</w:t>
      </w:r>
    </w:p>
    <w:p w14:paraId="4C74F32B" w14:textId="36BC09D3" w:rsidR="004B7C39" w:rsidRDefault="004B7C39" w:rsidP="004B7C39">
      <w:r>
        <w:t xml:space="preserve">En avtale i </w:t>
      </w:r>
      <w:proofErr w:type="spellStart"/>
      <w:r>
        <w:t>archimate</w:t>
      </w:r>
      <w:proofErr w:type="spellEnd"/>
      <w:r>
        <w:t>-notasjon er en gul boks med to vannrette striper. Det er to avtaler involvert som er relevant:</w:t>
      </w:r>
    </w:p>
    <w:p w14:paraId="067E54F3" w14:textId="64D98D11" w:rsidR="004B7C39" w:rsidRDefault="004B7C39" w:rsidP="004B7C39">
      <w:pPr>
        <w:pStyle w:val="Listeavsnitt"/>
        <w:numPr>
          <w:ilvl w:val="0"/>
          <w:numId w:val="1"/>
        </w:numPr>
      </w:pPr>
      <w:r>
        <w:t>Avtale mellom konsument (C) og driftsleverandør (L). Dersom L skal opptre på vegne av C (scenario 3 over) er det denne avtalen som delegerer myndighet fra C til L.</w:t>
      </w:r>
    </w:p>
    <w:p w14:paraId="0905B3B3" w14:textId="17BB225B" w:rsidR="004B7C39" w:rsidRDefault="004B7C39" w:rsidP="004B7C39">
      <w:pPr>
        <w:pStyle w:val="Listeavsnitt"/>
        <w:numPr>
          <w:ilvl w:val="0"/>
          <w:numId w:val="1"/>
        </w:numPr>
      </w:pPr>
      <w:r>
        <w:t xml:space="preserve">Avtale mellom </w:t>
      </w:r>
      <w:proofErr w:type="spellStart"/>
      <w:r>
        <w:t>tjenesteeier</w:t>
      </w:r>
      <w:proofErr w:type="spellEnd"/>
      <w:r>
        <w:t xml:space="preserve"> (A) og konsument (C). Dette er den avtalen som regulerer C sin tilgang på opplysninger/tjenester fra A. I vår sammenheng hvor C og/eller A er offentlige vir</w:t>
      </w:r>
      <w:r w:rsidR="00CC6031">
        <w:t>ksomheter vil denne avtalen typisk være strengt regulert i lov og forskrift.</w:t>
      </w:r>
    </w:p>
    <w:p w14:paraId="0121B363" w14:textId="725D3F84" w:rsidR="00CC6031" w:rsidRDefault="00CC6031" w:rsidP="00141FA8">
      <w:pPr>
        <w:pStyle w:val="Overskrift2"/>
      </w:pPr>
      <w:r>
        <w:t>Applikasjonstjenester og -komponenter</w:t>
      </w:r>
    </w:p>
    <w:p w14:paraId="4559A908" w14:textId="60338981" w:rsidR="00CC6031" w:rsidRDefault="00CC6031" w:rsidP="00CC6031">
      <w:r>
        <w:t xml:space="preserve">Alle begrep på applikasjonslaget er turkis i </w:t>
      </w:r>
      <w:proofErr w:type="spellStart"/>
      <w:r>
        <w:t>archimate</w:t>
      </w:r>
      <w:proofErr w:type="spellEnd"/>
      <w:r>
        <w:t>-notasjonen. Bokser med runde hjørner er tjenester/API, bokser med to «kontakter» til venstre er komponenter.</w:t>
      </w:r>
    </w:p>
    <w:p w14:paraId="342EFF04" w14:textId="5EF1CF4E" w:rsidR="00CC6031" w:rsidRDefault="00CC6031" w:rsidP="00CC6031">
      <w:pPr>
        <w:pStyle w:val="Listeavsnitt"/>
        <w:numPr>
          <w:ilvl w:val="0"/>
          <w:numId w:val="1"/>
        </w:numPr>
      </w:pPr>
      <w:r>
        <w:t>Klient: dette er omtrent det samme som «</w:t>
      </w:r>
      <w:proofErr w:type="spellStart"/>
      <w:r>
        <w:t>client</w:t>
      </w:r>
      <w:proofErr w:type="spellEnd"/>
      <w:r>
        <w:t xml:space="preserve">» i </w:t>
      </w:r>
      <w:proofErr w:type="spellStart"/>
      <w:r>
        <w:t>OAuth</w:t>
      </w:r>
      <w:proofErr w:type="spellEnd"/>
      <w:r>
        <w:t>, altså den komponenten som ønsker tilgang til en ressurs</w:t>
      </w:r>
    </w:p>
    <w:p w14:paraId="7DAADBF8" w14:textId="2D0494EB" w:rsidR="00CC6031" w:rsidRDefault="00CC6031" w:rsidP="00CC6031">
      <w:pPr>
        <w:pStyle w:val="Listeavsnitt"/>
        <w:numPr>
          <w:ilvl w:val="0"/>
          <w:numId w:val="1"/>
        </w:numPr>
      </w:pPr>
      <w:r>
        <w:t xml:space="preserve">Applikasjon som implementerer tjeneste: jeg </w:t>
      </w:r>
      <w:r w:rsidRPr="00CC6031">
        <w:rPr>
          <w:i/>
        </w:rPr>
        <w:t>tror</w:t>
      </w:r>
      <w:r>
        <w:t xml:space="preserve"> dette er det samme som «</w:t>
      </w:r>
      <w:proofErr w:type="spellStart"/>
      <w:r>
        <w:t>resource</w:t>
      </w:r>
      <w:proofErr w:type="spellEnd"/>
      <w:r>
        <w:t xml:space="preserve"> server» i </w:t>
      </w:r>
      <w:proofErr w:type="spellStart"/>
      <w:r>
        <w:t>OAuth</w:t>
      </w:r>
      <w:proofErr w:type="spellEnd"/>
      <w:r>
        <w:t>.</w:t>
      </w:r>
    </w:p>
    <w:p w14:paraId="23D1B3DE" w14:textId="58DE8C63" w:rsidR="00CC6031" w:rsidRDefault="00CC6031" w:rsidP="00CC6031">
      <w:pPr>
        <w:pStyle w:val="Listeavsnitt"/>
        <w:numPr>
          <w:ilvl w:val="0"/>
          <w:numId w:val="1"/>
        </w:numPr>
      </w:pPr>
      <w:r>
        <w:t>Tjeneste/API: grensesnittet som realiseres av «</w:t>
      </w:r>
      <w:proofErr w:type="spellStart"/>
      <w:r>
        <w:t>resource</w:t>
      </w:r>
      <w:proofErr w:type="spellEnd"/>
      <w:r>
        <w:t xml:space="preserve"> server» og som brukes/</w:t>
      </w:r>
      <w:proofErr w:type="spellStart"/>
      <w:r>
        <w:t>konsummeres</w:t>
      </w:r>
      <w:proofErr w:type="spellEnd"/>
      <w:r>
        <w:t xml:space="preserve"> av «</w:t>
      </w:r>
      <w:proofErr w:type="spellStart"/>
      <w:r>
        <w:t>client</w:t>
      </w:r>
      <w:proofErr w:type="spellEnd"/>
      <w:r>
        <w:t>»</w:t>
      </w:r>
    </w:p>
    <w:p w14:paraId="6CBC8F19" w14:textId="1671F7F8" w:rsidR="00CC6031" w:rsidRDefault="00CC6031" w:rsidP="00CC6031">
      <w:r>
        <w:t>Pilene betyr:</w:t>
      </w:r>
    </w:p>
    <w:p w14:paraId="2D42938E" w14:textId="00D4158F" w:rsidR="00CC6031" w:rsidRDefault="00CC6031" w:rsidP="00CC6031">
      <w:pPr>
        <w:pStyle w:val="Listeavsnitt"/>
        <w:numPr>
          <w:ilvl w:val="0"/>
          <w:numId w:val="1"/>
        </w:numPr>
      </w:pPr>
      <w:r>
        <w:t>Åpen pil: «brukes av»</w:t>
      </w:r>
    </w:p>
    <w:p w14:paraId="634BD155" w14:textId="22B1BD20" w:rsidR="00CC6031" w:rsidRDefault="00CC6031" w:rsidP="00CC6031">
      <w:pPr>
        <w:pStyle w:val="Listeavsnitt"/>
        <w:numPr>
          <w:ilvl w:val="0"/>
          <w:numId w:val="1"/>
        </w:numPr>
      </w:pPr>
      <w:r>
        <w:t>Trekant med stiplet linje: «realiserer»</w:t>
      </w:r>
    </w:p>
    <w:p w14:paraId="52A72D50" w14:textId="77777777" w:rsidR="00141FA8" w:rsidRDefault="00141FA8" w:rsidP="00141FA8">
      <w:pPr>
        <w:sectPr w:rsidR="00141FA8">
          <w:pgSz w:w="11906" w:h="16838"/>
          <w:pgMar w:top="1417" w:right="1417" w:bottom="1417" w:left="1417" w:header="708" w:footer="708" w:gutter="0"/>
          <w:cols w:space="708"/>
          <w:docGrid w:linePitch="360"/>
        </w:sectPr>
      </w:pPr>
    </w:p>
    <w:p w14:paraId="32D1232A" w14:textId="495C5743" w:rsidR="00141FA8" w:rsidRDefault="00141FA8" w:rsidP="00141FA8">
      <w:pPr>
        <w:pStyle w:val="Overskrift1"/>
      </w:pPr>
      <w:r>
        <w:t>Scenarier</w:t>
      </w:r>
    </w:p>
    <w:p w14:paraId="768C8A57" w14:textId="329DEF62" w:rsidR="00141FA8" w:rsidRDefault="00141FA8" w:rsidP="00141FA8">
      <w:r>
        <w:t>Diskusjonene våre dreier seg om ulike scenarier, og vi har litt problemer med å skille dem fra hverandre i diskusjonen. Dette er de jeg ser, med eksempler (jeg har begrenset utvalget litt sammenlignet med tidligere notater):</w:t>
      </w:r>
    </w:p>
    <w:tbl>
      <w:tblPr>
        <w:tblStyle w:val="Rutenettabell1lys"/>
        <w:tblW w:w="0" w:type="auto"/>
        <w:tblLook w:val="04A0" w:firstRow="1" w:lastRow="0" w:firstColumn="1" w:lastColumn="0" w:noHBand="0" w:noVBand="1"/>
      </w:tblPr>
      <w:tblGrid>
        <w:gridCol w:w="2122"/>
        <w:gridCol w:w="2835"/>
        <w:gridCol w:w="2693"/>
        <w:gridCol w:w="7738"/>
      </w:tblGrid>
      <w:tr w:rsidR="004F6B14" w14:paraId="347EF61D" w14:textId="77777777" w:rsidTr="00E00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D051E6" w14:textId="3E07D063" w:rsidR="004F6B14" w:rsidRDefault="004F6B14" w:rsidP="00141FA8">
            <w:r>
              <w:t>Scenario navn</w:t>
            </w:r>
          </w:p>
        </w:tc>
        <w:tc>
          <w:tcPr>
            <w:tcW w:w="2835" w:type="dxa"/>
          </w:tcPr>
          <w:p w14:paraId="074C1D5E" w14:textId="26310DFB" w:rsidR="004F6B14" w:rsidRDefault="004F6B14" w:rsidP="00141FA8">
            <w:pPr>
              <w:cnfStyle w:val="100000000000" w:firstRow="1" w:lastRow="0" w:firstColumn="0" w:lastColumn="0" w:oddVBand="0" w:evenVBand="0" w:oddHBand="0" w:evenHBand="0" w:firstRowFirstColumn="0" w:firstRowLastColumn="0" w:lastRowFirstColumn="0" w:lastRowLastColumn="0"/>
            </w:pPr>
            <w:r>
              <w:t>Typisk antall konsumenter</w:t>
            </w:r>
          </w:p>
        </w:tc>
        <w:tc>
          <w:tcPr>
            <w:tcW w:w="2693" w:type="dxa"/>
          </w:tcPr>
          <w:p w14:paraId="48ADD0D8" w14:textId="3A2E66A8" w:rsidR="004F6B14" w:rsidRDefault="004F6B14" w:rsidP="00141FA8">
            <w:pPr>
              <w:cnfStyle w:val="100000000000" w:firstRow="1" w:lastRow="0" w:firstColumn="0" w:lastColumn="0" w:oddVBand="0" w:evenVBand="0" w:oddHBand="0" w:evenHBand="0" w:firstRowFirstColumn="0" w:firstRowLastColumn="0" w:lastRowFirstColumn="0" w:lastRowLastColumn="0"/>
            </w:pPr>
            <w:r>
              <w:t>Typisk antall tjenesteeiere</w:t>
            </w:r>
          </w:p>
        </w:tc>
        <w:tc>
          <w:tcPr>
            <w:tcW w:w="7738" w:type="dxa"/>
          </w:tcPr>
          <w:p w14:paraId="74E29BC6" w14:textId="31E3D393" w:rsidR="004F6B14" w:rsidRDefault="004F6B14" w:rsidP="00141FA8">
            <w:pPr>
              <w:cnfStyle w:val="100000000000" w:firstRow="1" w:lastRow="0" w:firstColumn="0" w:lastColumn="0" w:oddVBand="0" w:evenVBand="0" w:oddHBand="0" w:evenHBand="0" w:firstRowFirstColumn="0" w:firstRowLastColumn="0" w:lastRowFirstColumn="0" w:lastRowLastColumn="0"/>
            </w:pPr>
            <w:r>
              <w:t>Beskrivelse</w:t>
            </w:r>
          </w:p>
        </w:tc>
      </w:tr>
      <w:tr w:rsidR="004F6B14" w14:paraId="48E7B5AE" w14:textId="77777777" w:rsidTr="00E00A50">
        <w:tc>
          <w:tcPr>
            <w:cnfStyle w:val="001000000000" w:firstRow="0" w:lastRow="0" w:firstColumn="1" w:lastColumn="0" w:oddVBand="0" w:evenVBand="0" w:oddHBand="0" w:evenHBand="0" w:firstRowFirstColumn="0" w:firstRowLastColumn="0" w:lastRowFirstColumn="0" w:lastRowLastColumn="0"/>
            <w:tcW w:w="2122" w:type="dxa"/>
          </w:tcPr>
          <w:p w14:paraId="05B481B1" w14:textId="7DF3A9FC" w:rsidR="004F6B14" w:rsidRDefault="004F6B14" w:rsidP="00141FA8">
            <w:r>
              <w:t>Lovhjemlet</w:t>
            </w:r>
          </w:p>
        </w:tc>
        <w:tc>
          <w:tcPr>
            <w:tcW w:w="2835" w:type="dxa"/>
          </w:tcPr>
          <w:p w14:paraId="0687A5B9" w14:textId="5F2688C1" w:rsidR="004F6B14" w:rsidRDefault="004F6B14" w:rsidP="00141FA8">
            <w:pPr>
              <w:cnfStyle w:val="000000000000" w:firstRow="0" w:lastRow="0" w:firstColumn="0" w:lastColumn="0" w:oddVBand="0" w:evenVBand="0" w:oddHBand="0" w:evenHBand="0" w:firstRowFirstColumn="0" w:firstRowLastColumn="0" w:lastRowFirstColumn="0" w:lastRowLastColumn="0"/>
            </w:pPr>
            <w:r>
              <w:t>1-10</w:t>
            </w:r>
          </w:p>
        </w:tc>
        <w:tc>
          <w:tcPr>
            <w:tcW w:w="2693" w:type="dxa"/>
          </w:tcPr>
          <w:p w14:paraId="2FCFB917" w14:textId="645946FA" w:rsidR="004F6B14" w:rsidRDefault="004F6B14" w:rsidP="00141FA8">
            <w:pPr>
              <w:cnfStyle w:val="000000000000" w:firstRow="0" w:lastRow="0" w:firstColumn="0" w:lastColumn="0" w:oddVBand="0" w:evenVBand="0" w:oddHBand="0" w:evenHBand="0" w:firstRowFirstColumn="0" w:firstRowLastColumn="0" w:lastRowFirstColumn="0" w:lastRowLastColumn="0"/>
            </w:pPr>
            <w:r>
              <w:t>1</w:t>
            </w:r>
          </w:p>
        </w:tc>
        <w:tc>
          <w:tcPr>
            <w:tcW w:w="7738" w:type="dxa"/>
          </w:tcPr>
          <w:p w14:paraId="78E01DE4" w14:textId="0359714A" w:rsidR="004F6B14" w:rsidRDefault="007E2CF8" w:rsidP="00141FA8">
            <w:pPr>
              <w:cnfStyle w:val="000000000000" w:firstRow="0" w:lastRow="0" w:firstColumn="0" w:lastColumn="0" w:oddVBand="0" w:evenVBand="0" w:oddHBand="0" w:evenHBand="0" w:firstRowFirstColumn="0" w:firstRowLastColumn="0" w:lastRowFirstColumn="0" w:lastRowLastColumn="0"/>
            </w:pPr>
            <w:r>
              <w:t>Utveksling av informasjon mellom offentlige etater</w:t>
            </w:r>
            <w:r w:rsidR="00E00A50">
              <w:t xml:space="preserve"> hvor dette er spesifikt hjemlet i lov og forskrift, og hvor den aktuelle informasjonen typisk inngår i definerte prosesser hos alle involverte parter.</w:t>
            </w:r>
            <w:r w:rsidR="00C25679">
              <w:t xml:space="preserve"> Et eksempel er utlendingsforvaltningen som er fordelt mellom Politiet, UDI og UNE, og hvor disse utveksler bestemte opplysninger på definerte steder i saksgangen.</w:t>
            </w:r>
          </w:p>
        </w:tc>
      </w:tr>
      <w:tr w:rsidR="00E00A50" w14:paraId="1151AFFC" w14:textId="77777777" w:rsidTr="00E00A50">
        <w:tc>
          <w:tcPr>
            <w:cnfStyle w:val="001000000000" w:firstRow="0" w:lastRow="0" w:firstColumn="1" w:lastColumn="0" w:oddVBand="0" w:evenVBand="0" w:oddHBand="0" w:evenHBand="0" w:firstRowFirstColumn="0" w:firstRowLastColumn="0" w:lastRowFirstColumn="0" w:lastRowLastColumn="0"/>
            <w:tcW w:w="2122" w:type="dxa"/>
          </w:tcPr>
          <w:p w14:paraId="139C961C" w14:textId="07FDF621" w:rsidR="00E00A50" w:rsidRDefault="00E00A50" w:rsidP="00141FA8">
            <w:r>
              <w:t>Etter avtale</w:t>
            </w:r>
          </w:p>
        </w:tc>
        <w:tc>
          <w:tcPr>
            <w:tcW w:w="2835" w:type="dxa"/>
          </w:tcPr>
          <w:p w14:paraId="7937704F" w14:textId="484F1210" w:rsidR="00E00A50" w:rsidRDefault="00E00A50" w:rsidP="00141FA8">
            <w:pPr>
              <w:cnfStyle w:val="000000000000" w:firstRow="0" w:lastRow="0" w:firstColumn="0" w:lastColumn="0" w:oddVBand="0" w:evenVBand="0" w:oddHBand="0" w:evenHBand="0" w:firstRowFirstColumn="0" w:firstRowLastColumn="0" w:lastRowFirstColumn="0" w:lastRowLastColumn="0"/>
            </w:pPr>
            <w:r>
              <w:t>10-1000</w:t>
            </w:r>
          </w:p>
        </w:tc>
        <w:tc>
          <w:tcPr>
            <w:tcW w:w="2693" w:type="dxa"/>
          </w:tcPr>
          <w:p w14:paraId="5EDC731E" w14:textId="65860B8C" w:rsidR="00E00A50" w:rsidRDefault="00E00A50" w:rsidP="00141FA8">
            <w:pPr>
              <w:cnfStyle w:val="000000000000" w:firstRow="0" w:lastRow="0" w:firstColumn="0" w:lastColumn="0" w:oddVBand="0" w:evenVBand="0" w:oddHBand="0" w:evenHBand="0" w:firstRowFirstColumn="0" w:firstRowLastColumn="0" w:lastRowFirstColumn="0" w:lastRowLastColumn="0"/>
            </w:pPr>
            <w:r>
              <w:t>1</w:t>
            </w:r>
          </w:p>
        </w:tc>
        <w:tc>
          <w:tcPr>
            <w:tcW w:w="7738" w:type="dxa"/>
          </w:tcPr>
          <w:p w14:paraId="4A393FCE" w14:textId="118378A1" w:rsidR="00E00A50" w:rsidRDefault="00E00A50" w:rsidP="00141FA8">
            <w:pPr>
              <w:cnfStyle w:val="000000000000" w:firstRow="0" w:lastRow="0" w:firstColumn="0" w:lastColumn="0" w:oddVBand="0" w:evenVBand="0" w:oddHBand="0" w:evenHBand="0" w:firstRowFirstColumn="0" w:firstRowLastColumn="0" w:lastRowFirstColumn="0" w:lastRowLastColumn="0"/>
            </w:pPr>
            <w:r>
              <w:t>Oppslag på informasjon hvor bruk av informasjonen er begrenset i lov og forskrift, men med en større bredde i konsumenter og bruksområder, samt definerer bredere grupper av konsumenter («alle kommuner» eller «alle banker»).</w:t>
            </w:r>
          </w:p>
        </w:tc>
      </w:tr>
      <w:tr w:rsidR="00E00A50" w14:paraId="3A749AFF" w14:textId="77777777" w:rsidTr="00E00A50">
        <w:tc>
          <w:tcPr>
            <w:cnfStyle w:val="001000000000" w:firstRow="0" w:lastRow="0" w:firstColumn="1" w:lastColumn="0" w:oddVBand="0" w:evenVBand="0" w:oddHBand="0" w:evenHBand="0" w:firstRowFirstColumn="0" w:firstRowLastColumn="0" w:lastRowFirstColumn="0" w:lastRowLastColumn="0"/>
            <w:tcW w:w="2122" w:type="dxa"/>
          </w:tcPr>
          <w:p w14:paraId="65122F20" w14:textId="55080C93" w:rsidR="00E00A50" w:rsidRDefault="00E00A50" w:rsidP="00141FA8">
            <w:r>
              <w:t>Alle virksomheter</w:t>
            </w:r>
          </w:p>
        </w:tc>
        <w:tc>
          <w:tcPr>
            <w:tcW w:w="2835" w:type="dxa"/>
          </w:tcPr>
          <w:p w14:paraId="05A6DADC" w14:textId="0D2D2676" w:rsidR="00E00A50" w:rsidRDefault="00E00A50" w:rsidP="00141FA8">
            <w:pPr>
              <w:cnfStyle w:val="000000000000" w:firstRow="0" w:lastRow="0" w:firstColumn="0" w:lastColumn="0" w:oddVBand="0" w:evenVBand="0" w:oddHBand="0" w:evenHBand="0" w:firstRowFirstColumn="0" w:firstRowLastColumn="0" w:lastRowFirstColumn="0" w:lastRowLastColumn="0"/>
            </w:pPr>
            <w:r>
              <w:t>Over 1 million</w:t>
            </w:r>
          </w:p>
        </w:tc>
        <w:tc>
          <w:tcPr>
            <w:tcW w:w="2693" w:type="dxa"/>
          </w:tcPr>
          <w:p w14:paraId="6D26E38A" w14:textId="18293464" w:rsidR="00E00A50" w:rsidRDefault="00E00A50" w:rsidP="00141FA8">
            <w:pPr>
              <w:cnfStyle w:val="000000000000" w:firstRow="0" w:lastRow="0" w:firstColumn="0" w:lastColumn="0" w:oddVBand="0" w:evenVBand="0" w:oddHBand="0" w:evenHBand="0" w:firstRowFirstColumn="0" w:firstRowLastColumn="0" w:lastRowFirstColumn="0" w:lastRowLastColumn="0"/>
            </w:pPr>
            <w:r>
              <w:t>1</w:t>
            </w:r>
          </w:p>
        </w:tc>
        <w:tc>
          <w:tcPr>
            <w:tcW w:w="7738" w:type="dxa"/>
          </w:tcPr>
          <w:p w14:paraId="07F41920" w14:textId="0D18A827" w:rsidR="00E00A50" w:rsidRDefault="00E00A50" w:rsidP="00141FA8">
            <w:pPr>
              <w:cnfStyle w:val="000000000000" w:firstRow="0" w:lastRow="0" w:firstColumn="0" w:lastColumn="0" w:oddVBand="0" w:evenVBand="0" w:oddHBand="0" w:evenHBand="0" w:firstRowFirstColumn="0" w:firstRowLastColumn="0" w:lastRowFirstColumn="0" w:lastRowLastColumn="0"/>
            </w:pPr>
            <w:r>
              <w:t>Tjenester som alle registrerte virksomheter i prinsippet får lov til å bruke</w:t>
            </w:r>
          </w:p>
        </w:tc>
      </w:tr>
      <w:tr w:rsidR="00E00A50" w14:paraId="29307C73" w14:textId="77777777" w:rsidTr="00E00A50">
        <w:tc>
          <w:tcPr>
            <w:cnfStyle w:val="001000000000" w:firstRow="0" w:lastRow="0" w:firstColumn="1" w:lastColumn="0" w:oddVBand="0" w:evenVBand="0" w:oddHBand="0" w:evenHBand="0" w:firstRowFirstColumn="0" w:firstRowLastColumn="0" w:lastRowFirstColumn="0" w:lastRowLastColumn="0"/>
            <w:tcW w:w="2122" w:type="dxa"/>
          </w:tcPr>
          <w:p w14:paraId="2104DC2F" w14:textId="555B8BA6" w:rsidR="00E00A50" w:rsidRDefault="00E00A50" w:rsidP="00141FA8">
            <w:r>
              <w:t>Revers</w:t>
            </w:r>
          </w:p>
        </w:tc>
        <w:tc>
          <w:tcPr>
            <w:tcW w:w="2835" w:type="dxa"/>
          </w:tcPr>
          <w:p w14:paraId="527FB7E3" w14:textId="288165C4" w:rsidR="00E00A50" w:rsidRDefault="00E00A50" w:rsidP="00141FA8">
            <w:pPr>
              <w:cnfStyle w:val="000000000000" w:firstRow="0" w:lastRow="0" w:firstColumn="0" w:lastColumn="0" w:oddVBand="0" w:evenVBand="0" w:oddHBand="0" w:evenHBand="0" w:firstRowFirstColumn="0" w:firstRowLastColumn="0" w:lastRowFirstColumn="0" w:lastRowLastColumn="0"/>
            </w:pPr>
            <w:r>
              <w:t>1-10</w:t>
            </w:r>
          </w:p>
        </w:tc>
        <w:tc>
          <w:tcPr>
            <w:tcW w:w="2693" w:type="dxa"/>
          </w:tcPr>
          <w:p w14:paraId="08BE5DE1" w14:textId="1C3308AA" w:rsidR="00E00A50" w:rsidRDefault="00E00A50" w:rsidP="00141FA8">
            <w:pPr>
              <w:cnfStyle w:val="000000000000" w:firstRow="0" w:lastRow="0" w:firstColumn="0" w:lastColumn="0" w:oddVBand="0" w:evenVBand="0" w:oddHBand="0" w:evenHBand="0" w:firstRowFirstColumn="0" w:firstRowLastColumn="0" w:lastRowFirstColumn="0" w:lastRowLastColumn="0"/>
            </w:pPr>
            <w:r>
              <w:t>10-1000</w:t>
            </w:r>
          </w:p>
        </w:tc>
        <w:tc>
          <w:tcPr>
            <w:tcW w:w="7738" w:type="dxa"/>
          </w:tcPr>
          <w:p w14:paraId="0A242F1F" w14:textId="262CE920" w:rsidR="00E00A50" w:rsidRDefault="00E00A50" w:rsidP="00141FA8">
            <w:pPr>
              <w:cnfStyle w:val="000000000000" w:firstRow="0" w:lastRow="0" w:firstColumn="0" w:lastColumn="0" w:oddVBand="0" w:evenVBand="0" w:oddHBand="0" w:evenHBand="0" w:firstRowFirstColumn="0" w:firstRowLastColumn="0" w:lastRowFirstColumn="0" w:lastRowLastColumn="0"/>
            </w:pPr>
            <w:r>
              <w:t>Der hvor offentlige etater trenger å kalle tjenester hos private virksomheter for å hente informasjon om disse virksomhetene sine kunder.</w:t>
            </w:r>
          </w:p>
        </w:tc>
      </w:tr>
    </w:tbl>
    <w:p w14:paraId="6FF55997" w14:textId="3163880C" w:rsidR="004F6B14" w:rsidRDefault="004F6B14" w:rsidP="00141FA8"/>
    <w:p w14:paraId="5266EFED" w14:textId="5F1FCFB4" w:rsidR="00E00A50" w:rsidRDefault="00E00A50" w:rsidP="00141FA8">
      <w:r>
        <w:t xml:space="preserve">Utenfor </w:t>
      </w:r>
      <w:proofErr w:type="spellStart"/>
      <w:r>
        <w:t>scope</w:t>
      </w:r>
      <w:proofErr w:type="spellEnd"/>
      <w:r>
        <w:t xml:space="preserve"> i denne omgang:</w:t>
      </w:r>
    </w:p>
    <w:p w14:paraId="6270100B" w14:textId="5ECD2070" w:rsidR="00E00A50" w:rsidRDefault="00E00A50" w:rsidP="00E00A50">
      <w:pPr>
        <w:pStyle w:val="Listeavsnitt"/>
        <w:numPr>
          <w:ilvl w:val="0"/>
          <w:numId w:val="1"/>
        </w:numPr>
      </w:pPr>
      <w:r>
        <w:t>Virksomhet gjør kall på vegne av en borger</w:t>
      </w:r>
    </w:p>
    <w:p w14:paraId="7E62496B" w14:textId="3076B7BC" w:rsidR="0033175C" w:rsidRDefault="0033175C" w:rsidP="00E00A50">
      <w:pPr>
        <w:pStyle w:val="Listeavsnitt"/>
        <w:numPr>
          <w:ilvl w:val="0"/>
          <w:numId w:val="1"/>
        </w:numPr>
      </w:pPr>
      <w:r>
        <w:t>Utenlandske virksomheter</w:t>
      </w:r>
    </w:p>
    <w:p w14:paraId="3194D6C1" w14:textId="00590CE5" w:rsidR="004F6B14" w:rsidRDefault="0033175C" w:rsidP="00141FA8">
      <w:r>
        <w:t>For alle scenariene hvor det er flere enn 10 aktører må det også støttes at det finnes sentrale leverandører eller bransjeorganisasjoner som opptrer på vegne av flere aktører (for eksempel «eika» på vegne av en rekke banker, eller en regnskapsfører på vegne av sine kunder).</w:t>
      </w:r>
    </w:p>
    <w:p w14:paraId="73504C95" w14:textId="42DFB67C" w:rsidR="0033175C" w:rsidRDefault="0033175C" w:rsidP="00141FA8">
      <w:r>
        <w:t xml:space="preserve">Det finnes kanskje ingen prinsipielle forskjeller mellom «lovhjemlet» og «etter avtale», men antall konsumenter har mye å si for krav til </w:t>
      </w:r>
      <w:proofErr w:type="spellStart"/>
      <w:r>
        <w:t>skalerbarhet</w:t>
      </w:r>
      <w:proofErr w:type="spellEnd"/>
      <w:r>
        <w:t>.</w:t>
      </w:r>
    </w:p>
    <w:tbl>
      <w:tblPr>
        <w:tblStyle w:val="Rutenettabell1lys"/>
        <w:tblW w:w="5000" w:type="pct"/>
        <w:tblLook w:val="04A0" w:firstRow="1" w:lastRow="0" w:firstColumn="1" w:lastColumn="0" w:noHBand="0" w:noVBand="1"/>
      </w:tblPr>
      <w:tblGrid>
        <w:gridCol w:w="1837"/>
        <w:gridCol w:w="4112"/>
        <w:gridCol w:w="4678"/>
        <w:gridCol w:w="4761"/>
      </w:tblGrid>
      <w:tr w:rsidR="00141FA8" w:rsidRPr="004F6B14" w14:paraId="197FC6EF" w14:textId="77777777" w:rsidTr="0033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pct"/>
          </w:tcPr>
          <w:p w14:paraId="4AB0E7F9" w14:textId="2361C5B0" w:rsidR="00141FA8" w:rsidRPr="004F6B14" w:rsidRDefault="00141FA8" w:rsidP="00141FA8">
            <w:pPr>
              <w:rPr>
                <w:sz w:val="20"/>
              </w:rPr>
            </w:pPr>
            <w:r w:rsidRPr="004F6B14">
              <w:rPr>
                <w:sz w:val="20"/>
              </w:rPr>
              <w:t>Scenario</w:t>
            </w:r>
          </w:p>
        </w:tc>
        <w:tc>
          <w:tcPr>
            <w:tcW w:w="1336" w:type="pct"/>
          </w:tcPr>
          <w:p w14:paraId="7FC0216E" w14:textId="18A7FE85" w:rsidR="00141FA8" w:rsidRPr="004F6B14" w:rsidRDefault="00141FA8" w:rsidP="00141FA8">
            <w:pPr>
              <w:cnfStyle w:val="100000000000" w:firstRow="1" w:lastRow="0" w:firstColumn="0" w:lastColumn="0" w:oddVBand="0" w:evenVBand="0" w:oddHBand="0" w:evenHBand="0" w:firstRowFirstColumn="0" w:firstRowLastColumn="0" w:lastRowFirstColumn="0" w:lastRowLastColumn="0"/>
              <w:rPr>
                <w:sz w:val="20"/>
              </w:rPr>
            </w:pPr>
            <w:r w:rsidRPr="004F6B14">
              <w:rPr>
                <w:sz w:val="20"/>
              </w:rPr>
              <w:t>Eksempel NAV</w:t>
            </w:r>
          </w:p>
        </w:tc>
        <w:tc>
          <w:tcPr>
            <w:tcW w:w="1520" w:type="pct"/>
          </w:tcPr>
          <w:p w14:paraId="08CF8156" w14:textId="404BF355" w:rsidR="00141FA8" w:rsidRPr="004F6B14" w:rsidRDefault="00141FA8" w:rsidP="00141FA8">
            <w:pPr>
              <w:cnfStyle w:val="100000000000" w:firstRow="1" w:lastRow="0" w:firstColumn="0" w:lastColumn="0" w:oddVBand="0" w:evenVBand="0" w:oddHBand="0" w:evenHBand="0" w:firstRowFirstColumn="0" w:firstRowLastColumn="0" w:lastRowFirstColumn="0" w:lastRowLastColumn="0"/>
              <w:rPr>
                <w:sz w:val="20"/>
              </w:rPr>
            </w:pPr>
            <w:r w:rsidRPr="004F6B14">
              <w:rPr>
                <w:sz w:val="20"/>
              </w:rPr>
              <w:t>Eksempel Skatt</w:t>
            </w:r>
          </w:p>
        </w:tc>
        <w:tc>
          <w:tcPr>
            <w:tcW w:w="1547" w:type="pct"/>
          </w:tcPr>
          <w:p w14:paraId="1BA163D6" w14:textId="09412193" w:rsidR="00141FA8" w:rsidRPr="004F6B14" w:rsidRDefault="00141FA8" w:rsidP="00141FA8">
            <w:pPr>
              <w:cnfStyle w:val="100000000000" w:firstRow="1" w:lastRow="0" w:firstColumn="0" w:lastColumn="0" w:oddVBand="0" w:evenVBand="0" w:oddHBand="0" w:evenHBand="0" w:firstRowFirstColumn="0" w:firstRowLastColumn="0" w:lastRowFirstColumn="0" w:lastRowLastColumn="0"/>
              <w:rPr>
                <w:sz w:val="20"/>
              </w:rPr>
            </w:pPr>
            <w:r w:rsidRPr="004F6B14">
              <w:rPr>
                <w:sz w:val="20"/>
              </w:rPr>
              <w:t>Eksempel BR</w:t>
            </w:r>
          </w:p>
        </w:tc>
      </w:tr>
      <w:tr w:rsidR="00141FA8" w:rsidRPr="004F6B14" w14:paraId="5E05B478" w14:textId="77777777" w:rsidTr="0033175C">
        <w:tc>
          <w:tcPr>
            <w:cnfStyle w:val="001000000000" w:firstRow="0" w:lastRow="0" w:firstColumn="1" w:lastColumn="0" w:oddVBand="0" w:evenVBand="0" w:oddHBand="0" w:evenHBand="0" w:firstRowFirstColumn="0" w:firstRowLastColumn="0" w:lastRowFirstColumn="0" w:lastRowLastColumn="0"/>
            <w:tcW w:w="597" w:type="pct"/>
          </w:tcPr>
          <w:p w14:paraId="55FF8F85" w14:textId="21253BF0" w:rsidR="00141FA8" w:rsidRPr="004F6B14" w:rsidRDefault="0033175C" w:rsidP="00141FA8">
            <w:pPr>
              <w:rPr>
                <w:sz w:val="20"/>
              </w:rPr>
            </w:pPr>
            <w:r>
              <w:rPr>
                <w:sz w:val="20"/>
              </w:rPr>
              <w:t>Lovhjemlet</w:t>
            </w:r>
          </w:p>
        </w:tc>
        <w:tc>
          <w:tcPr>
            <w:tcW w:w="1336" w:type="pct"/>
          </w:tcPr>
          <w:p w14:paraId="4831D335" w14:textId="77777777" w:rsidR="00141FA8" w:rsidRPr="004F6B14" w:rsidRDefault="00141FA8" w:rsidP="00141FA8">
            <w:pPr>
              <w:cnfStyle w:val="000000000000" w:firstRow="0" w:lastRow="0" w:firstColumn="0" w:lastColumn="0" w:oddVBand="0" w:evenVBand="0" w:oddHBand="0" w:evenHBand="0" w:firstRowFirstColumn="0" w:firstRowLastColumn="0" w:lastRowFirstColumn="0" w:lastRowLastColumn="0"/>
              <w:rPr>
                <w:sz w:val="20"/>
              </w:rPr>
            </w:pPr>
          </w:p>
        </w:tc>
        <w:tc>
          <w:tcPr>
            <w:tcW w:w="1520" w:type="pct"/>
          </w:tcPr>
          <w:p w14:paraId="3A8075B1" w14:textId="77777777" w:rsidR="00141FA8" w:rsidRPr="004F6B14" w:rsidRDefault="00141FA8" w:rsidP="00141FA8">
            <w:pPr>
              <w:cnfStyle w:val="000000000000" w:firstRow="0" w:lastRow="0" w:firstColumn="0" w:lastColumn="0" w:oddVBand="0" w:evenVBand="0" w:oddHBand="0" w:evenHBand="0" w:firstRowFirstColumn="0" w:firstRowLastColumn="0" w:lastRowFirstColumn="0" w:lastRowLastColumn="0"/>
              <w:rPr>
                <w:sz w:val="20"/>
              </w:rPr>
            </w:pPr>
          </w:p>
        </w:tc>
        <w:tc>
          <w:tcPr>
            <w:tcW w:w="1547" w:type="pct"/>
          </w:tcPr>
          <w:p w14:paraId="6D2FCE2E" w14:textId="0A8599DE" w:rsidR="00141FA8" w:rsidRPr="004F6B14" w:rsidRDefault="00C25679" w:rsidP="00141FA8">
            <w:pPr>
              <w:cnfStyle w:val="000000000000" w:firstRow="0" w:lastRow="0" w:firstColumn="0" w:lastColumn="0" w:oddVBand="0" w:evenVBand="0" w:oddHBand="0" w:evenHBand="0" w:firstRowFirstColumn="0" w:firstRowLastColumn="0" w:lastRowFirstColumn="0" w:lastRowLastColumn="0"/>
              <w:rPr>
                <w:sz w:val="20"/>
              </w:rPr>
            </w:pPr>
            <w:r>
              <w:rPr>
                <w:sz w:val="20"/>
              </w:rPr>
              <w:t>Informasjon om utleggstrekk mellom Statens Innkrevingssentral og Brønnøysundregistrene.</w:t>
            </w:r>
            <w:bookmarkStart w:id="0" w:name="_GoBack"/>
            <w:bookmarkEnd w:id="0"/>
          </w:p>
        </w:tc>
      </w:tr>
      <w:tr w:rsidR="00141FA8" w:rsidRPr="004F6B14" w14:paraId="47403534" w14:textId="77777777" w:rsidTr="0033175C">
        <w:tc>
          <w:tcPr>
            <w:cnfStyle w:val="001000000000" w:firstRow="0" w:lastRow="0" w:firstColumn="1" w:lastColumn="0" w:oddVBand="0" w:evenVBand="0" w:oddHBand="0" w:evenHBand="0" w:firstRowFirstColumn="0" w:firstRowLastColumn="0" w:lastRowFirstColumn="0" w:lastRowLastColumn="0"/>
            <w:tcW w:w="597" w:type="pct"/>
          </w:tcPr>
          <w:p w14:paraId="1BE93FE1" w14:textId="7ED377C1" w:rsidR="00141FA8" w:rsidRPr="004F6B14" w:rsidRDefault="0033175C" w:rsidP="00141FA8">
            <w:pPr>
              <w:rPr>
                <w:sz w:val="20"/>
              </w:rPr>
            </w:pPr>
            <w:r>
              <w:rPr>
                <w:sz w:val="20"/>
              </w:rPr>
              <w:t>Etter avtale</w:t>
            </w:r>
          </w:p>
        </w:tc>
        <w:tc>
          <w:tcPr>
            <w:tcW w:w="1336" w:type="pct"/>
          </w:tcPr>
          <w:p w14:paraId="5E445DDF" w14:textId="71B158D0" w:rsidR="00141FA8" w:rsidRPr="004F6B14" w:rsidRDefault="00C25679" w:rsidP="00141FA8">
            <w:pPr>
              <w:cnfStyle w:val="000000000000" w:firstRow="0" w:lastRow="0" w:firstColumn="0" w:lastColumn="0" w:oddVBand="0" w:evenVBand="0" w:oddHBand="0" w:evenHBand="0" w:firstRowFirstColumn="0" w:firstRowLastColumn="0" w:lastRowFirstColumn="0" w:lastRowLastColumn="0"/>
              <w:rPr>
                <w:sz w:val="20"/>
              </w:rPr>
            </w:pPr>
            <w:r>
              <w:rPr>
                <w:sz w:val="20"/>
              </w:rPr>
              <w:t>Pensjonsforsikring?</w:t>
            </w:r>
          </w:p>
        </w:tc>
        <w:tc>
          <w:tcPr>
            <w:tcW w:w="1520" w:type="pct"/>
          </w:tcPr>
          <w:p w14:paraId="760537B3" w14:textId="77777777" w:rsidR="00141FA8" w:rsidRDefault="0033175C" w:rsidP="00141FA8">
            <w:pPr>
              <w:cnfStyle w:val="000000000000" w:firstRow="0" w:lastRow="0" w:firstColumn="0" w:lastColumn="0" w:oddVBand="0" w:evenVBand="0" w:oddHBand="0" w:evenHBand="0" w:firstRowFirstColumn="0" w:firstRowLastColumn="0" w:lastRowFirstColumn="0" w:lastRowLastColumn="0"/>
              <w:rPr>
                <w:sz w:val="20"/>
              </w:rPr>
            </w:pPr>
            <w:r>
              <w:rPr>
                <w:sz w:val="20"/>
              </w:rPr>
              <w:t>Samtykkebasert lånesøknad</w:t>
            </w:r>
          </w:p>
          <w:p w14:paraId="7FD22A9F" w14:textId="57BBC276" w:rsidR="00C25679" w:rsidRPr="004F6B14" w:rsidRDefault="00C25679" w:rsidP="00141FA8">
            <w:pPr>
              <w:cnfStyle w:val="000000000000" w:firstRow="0" w:lastRow="0" w:firstColumn="0" w:lastColumn="0" w:oddVBand="0" w:evenVBand="0" w:oddHBand="0" w:evenHBand="0" w:firstRowFirstColumn="0" w:firstRowLastColumn="0" w:lastRowFirstColumn="0" w:lastRowLastColumn="0"/>
              <w:rPr>
                <w:sz w:val="20"/>
              </w:rPr>
            </w:pPr>
            <w:r>
              <w:rPr>
                <w:sz w:val="20"/>
              </w:rPr>
              <w:t>Oppslag i folkeregisteret</w:t>
            </w:r>
          </w:p>
        </w:tc>
        <w:tc>
          <w:tcPr>
            <w:tcW w:w="1547" w:type="pct"/>
          </w:tcPr>
          <w:p w14:paraId="3CBA0435" w14:textId="1AB8C8CD" w:rsidR="00141FA8" w:rsidRPr="004F6B14" w:rsidRDefault="00C25679" w:rsidP="00141FA8">
            <w:pPr>
              <w:cnfStyle w:val="000000000000" w:firstRow="0" w:lastRow="0" w:firstColumn="0" w:lastColumn="0" w:oddVBand="0" w:evenVBand="0" w:oddHBand="0" w:evenHBand="0" w:firstRowFirstColumn="0" w:firstRowLastColumn="0" w:lastRowFirstColumn="0" w:lastRowLastColumn="0"/>
              <w:rPr>
                <w:sz w:val="20"/>
              </w:rPr>
            </w:pPr>
            <w:r>
              <w:rPr>
                <w:sz w:val="20"/>
              </w:rPr>
              <w:t>Kredittopplysningsselskap som slår opp</w:t>
            </w:r>
            <w:r>
              <w:rPr>
                <w:sz w:val="20"/>
              </w:rPr>
              <w:t xml:space="preserve"> i løsøreregisteret</w:t>
            </w:r>
          </w:p>
        </w:tc>
      </w:tr>
      <w:tr w:rsidR="00141FA8" w:rsidRPr="004F6B14" w14:paraId="27C17E93" w14:textId="77777777" w:rsidTr="0033175C">
        <w:tc>
          <w:tcPr>
            <w:cnfStyle w:val="001000000000" w:firstRow="0" w:lastRow="0" w:firstColumn="1" w:lastColumn="0" w:oddVBand="0" w:evenVBand="0" w:oddHBand="0" w:evenHBand="0" w:firstRowFirstColumn="0" w:firstRowLastColumn="0" w:lastRowFirstColumn="0" w:lastRowLastColumn="0"/>
            <w:tcW w:w="597" w:type="pct"/>
          </w:tcPr>
          <w:p w14:paraId="0545DE77" w14:textId="24B5CC81" w:rsidR="00141FA8" w:rsidRPr="004F6B14" w:rsidRDefault="0033175C" w:rsidP="00141FA8">
            <w:pPr>
              <w:rPr>
                <w:sz w:val="20"/>
              </w:rPr>
            </w:pPr>
            <w:r>
              <w:rPr>
                <w:sz w:val="20"/>
              </w:rPr>
              <w:t>Alle virksomheter</w:t>
            </w:r>
          </w:p>
        </w:tc>
        <w:tc>
          <w:tcPr>
            <w:tcW w:w="1336" w:type="pct"/>
          </w:tcPr>
          <w:p w14:paraId="64743526" w14:textId="686239FF" w:rsidR="00141FA8" w:rsidRPr="004F6B14" w:rsidRDefault="0033175C" w:rsidP="00141FA8">
            <w:pPr>
              <w:cnfStyle w:val="000000000000" w:firstRow="0" w:lastRow="0" w:firstColumn="0" w:lastColumn="0" w:oddVBand="0" w:evenVBand="0" w:oddHBand="0" w:evenHBand="0" w:firstRowFirstColumn="0" w:firstRowLastColumn="0" w:lastRowFirstColumn="0" w:lastRowLastColumn="0"/>
              <w:rPr>
                <w:sz w:val="20"/>
              </w:rPr>
            </w:pPr>
            <w:r>
              <w:rPr>
                <w:sz w:val="20"/>
              </w:rPr>
              <w:t>Sykelønn?</w:t>
            </w:r>
          </w:p>
        </w:tc>
        <w:tc>
          <w:tcPr>
            <w:tcW w:w="1520" w:type="pct"/>
          </w:tcPr>
          <w:p w14:paraId="5927DC4D" w14:textId="64317F2B" w:rsidR="00141FA8" w:rsidRPr="004F6B14" w:rsidRDefault="0033175C" w:rsidP="00141FA8">
            <w:pPr>
              <w:cnfStyle w:val="000000000000" w:firstRow="0" w:lastRow="0" w:firstColumn="0" w:lastColumn="0" w:oddVBand="0" w:evenVBand="0" w:oddHBand="0" w:evenHBand="0" w:firstRowFirstColumn="0" w:firstRowLastColumn="0" w:lastRowFirstColumn="0" w:lastRowLastColumn="0"/>
              <w:rPr>
                <w:sz w:val="20"/>
              </w:rPr>
            </w:pPr>
            <w:r>
              <w:rPr>
                <w:sz w:val="20"/>
              </w:rPr>
              <w:t>Hente skattekort</w:t>
            </w:r>
          </w:p>
        </w:tc>
        <w:tc>
          <w:tcPr>
            <w:tcW w:w="1547" w:type="pct"/>
          </w:tcPr>
          <w:p w14:paraId="693B6C95" w14:textId="1E3890CC" w:rsidR="00141FA8" w:rsidRPr="004F6B14" w:rsidRDefault="0033175C" w:rsidP="00141FA8">
            <w:pPr>
              <w:cnfStyle w:val="000000000000" w:firstRow="0" w:lastRow="0" w:firstColumn="0" w:lastColumn="0" w:oddVBand="0" w:evenVBand="0" w:oddHBand="0" w:evenHBand="0" w:firstRowFirstColumn="0" w:firstRowLastColumn="0" w:lastRowFirstColumn="0" w:lastRowLastColumn="0"/>
              <w:rPr>
                <w:sz w:val="20"/>
              </w:rPr>
            </w:pPr>
            <w:r>
              <w:rPr>
                <w:sz w:val="20"/>
              </w:rPr>
              <w:t>Oppslag eller redigering av egen informasjon i foretaksregisteret</w:t>
            </w:r>
          </w:p>
        </w:tc>
      </w:tr>
      <w:tr w:rsidR="00E00A50" w:rsidRPr="004F6B14" w14:paraId="7B98D655" w14:textId="77777777" w:rsidTr="0033175C">
        <w:tc>
          <w:tcPr>
            <w:cnfStyle w:val="001000000000" w:firstRow="0" w:lastRow="0" w:firstColumn="1" w:lastColumn="0" w:oddVBand="0" w:evenVBand="0" w:oddHBand="0" w:evenHBand="0" w:firstRowFirstColumn="0" w:firstRowLastColumn="0" w:lastRowFirstColumn="0" w:lastRowLastColumn="0"/>
            <w:tcW w:w="597" w:type="pct"/>
          </w:tcPr>
          <w:p w14:paraId="1CA6DAF9" w14:textId="4E9FFC40" w:rsidR="00E00A50" w:rsidRPr="004F6B14" w:rsidRDefault="0033175C" w:rsidP="00141FA8">
            <w:pPr>
              <w:rPr>
                <w:sz w:val="20"/>
              </w:rPr>
            </w:pPr>
            <w:r>
              <w:rPr>
                <w:sz w:val="20"/>
              </w:rPr>
              <w:t>Revers</w:t>
            </w:r>
          </w:p>
        </w:tc>
        <w:tc>
          <w:tcPr>
            <w:tcW w:w="1336" w:type="pct"/>
          </w:tcPr>
          <w:p w14:paraId="482B37CE" w14:textId="6D8BCEE9" w:rsidR="00E00A50" w:rsidRPr="004F6B14" w:rsidRDefault="0033175C" w:rsidP="00141FA8">
            <w:pPr>
              <w:cnfStyle w:val="000000000000" w:firstRow="0" w:lastRow="0" w:firstColumn="0" w:lastColumn="0" w:oddVBand="0" w:evenVBand="0" w:oddHBand="0" w:evenHBand="0" w:firstRowFirstColumn="0" w:firstRowLastColumn="0" w:lastRowFirstColumn="0" w:lastRowLastColumn="0"/>
              <w:rPr>
                <w:sz w:val="20"/>
              </w:rPr>
            </w:pPr>
            <w:r>
              <w:rPr>
                <w:sz w:val="20"/>
              </w:rPr>
              <w:t>Oppslag hos forsikringsselskap</w:t>
            </w:r>
          </w:p>
        </w:tc>
        <w:tc>
          <w:tcPr>
            <w:tcW w:w="1520" w:type="pct"/>
          </w:tcPr>
          <w:p w14:paraId="3D08C043" w14:textId="60BE8A7D" w:rsidR="00E00A50" w:rsidRPr="004F6B14" w:rsidRDefault="0033175C" w:rsidP="00141FA8">
            <w:pPr>
              <w:cnfStyle w:val="000000000000" w:firstRow="0" w:lastRow="0" w:firstColumn="0" w:lastColumn="0" w:oddVBand="0" w:evenVBand="0" w:oddHBand="0" w:evenHBand="0" w:firstRowFirstColumn="0" w:firstRowLastColumn="0" w:lastRowFirstColumn="0" w:lastRowLastColumn="0"/>
              <w:rPr>
                <w:sz w:val="20"/>
              </w:rPr>
            </w:pPr>
            <w:r>
              <w:rPr>
                <w:sz w:val="20"/>
              </w:rPr>
              <w:t>Oppslag hos banker</w:t>
            </w:r>
          </w:p>
        </w:tc>
        <w:tc>
          <w:tcPr>
            <w:tcW w:w="1547" w:type="pct"/>
          </w:tcPr>
          <w:p w14:paraId="13C4AFCC" w14:textId="77777777" w:rsidR="00E00A50" w:rsidRPr="004F6B14" w:rsidRDefault="00E00A50" w:rsidP="00141FA8">
            <w:pPr>
              <w:cnfStyle w:val="000000000000" w:firstRow="0" w:lastRow="0" w:firstColumn="0" w:lastColumn="0" w:oddVBand="0" w:evenVBand="0" w:oddHBand="0" w:evenHBand="0" w:firstRowFirstColumn="0" w:firstRowLastColumn="0" w:lastRowFirstColumn="0" w:lastRowLastColumn="0"/>
              <w:rPr>
                <w:sz w:val="20"/>
              </w:rPr>
            </w:pPr>
          </w:p>
        </w:tc>
      </w:tr>
    </w:tbl>
    <w:p w14:paraId="73EB8591" w14:textId="77777777" w:rsidR="00141FA8" w:rsidRPr="00141FA8" w:rsidRDefault="00141FA8" w:rsidP="00141FA8"/>
    <w:sectPr w:rsidR="00141FA8" w:rsidRPr="00141FA8" w:rsidSect="00141FA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5926"/>
    <w:multiLevelType w:val="hybridMultilevel"/>
    <w:tmpl w:val="82DCD624"/>
    <w:lvl w:ilvl="0" w:tplc="26E20120">
      <w:start w:val="5"/>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B12483E"/>
    <w:multiLevelType w:val="hybridMultilevel"/>
    <w:tmpl w:val="5A60934E"/>
    <w:lvl w:ilvl="0" w:tplc="26E20120">
      <w:start w:val="5"/>
      <w:numFmt w:val="bullet"/>
      <w:lvlText w:val=""/>
      <w:lvlJc w:val="left"/>
      <w:pPr>
        <w:ind w:left="720" w:hanging="360"/>
      </w:pPr>
      <w:rPr>
        <w:rFonts w:ascii="Symbol" w:eastAsiaTheme="minorHAnsi" w:hAnsi="Symbol" w:cstheme="minorBidi" w:hint="default"/>
      </w:rPr>
    </w:lvl>
    <w:lvl w:ilvl="1" w:tplc="0414000F">
      <w:start w:val="1"/>
      <w:numFmt w:val="decimal"/>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CD"/>
    <w:rsid w:val="00141FA8"/>
    <w:rsid w:val="00323104"/>
    <w:rsid w:val="0033175C"/>
    <w:rsid w:val="00356189"/>
    <w:rsid w:val="00364420"/>
    <w:rsid w:val="004B7C39"/>
    <w:rsid w:val="004F6B14"/>
    <w:rsid w:val="006F3B60"/>
    <w:rsid w:val="007D1C85"/>
    <w:rsid w:val="007E2CF8"/>
    <w:rsid w:val="0096539C"/>
    <w:rsid w:val="00B66ECD"/>
    <w:rsid w:val="00C25679"/>
    <w:rsid w:val="00CC6031"/>
    <w:rsid w:val="00E00A50"/>
    <w:rsid w:val="00F626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4524"/>
  <w15:chartTrackingRefBased/>
  <w15:docId w15:val="{3EDA5034-374A-4B02-BCF3-2B814F25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5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41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561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5618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356189"/>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356189"/>
    <w:pPr>
      <w:ind w:left="720"/>
      <w:contextualSpacing/>
    </w:pPr>
  </w:style>
  <w:style w:type="character" w:customStyle="1" w:styleId="Overskrift2Tegn">
    <w:name w:val="Overskrift 2 Tegn"/>
    <w:basedOn w:val="Standardskriftforavsnitt"/>
    <w:link w:val="Overskrift2"/>
    <w:uiPriority w:val="9"/>
    <w:rsid w:val="00141FA8"/>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14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1lys">
    <w:name w:val="Grid Table 1 Light"/>
    <w:basedOn w:val="Vanligtabell"/>
    <w:uiPriority w:val="46"/>
    <w:rsid w:val="00E00A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E8FE860C1030048A2DFE7723F7A17C9" ma:contentTypeVersion="4" ma:contentTypeDescription="Opprett et nytt dokument." ma:contentTypeScope="" ma:versionID="7162aff3b56b78e58e364f8a4d7692ad">
  <xsd:schema xmlns:xsd="http://www.w3.org/2001/XMLSchema" xmlns:xs="http://www.w3.org/2001/XMLSchema" xmlns:p="http://schemas.microsoft.com/office/2006/metadata/properties" xmlns:ns2="aea4a3db-da0d-48e0-9846-650eb8e2799e" xmlns:ns3="0d51d800-5d3b-4563-9f01-c5dad077146a" targetNamespace="http://schemas.microsoft.com/office/2006/metadata/properties" ma:root="true" ma:fieldsID="174abb0ba8c9a1c8fa0c72e06464731f" ns2:_="" ns3:_="">
    <xsd:import namespace="aea4a3db-da0d-48e0-9846-650eb8e2799e"/>
    <xsd:import namespace="0d51d800-5d3b-4563-9f01-c5dad07714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4a3db-da0d-48e0-9846-650eb8e27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51d800-5d3b-4563-9f01-c5dad077146a"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06CB36-26AE-4D5C-A2CC-B60F1F2570B2}"/>
</file>

<file path=customXml/itemProps2.xml><?xml version="1.0" encoding="utf-8"?>
<ds:datastoreItem xmlns:ds="http://schemas.openxmlformats.org/officeDocument/2006/customXml" ds:itemID="{95FDA5F2-31EA-4DAF-8C9D-FF3326D9930A}"/>
</file>

<file path=customXml/itemProps3.xml><?xml version="1.0" encoding="utf-8"?>
<ds:datastoreItem xmlns:ds="http://schemas.openxmlformats.org/officeDocument/2006/customXml" ds:itemID="{C929E8CF-FFEB-4806-8D39-11D411B0C3D7}"/>
</file>

<file path=docProps/app.xml><?xml version="1.0" encoding="utf-8"?>
<Properties xmlns="http://schemas.openxmlformats.org/officeDocument/2006/extended-properties" xmlns:vt="http://schemas.openxmlformats.org/officeDocument/2006/docPropsVTypes">
  <Template>Normal.dotm</Template>
  <TotalTime>1563</TotalTime>
  <Pages>3</Pages>
  <Words>888</Words>
  <Characters>4712</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Rander Næss</dc:creator>
  <cp:keywords/>
  <dc:description/>
  <cp:lastModifiedBy>Rolf Rander Næss</cp:lastModifiedBy>
  <cp:revision>5</cp:revision>
  <dcterms:created xsi:type="dcterms:W3CDTF">2018-05-23T07:43:00Z</dcterms:created>
  <dcterms:modified xsi:type="dcterms:W3CDTF">2018-05-24T10:56:00Z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0x010100CE8FE860C1030048A2DFE7723F7A17C9</vt:lpwstr>
  </property>
</Properties>
</file>