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309360" cy="35509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taksicheskiy-sup-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0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Ответы ко всем заданиям</w:t>
      </w:r>
    </w:p>
    <w:p>
      <w:pPr>
        <w:pStyle w:val="Subtitle"/>
        <w:jc w:val="center"/>
      </w:pPr>
      <w:r>
        <w:t>24 синонимичные замены • 26 сложных случаев • готовый промпт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00"/>
            <w:shd w:fill="FFF0F6"/>
            <w:tcBorders>
              <w:top w:val="single" w:sz="10" w:color="FF4F91"/>
              <w:left w:val="single" w:sz="10" w:color="FF4F91"/>
              <w:bottom w:val="single" w:sz="10" w:color="FF4F91"/>
              <w:right w:val="single" w:sz="10" w:color="FF4F91"/>
              <w:insideH w:val="single" w:sz="10" w:color="FF4F91"/>
              <w:insideV w:val="single" w:sz="10" w:color="FF4F9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F4F91"/>
                <w:sz w:val="18"/>
              </w:rPr>
              <w:t>КАК ЧИТАТЬ ТАБЛИЦУ</w:t>
            </w:r>
          </w:p>
          <w:p>
            <w:pPr>
              <w:spacing w:after="0"/>
            </w:pPr>
            <w:r>
              <w:t>«На колесе» — исходная формулировка. «Правильная замена» — то, во что ученик должен её превратить. Эти две колонки нельзя менять местами.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  <w:keepNext w:val="1"/>
      </w:pPr>
      <w:r>
        <w:rPr>
          <w:rFonts w:ascii="Arial" w:hAnsi="Arial"/>
          <w:b/>
          <w:color w:val="31D9FF"/>
          <w:sz w:val="17"/>
        </w:rPr>
        <w:t>ОТВЕТЫ: СИНОНИМИЧНАЯ ЗАМЕНА • ЧАСТЬ 1 ИЗ 3</w:t>
      </w:r>
    </w:p>
    <w:p>
      <w:pPr>
        <w:pStyle w:val="Heading1"/>
      </w:pPr>
      <w:r>
        <w:t>Банк режима с заменой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rHeight w:hRule="atLeast"/>
          <w:tblHeader w:val="true"/>
        </w:trPr>
        <w:tc>
          <w:tcPr>
            <w:tcW w:type="dxa" w:w="2550"/>
            <w:shd w:fill="1A063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НА КОЛЕСЕ</w:t>
            </w:r>
          </w:p>
        </w:tc>
        <w:tc>
          <w:tcPr>
            <w:tcW w:type="dxa" w:w="1800"/>
            <w:shd w:fill="1A063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ИСХОДНАЯ СВЯЗЬ</w:t>
            </w:r>
          </w:p>
        </w:tc>
        <w:tc>
          <w:tcPr>
            <w:tcW w:type="dxa" w:w="3150"/>
            <w:shd w:fill="1A063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ПРАВИЛЬНАЯ ЗАМЕНА</w:t>
            </w:r>
          </w:p>
        </w:tc>
        <w:tc>
          <w:tcPr>
            <w:tcW w:type="dxa" w:w="1800"/>
            <w:shd w:fill="1A063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НОВАЯ СВЯЗЬ</w:t>
            </w:r>
          </w:p>
        </w:tc>
      </w:tr>
      <w:tr>
        <w:tc>
          <w:tcPr>
            <w:tcW w:type="dxa" w:w="25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7"/>
              </w:rPr>
              <w:t>почва с камнями</w:t>
            </w:r>
          </w:p>
        </w:tc>
        <w:tc>
          <w:tcPr>
            <w:tcW w:type="dxa" w:w="180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управление</w:t>
            </w:r>
          </w:p>
        </w:tc>
        <w:tc>
          <w:tcPr>
            <w:tcW w:type="dxa" w:w="31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каменистая почва</w:t>
            </w:r>
          </w:p>
        </w:tc>
        <w:tc>
          <w:tcPr>
            <w:tcW w:type="dxa" w:w="180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согласование</w:t>
            </w:r>
          </w:p>
        </w:tc>
      </w:tr>
      <w:tr>
        <w:tc>
          <w:tcPr>
            <w:tcW w:type="dxa" w:w="255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7"/>
              </w:rPr>
              <w:t>край с болотами</w:t>
            </w:r>
          </w:p>
        </w:tc>
        <w:tc>
          <w:tcPr>
            <w:tcW w:type="dxa" w:w="180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управление</w:t>
            </w:r>
          </w:p>
        </w:tc>
        <w:tc>
          <w:tcPr>
            <w:tcW w:type="dxa" w:w="315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болотистый край</w:t>
            </w:r>
          </w:p>
        </w:tc>
        <w:tc>
          <w:tcPr>
            <w:tcW w:type="dxa" w:w="180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согласование</w:t>
            </w:r>
          </w:p>
        </w:tc>
      </w:tr>
      <w:tr>
        <w:tc>
          <w:tcPr>
            <w:tcW w:type="dxa" w:w="25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7"/>
              </w:rPr>
              <w:t>колосья ржи</w:t>
            </w:r>
          </w:p>
        </w:tc>
        <w:tc>
          <w:tcPr>
            <w:tcW w:type="dxa" w:w="180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управление</w:t>
            </w:r>
          </w:p>
        </w:tc>
        <w:tc>
          <w:tcPr>
            <w:tcW w:type="dxa" w:w="31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ржаные колосья</w:t>
            </w:r>
          </w:p>
        </w:tc>
        <w:tc>
          <w:tcPr>
            <w:tcW w:type="dxa" w:w="180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согласование</w:t>
            </w:r>
          </w:p>
        </w:tc>
      </w:tr>
      <w:tr>
        <w:tc>
          <w:tcPr>
            <w:tcW w:type="dxa" w:w="255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7"/>
              </w:rPr>
              <w:t>дар артиста</w:t>
            </w:r>
          </w:p>
        </w:tc>
        <w:tc>
          <w:tcPr>
            <w:tcW w:type="dxa" w:w="180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управление</w:t>
            </w:r>
          </w:p>
        </w:tc>
        <w:tc>
          <w:tcPr>
            <w:tcW w:type="dxa" w:w="315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артистический дар</w:t>
            </w:r>
          </w:p>
        </w:tc>
        <w:tc>
          <w:tcPr>
            <w:tcW w:type="dxa" w:w="180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согласование</w:t>
            </w:r>
          </w:p>
        </w:tc>
      </w:tr>
      <w:tr>
        <w:tc>
          <w:tcPr>
            <w:tcW w:type="dxa" w:w="25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7"/>
              </w:rPr>
              <w:t>удар сабли</w:t>
            </w:r>
          </w:p>
        </w:tc>
        <w:tc>
          <w:tcPr>
            <w:tcW w:type="dxa" w:w="180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управление</w:t>
            </w:r>
          </w:p>
        </w:tc>
        <w:tc>
          <w:tcPr>
            <w:tcW w:type="dxa" w:w="31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сабельный удар</w:t>
            </w:r>
          </w:p>
        </w:tc>
        <w:tc>
          <w:tcPr>
            <w:tcW w:type="dxa" w:w="180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согласование</w:t>
            </w:r>
          </w:p>
        </w:tc>
      </w:tr>
      <w:tr>
        <w:tc>
          <w:tcPr>
            <w:tcW w:type="dxa" w:w="255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7"/>
              </w:rPr>
              <w:t>зал для зрителей</w:t>
            </w:r>
          </w:p>
        </w:tc>
        <w:tc>
          <w:tcPr>
            <w:tcW w:type="dxa" w:w="180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управление</w:t>
            </w:r>
          </w:p>
        </w:tc>
        <w:tc>
          <w:tcPr>
            <w:tcW w:type="dxa" w:w="315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зрительный зал</w:t>
            </w:r>
          </w:p>
        </w:tc>
        <w:tc>
          <w:tcPr>
            <w:tcW w:type="dxa" w:w="180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согласование</w:t>
            </w:r>
          </w:p>
        </w:tc>
      </w:tr>
      <w:tr>
        <w:tc>
          <w:tcPr>
            <w:tcW w:type="dxa" w:w="25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7"/>
              </w:rPr>
              <w:t>грива коня</w:t>
            </w:r>
          </w:p>
        </w:tc>
        <w:tc>
          <w:tcPr>
            <w:tcW w:type="dxa" w:w="180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управление</w:t>
            </w:r>
          </w:p>
        </w:tc>
        <w:tc>
          <w:tcPr>
            <w:tcW w:type="dxa" w:w="31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конская грива</w:t>
            </w:r>
          </w:p>
        </w:tc>
        <w:tc>
          <w:tcPr>
            <w:tcW w:type="dxa" w:w="180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согласование</w:t>
            </w:r>
          </w:p>
        </w:tc>
      </w:tr>
      <w:tr>
        <w:tc>
          <w:tcPr>
            <w:tcW w:type="dxa" w:w="255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7"/>
              </w:rPr>
              <w:t>гребень петуха</w:t>
            </w:r>
          </w:p>
        </w:tc>
        <w:tc>
          <w:tcPr>
            <w:tcW w:type="dxa" w:w="180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управление</w:t>
            </w:r>
          </w:p>
        </w:tc>
        <w:tc>
          <w:tcPr>
            <w:tcW w:type="dxa" w:w="315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петушиный гребень</w:t>
            </w:r>
          </w:p>
        </w:tc>
        <w:tc>
          <w:tcPr>
            <w:tcW w:type="dxa" w:w="180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согласование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00"/>
            <w:shd w:fill="F0ECF8"/>
            <w:tcBorders>
              <w:top w:val="single" w:sz="10" w:color="FFBF00"/>
              <w:left w:val="single" w:sz="10" w:color="FFBF00"/>
              <w:bottom w:val="single" w:sz="10" w:color="FFBF00"/>
              <w:right w:val="single" w:sz="10" w:color="FFBF00"/>
              <w:insideH w:val="single" w:sz="10" w:color="FFBF00"/>
              <w:insideV w:val="single" w:sz="10" w:color="FFBF0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FBF00"/>
                <w:sz w:val="18"/>
              </w:rPr>
              <w:t>ПРИМЕР</w:t>
            </w:r>
          </w:p>
          <w:p>
            <w:pPr>
              <w:spacing w:after="0"/>
            </w:pPr>
            <w:r>
              <w:t>удар сабли (управление) → сабельный удар (согласование). Именно «удар сабли» появляется на колесе.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  <w:keepNext w:val="1"/>
      </w:pPr>
      <w:r>
        <w:rPr>
          <w:rFonts w:ascii="Arial" w:hAnsi="Arial"/>
          <w:b/>
          <w:color w:val="31D9FF"/>
          <w:sz w:val="17"/>
        </w:rPr>
        <w:t>ОТВЕТЫ: СИНОНИМИЧНАЯ ЗАМЕНА • ЧАСТЬ 2 ИЗ 3</w:t>
      </w:r>
    </w:p>
    <w:p>
      <w:pPr>
        <w:pStyle w:val="Heading1"/>
      </w:pPr>
      <w:r>
        <w:t>Банк режима с заменой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rHeight w:hRule="atLeast"/>
          <w:tblHeader w:val="true"/>
        </w:trPr>
        <w:tc>
          <w:tcPr>
            <w:tcW w:type="dxa" w:w="2550"/>
            <w:shd w:fill="1A063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НА КОЛЕСЕ</w:t>
            </w:r>
          </w:p>
        </w:tc>
        <w:tc>
          <w:tcPr>
            <w:tcW w:type="dxa" w:w="1800"/>
            <w:shd w:fill="1A063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ИСХОДНАЯ СВЯЗЬ</w:t>
            </w:r>
          </w:p>
        </w:tc>
        <w:tc>
          <w:tcPr>
            <w:tcW w:type="dxa" w:w="3150"/>
            <w:shd w:fill="1A063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ПРАВИЛЬНАЯ ЗАМЕНА</w:t>
            </w:r>
          </w:p>
        </w:tc>
        <w:tc>
          <w:tcPr>
            <w:tcW w:type="dxa" w:w="1800"/>
            <w:shd w:fill="1A063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НОВАЯ СВЯЗЬ</w:t>
            </w:r>
          </w:p>
        </w:tc>
      </w:tr>
      <w:tr>
        <w:tc>
          <w:tcPr>
            <w:tcW w:type="dxa" w:w="25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7"/>
              </w:rPr>
              <w:t>день без ветра</w:t>
            </w:r>
          </w:p>
        </w:tc>
        <w:tc>
          <w:tcPr>
            <w:tcW w:type="dxa" w:w="180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управление</w:t>
            </w:r>
          </w:p>
        </w:tc>
        <w:tc>
          <w:tcPr>
            <w:tcW w:type="dxa" w:w="31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безветренный день</w:t>
            </w:r>
          </w:p>
        </w:tc>
        <w:tc>
          <w:tcPr>
            <w:tcW w:type="dxa" w:w="180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согласование</w:t>
            </w:r>
          </w:p>
        </w:tc>
      </w:tr>
      <w:tr>
        <w:tc>
          <w:tcPr>
            <w:tcW w:type="dxa" w:w="255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7"/>
              </w:rPr>
              <w:t>шарф в клетку</w:t>
            </w:r>
          </w:p>
        </w:tc>
        <w:tc>
          <w:tcPr>
            <w:tcW w:type="dxa" w:w="180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управление</w:t>
            </w:r>
          </w:p>
        </w:tc>
        <w:tc>
          <w:tcPr>
            <w:tcW w:type="dxa" w:w="315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клетчатый шарф</w:t>
            </w:r>
          </w:p>
        </w:tc>
        <w:tc>
          <w:tcPr>
            <w:tcW w:type="dxa" w:w="180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согласование</w:t>
            </w:r>
          </w:p>
        </w:tc>
      </w:tr>
      <w:tr>
        <w:tc>
          <w:tcPr>
            <w:tcW w:type="dxa" w:w="25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7"/>
              </w:rPr>
              <w:t>говорил с лаской</w:t>
            </w:r>
          </w:p>
        </w:tc>
        <w:tc>
          <w:tcPr>
            <w:tcW w:type="dxa" w:w="180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управление</w:t>
            </w:r>
          </w:p>
        </w:tc>
        <w:tc>
          <w:tcPr>
            <w:tcW w:type="dxa" w:w="31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ласково говорил / говорил ласково</w:t>
            </w:r>
          </w:p>
        </w:tc>
        <w:tc>
          <w:tcPr>
            <w:tcW w:type="dxa" w:w="180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примыкание</w:t>
            </w:r>
          </w:p>
        </w:tc>
      </w:tr>
      <w:tr>
        <w:tc>
          <w:tcPr>
            <w:tcW w:type="dxa" w:w="255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7"/>
              </w:rPr>
              <w:t>подарок от них</w:t>
            </w:r>
          </w:p>
        </w:tc>
        <w:tc>
          <w:tcPr>
            <w:tcW w:type="dxa" w:w="180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управление</w:t>
            </w:r>
          </w:p>
        </w:tc>
        <w:tc>
          <w:tcPr>
            <w:tcW w:type="dxa" w:w="315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их подарок</w:t>
            </w:r>
          </w:p>
        </w:tc>
        <w:tc>
          <w:tcPr>
            <w:tcW w:type="dxa" w:w="180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примыкание</w:t>
            </w:r>
          </w:p>
        </w:tc>
      </w:tr>
      <w:tr>
        <w:tc>
          <w:tcPr>
            <w:tcW w:type="dxa" w:w="25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7"/>
              </w:rPr>
              <w:t>рожок пастуха</w:t>
            </w:r>
          </w:p>
        </w:tc>
        <w:tc>
          <w:tcPr>
            <w:tcW w:type="dxa" w:w="180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управление</w:t>
            </w:r>
          </w:p>
        </w:tc>
        <w:tc>
          <w:tcPr>
            <w:tcW w:type="dxa" w:w="31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пастуший рожок</w:t>
            </w:r>
          </w:p>
        </w:tc>
        <w:tc>
          <w:tcPr>
            <w:tcW w:type="dxa" w:w="180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согласование</w:t>
            </w:r>
          </w:p>
        </w:tc>
      </w:tr>
      <w:tr>
        <w:tc>
          <w:tcPr>
            <w:tcW w:type="dxa" w:w="255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7"/>
              </w:rPr>
              <w:t>хожу на плавание</w:t>
            </w:r>
          </w:p>
        </w:tc>
        <w:tc>
          <w:tcPr>
            <w:tcW w:type="dxa" w:w="180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управление</w:t>
            </w:r>
          </w:p>
        </w:tc>
        <w:tc>
          <w:tcPr>
            <w:tcW w:type="dxa" w:w="315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хожу плавать</w:t>
            </w:r>
          </w:p>
        </w:tc>
        <w:tc>
          <w:tcPr>
            <w:tcW w:type="dxa" w:w="180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примыкание</w:t>
            </w:r>
          </w:p>
        </w:tc>
      </w:tr>
      <w:tr>
        <w:tc>
          <w:tcPr>
            <w:tcW w:type="dxa" w:w="25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7"/>
              </w:rPr>
              <w:t>плавание во льдах</w:t>
            </w:r>
          </w:p>
        </w:tc>
        <w:tc>
          <w:tcPr>
            <w:tcW w:type="dxa" w:w="180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управление</w:t>
            </w:r>
          </w:p>
        </w:tc>
        <w:tc>
          <w:tcPr>
            <w:tcW w:type="dxa" w:w="31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ледовое плавание</w:t>
            </w:r>
          </w:p>
        </w:tc>
        <w:tc>
          <w:tcPr>
            <w:tcW w:type="dxa" w:w="180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согласование</w:t>
            </w:r>
          </w:p>
        </w:tc>
      </w:tr>
      <w:tr>
        <w:tc>
          <w:tcPr>
            <w:tcW w:type="dxa" w:w="255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7"/>
              </w:rPr>
              <w:t>отвечал с запинками</w:t>
            </w:r>
          </w:p>
        </w:tc>
        <w:tc>
          <w:tcPr>
            <w:tcW w:type="dxa" w:w="180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управление</w:t>
            </w:r>
          </w:p>
        </w:tc>
        <w:tc>
          <w:tcPr>
            <w:tcW w:type="dxa" w:w="315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отвечал запинаясь</w:t>
            </w:r>
          </w:p>
        </w:tc>
        <w:tc>
          <w:tcPr>
            <w:tcW w:type="dxa" w:w="180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примыкание</w:t>
            </w:r>
          </w:p>
        </w:tc>
      </w:tr>
    </w:tbl>
    <w:p>
      <w:r>
        <w:br w:type="page"/>
      </w:r>
    </w:p>
    <w:p>
      <w:pPr>
        <w:spacing w:after="60"/>
        <w:keepNext w:val="1"/>
      </w:pPr>
      <w:r>
        <w:rPr>
          <w:rFonts w:ascii="Arial" w:hAnsi="Arial"/>
          <w:b/>
          <w:color w:val="31D9FF"/>
          <w:sz w:val="17"/>
        </w:rPr>
        <w:t>ОТВЕТЫ: СИНОНИМИЧНАЯ ЗАМЕНА • ЧАСТЬ 3 ИЗ 3</w:t>
      </w:r>
    </w:p>
    <w:p>
      <w:pPr>
        <w:pStyle w:val="Heading1"/>
      </w:pPr>
      <w:r>
        <w:t>Банк режима с заменой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rHeight w:hRule="atLeast"/>
          <w:tblHeader w:val="true"/>
        </w:trPr>
        <w:tc>
          <w:tcPr>
            <w:tcW w:type="dxa" w:w="2550"/>
            <w:shd w:fill="1A063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НА КОЛЕСЕ</w:t>
            </w:r>
          </w:p>
        </w:tc>
        <w:tc>
          <w:tcPr>
            <w:tcW w:type="dxa" w:w="1800"/>
            <w:shd w:fill="1A063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ИСХОДНАЯ СВЯЗЬ</w:t>
            </w:r>
          </w:p>
        </w:tc>
        <w:tc>
          <w:tcPr>
            <w:tcW w:type="dxa" w:w="3150"/>
            <w:shd w:fill="1A063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ПРАВИЛЬНАЯ ЗАМЕНА</w:t>
            </w:r>
          </w:p>
        </w:tc>
        <w:tc>
          <w:tcPr>
            <w:tcW w:type="dxa" w:w="1800"/>
            <w:shd w:fill="1A063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НОВАЯ СВЯЗЬ</w:t>
            </w:r>
          </w:p>
        </w:tc>
      </w:tr>
      <w:tr>
        <w:tc>
          <w:tcPr>
            <w:tcW w:type="dxa" w:w="25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7"/>
              </w:rPr>
              <w:t>сделать руками</w:t>
            </w:r>
          </w:p>
        </w:tc>
        <w:tc>
          <w:tcPr>
            <w:tcW w:type="dxa" w:w="180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управление</w:t>
            </w:r>
          </w:p>
        </w:tc>
        <w:tc>
          <w:tcPr>
            <w:tcW w:type="dxa" w:w="31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сделать вручную</w:t>
            </w:r>
          </w:p>
        </w:tc>
        <w:tc>
          <w:tcPr>
            <w:tcW w:type="dxa" w:w="180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примыкание</w:t>
            </w:r>
          </w:p>
        </w:tc>
      </w:tr>
      <w:tr>
        <w:tc>
          <w:tcPr>
            <w:tcW w:type="dxa" w:w="255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7"/>
              </w:rPr>
              <w:t>радости щенков</w:t>
            </w:r>
          </w:p>
        </w:tc>
        <w:tc>
          <w:tcPr>
            <w:tcW w:type="dxa" w:w="180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управление</w:t>
            </w:r>
          </w:p>
        </w:tc>
        <w:tc>
          <w:tcPr>
            <w:tcW w:type="dxa" w:w="315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щенячьи радости</w:t>
            </w:r>
          </w:p>
        </w:tc>
        <w:tc>
          <w:tcPr>
            <w:tcW w:type="dxa" w:w="180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согласование</w:t>
            </w:r>
          </w:p>
        </w:tc>
      </w:tr>
      <w:tr>
        <w:tc>
          <w:tcPr>
            <w:tcW w:type="dxa" w:w="25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7"/>
              </w:rPr>
              <w:t>пыль вулкана</w:t>
            </w:r>
          </w:p>
        </w:tc>
        <w:tc>
          <w:tcPr>
            <w:tcW w:type="dxa" w:w="180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управление</w:t>
            </w:r>
          </w:p>
        </w:tc>
        <w:tc>
          <w:tcPr>
            <w:tcW w:type="dxa" w:w="31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вулканическая пыль</w:t>
            </w:r>
          </w:p>
        </w:tc>
        <w:tc>
          <w:tcPr>
            <w:tcW w:type="dxa" w:w="180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согласование</w:t>
            </w:r>
          </w:p>
        </w:tc>
      </w:tr>
      <w:tr>
        <w:tc>
          <w:tcPr>
            <w:tcW w:type="dxa" w:w="255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7"/>
              </w:rPr>
              <w:t>пух цыплёнка</w:t>
            </w:r>
          </w:p>
        </w:tc>
        <w:tc>
          <w:tcPr>
            <w:tcW w:type="dxa" w:w="180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управление</w:t>
            </w:r>
          </w:p>
        </w:tc>
        <w:tc>
          <w:tcPr>
            <w:tcW w:type="dxa" w:w="315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цыплячий пух</w:t>
            </w:r>
          </w:p>
        </w:tc>
        <w:tc>
          <w:tcPr>
            <w:tcW w:type="dxa" w:w="180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согласование</w:t>
            </w:r>
          </w:p>
        </w:tc>
      </w:tr>
      <w:tr>
        <w:tc>
          <w:tcPr>
            <w:tcW w:type="dxa" w:w="25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7"/>
              </w:rPr>
              <w:t>дом из брёвен</w:t>
            </w:r>
          </w:p>
        </w:tc>
        <w:tc>
          <w:tcPr>
            <w:tcW w:type="dxa" w:w="180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управление</w:t>
            </w:r>
          </w:p>
        </w:tc>
        <w:tc>
          <w:tcPr>
            <w:tcW w:type="dxa" w:w="31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бревенчатый дом</w:t>
            </w:r>
          </w:p>
        </w:tc>
        <w:tc>
          <w:tcPr>
            <w:tcW w:type="dxa" w:w="180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согласование</w:t>
            </w:r>
          </w:p>
        </w:tc>
      </w:tr>
      <w:tr>
        <w:tc>
          <w:tcPr>
            <w:tcW w:type="dxa" w:w="255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7"/>
              </w:rPr>
              <w:t>ночная прохлада</w:t>
            </w:r>
          </w:p>
        </w:tc>
        <w:tc>
          <w:tcPr>
            <w:tcW w:type="dxa" w:w="180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согласование</w:t>
            </w:r>
          </w:p>
        </w:tc>
        <w:tc>
          <w:tcPr>
            <w:tcW w:type="dxa" w:w="315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прохлада ночи</w:t>
            </w:r>
          </w:p>
        </w:tc>
        <w:tc>
          <w:tcPr>
            <w:tcW w:type="dxa" w:w="180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управление</w:t>
            </w:r>
          </w:p>
        </w:tc>
      </w:tr>
      <w:tr>
        <w:tc>
          <w:tcPr>
            <w:tcW w:type="dxa" w:w="25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7"/>
              </w:rPr>
              <w:t>беговая дорожка</w:t>
            </w:r>
          </w:p>
        </w:tc>
        <w:tc>
          <w:tcPr>
            <w:tcW w:type="dxa" w:w="180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согласование</w:t>
            </w:r>
          </w:p>
        </w:tc>
        <w:tc>
          <w:tcPr>
            <w:tcW w:type="dxa" w:w="31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дорожка для бега</w:t>
            </w:r>
          </w:p>
        </w:tc>
        <w:tc>
          <w:tcPr>
            <w:tcW w:type="dxa" w:w="180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управление</w:t>
            </w:r>
          </w:p>
        </w:tc>
      </w:tr>
      <w:tr>
        <w:tc>
          <w:tcPr>
            <w:tcW w:type="dxa" w:w="255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7"/>
              </w:rPr>
              <w:t>люблю читать</w:t>
            </w:r>
          </w:p>
        </w:tc>
        <w:tc>
          <w:tcPr>
            <w:tcW w:type="dxa" w:w="180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примыкание</w:t>
            </w:r>
          </w:p>
        </w:tc>
        <w:tc>
          <w:tcPr>
            <w:tcW w:type="dxa" w:w="315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люблю чтение</w:t>
            </w:r>
          </w:p>
        </w:tc>
        <w:tc>
          <w:tcPr>
            <w:tcW w:type="dxa" w:w="180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7"/>
              </w:rPr>
              <w:t>управление</w:t>
            </w:r>
          </w:p>
        </w:tc>
      </w:tr>
    </w:tbl>
    <w:p>
      <w:r>
        <w:br w:type="page"/>
      </w:r>
    </w:p>
    <w:p>
      <w:pPr>
        <w:spacing w:after="60"/>
        <w:keepNext w:val="1"/>
      </w:pPr>
      <w:r>
        <w:rPr>
          <w:rFonts w:ascii="Arial" w:hAnsi="Arial"/>
          <w:b/>
          <w:color w:val="FF4F91"/>
          <w:sz w:val="17"/>
        </w:rPr>
        <w:t>СЛОЖНЫЕ СЛУЧАИ И ЛОВУШКИ • ЧАСТЬ 1 ИЗ 4</w:t>
      </w:r>
    </w:p>
    <w:p>
      <w:pPr>
        <w:pStyle w:val="Heading1"/>
      </w:pPr>
      <w:r>
        <w:t>Режим «Только определение связи»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rHeight w:hRule="atLeast"/>
          <w:tblHeader w:val="true"/>
        </w:trPr>
        <w:tc>
          <w:tcPr>
            <w:tcW w:type="dxa" w:w="2200"/>
            <w:shd w:fill="3214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ФОРМУЛИРОВКА</w:t>
            </w:r>
          </w:p>
        </w:tc>
        <w:tc>
          <w:tcPr>
            <w:tcW w:type="dxa" w:w="1850"/>
            <w:shd w:fill="3214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ОТВЕТ</w:t>
            </w:r>
          </w:p>
        </w:tc>
        <w:tc>
          <w:tcPr>
            <w:tcW w:type="dxa" w:w="5250"/>
            <w:shd w:fill="3214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ПОЧЕМУ</w:t>
            </w:r>
          </w:p>
        </w:tc>
      </w:tr>
      <w:tr>
        <w:tc>
          <w:tcPr>
            <w:tcW w:type="dxa" w:w="220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6"/>
              </w:rPr>
              <w:t>наша кастрюля</w:t>
            </w:r>
          </w:p>
        </w:tc>
        <w:tc>
          <w:tcPr>
            <w:tcW w:type="dxa" w:w="18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согласование</w:t>
            </w:r>
          </w:p>
        </w:tc>
        <w:tc>
          <w:tcPr>
            <w:tcW w:type="dxa" w:w="52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Местоимение «наша» изменяется вместе с существительным: наша кастрюля — нашей кастрюли. Это согласование.</w:t>
            </w:r>
          </w:p>
        </w:tc>
      </w:tr>
      <w:tr>
        <w:tc>
          <w:tcPr>
            <w:tcW w:type="dxa" w:w="220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6"/>
              </w:rPr>
              <w:t>чей-то рецепт</w:t>
            </w:r>
          </w:p>
        </w:tc>
        <w:tc>
          <w:tcPr>
            <w:tcW w:type="dxa" w:w="185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согласование</w:t>
            </w:r>
          </w:p>
        </w:tc>
        <w:tc>
          <w:tcPr>
            <w:tcW w:type="dxa" w:w="525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Местоимение «чей-то» изменяется вместе с главным словом: чей-то рецепт — чьего-то рецепта. Это согласование.</w:t>
            </w:r>
          </w:p>
        </w:tc>
      </w:tr>
      <w:tr>
        <w:tc>
          <w:tcPr>
            <w:tcW w:type="dxa" w:w="220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6"/>
              </w:rPr>
              <w:t>синее пальто</w:t>
            </w:r>
          </w:p>
        </w:tc>
        <w:tc>
          <w:tcPr>
            <w:tcW w:type="dxa" w:w="18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согласование</w:t>
            </w:r>
          </w:p>
        </w:tc>
        <w:tc>
          <w:tcPr>
            <w:tcW w:type="dxa" w:w="52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Прилагательное «синее» согласуется даже с несклоняемым существительным: синее пальто — синего пальто.</w:t>
            </w:r>
          </w:p>
        </w:tc>
      </w:tr>
      <w:tr>
        <w:tc>
          <w:tcPr>
            <w:tcW w:type="dxa" w:w="220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6"/>
              </w:rPr>
              <w:t>этот путь</w:t>
            </w:r>
          </w:p>
        </w:tc>
        <w:tc>
          <w:tcPr>
            <w:tcW w:type="dxa" w:w="185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согласование</w:t>
            </w:r>
          </w:p>
        </w:tc>
        <w:tc>
          <w:tcPr>
            <w:tcW w:type="dxa" w:w="525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Местоимение «этот» принимает тот же род, число и падеж, что и главное слово: этот путь — этого пути.</w:t>
            </w:r>
          </w:p>
        </w:tc>
      </w:tr>
      <w:tr>
        <w:tc>
          <w:tcPr>
            <w:tcW w:type="dxa" w:w="220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6"/>
              </w:rPr>
              <w:t>первые блюда</w:t>
            </w:r>
          </w:p>
        </w:tc>
        <w:tc>
          <w:tcPr>
            <w:tcW w:type="dxa" w:w="18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согласование</w:t>
            </w:r>
          </w:p>
        </w:tc>
        <w:tc>
          <w:tcPr>
            <w:tcW w:type="dxa" w:w="52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Порядковое числительное «первые» изменяется вместе с существительным: первые блюда — первых блюд.</w:t>
            </w:r>
          </w:p>
        </w:tc>
      </w:tr>
      <w:tr>
        <w:tc>
          <w:tcPr>
            <w:tcW w:type="dxa" w:w="220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6"/>
              </w:rPr>
              <w:t>вкусный кофе</w:t>
            </w:r>
          </w:p>
        </w:tc>
        <w:tc>
          <w:tcPr>
            <w:tcW w:type="dxa" w:w="185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согласование</w:t>
            </w:r>
          </w:p>
        </w:tc>
        <w:tc>
          <w:tcPr>
            <w:tcW w:type="dxa" w:w="525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Прилагательное «вкусный» согласуется с несклоняемым существительным: вкусный кофе — вкусного кофе.</w:t>
            </w:r>
          </w:p>
        </w:tc>
      </w:tr>
      <w:tr>
        <w:tc>
          <w:tcPr>
            <w:tcW w:type="dxa" w:w="220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6"/>
              </w:rPr>
              <w:t>сварив суп</w:t>
            </w:r>
          </w:p>
        </w:tc>
        <w:tc>
          <w:tcPr>
            <w:tcW w:type="dxa" w:w="18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управление</w:t>
            </w:r>
          </w:p>
        </w:tc>
        <w:tc>
          <w:tcPr>
            <w:tcW w:type="dxa" w:w="52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Деепричастие «сварив» требует от существительного «суп» винительного падежа. Это управление.</w:t>
            </w:r>
          </w:p>
        </w:tc>
      </w:tr>
    </w:tbl>
    <w:p>
      <w:r>
        <w:br w:type="page"/>
      </w:r>
    </w:p>
    <w:p>
      <w:pPr>
        <w:spacing w:after="60"/>
        <w:keepNext w:val="1"/>
      </w:pPr>
      <w:r>
        <w:rPr>
          <w:rFonts w:ascii="Arial" w:hAnsi="Arial"/>
          <w:b/>
          <w:color w:val="FF4F91"/>
          <w:sz w:val="17"/>
        </w:rPr>
        <w:t>СЛОЖНЫЕ СЛУЧАИ И ЛОВУШКИ • ЧАСТЬ 2 ИЗ 4</w:t>
      </w:r>
    </w:p>
    <w:p>
      <w:pPr>
        <w:pStyle w:val="Heading1"/>
      </w:pPr>
      <w:r>
        <w:t>Режим «Только определение связи»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rHeight w:hRule="atLeast"/>
          <w:tblHeader w:val="true"/>
        </w:trPr>
        <w:tc>
          <w:tcPr>
            <w:tcW w:type="dxa" w:w="2200"/>
            <w:shd w:fill="3214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ФОРМУЛИРОВКА</w:t>
            </w:r>
          </w:p>
        </w:tc>
        <w:tc>
          <w:tcPr>
            <w:tcW w:type="dxa" w:w="1850"/>
            <w:shd w:fill="3214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ОТВЕТ</w:t>
            </w:r>
          </w:p>
        </w:tc>
        <w:tc>
          <w:tcPr>
            <w:tcW w:type="dxa" w:w="5250"/>
            <w:shd w:fill="3214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ПОЧЕМУ</w:t>
            </w:r>
          </w:p>
        </w:tc>
      </w:tr>
      <w:tr>
        <w:tc>
          <w:tcPr>
            <w:tcW w:type="dxa" w:w="220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6"/>
              </w:rPr>
              <w:t>пальто мамы</w:t>
            </w:r>
          </w:p>
        </w:tc>
        <w:tc>
          <w:tcPr>
            <w:tcW w:type="dxa" w:w="18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управление</w:t>
            </w:r>
          </w:p>
        </w:tc>
        <w:tc>
          <w:tcPr>
            <w:tcW w:type="dxa" w:w="52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Главное слово «пальто» связано с зависимым существительным «мамы» в родительном падеже. Это управление.</w:t>
            </w:r>
          </w:p>
        </w:tc>
      </w:tr>
      <w:tr>
        <w:tc>
          <w:tcPr>
            <w:tcW w:type="dxa" w:w="220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6"/>
              </w:rPr>
              <w:t>похожий на отца</w:t>
            </w:r>
          </w:p>
        </w:tc>
        <w:tc>
          <w:tcPr>
            <w:tcW w:type="dxa" w:w="185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управление</w:t>
            </w:r>
          </w:p>
        </w:tc>
        <w:tc>
          <w:tcPr>
            <w:tcW w:type="dxa" w:w="525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Главное слово «похожий» требует формы «на отца». Это управление.</w:t>
            </w:r>
          </w:p>
        </w:tc>
      </w:tr>
      <w:tr>
        <w:tc>
          <w:tcPr>
            <w:tcW w:type="dxa" w:w="220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6"/>
              </w:rPr>
              <w:t>рад встрече</w:t>
            </w:r>
          </w:p>
        </w:tc>
        <w:tc>
          <w:tcPr>
            <w:tcW w:type="dxa" w:w="18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управление</w:t>
            </w:r>
          </w:p>
        </w:tc>
        <w:tc>
          <w:tcPr>
            <w:tcW w:type="dxa" w:w="52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Краткое прилагательное «рад» требует от существительного «встрече» дательного падежа. Это управление.</w:t>
            </w:r>
          </w:p>
        </w:tc>
      </w:tr>
      <w:tr>
        <w:tc>
          <w:tcPr>
            <w:tcW w:type="dxa" w:w="220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6"/>
              </w:rPr>
              <w:t>суп без соли</w:t>
            </w:r>
          </w:p>
        </w:tc>
        <w:tc>
          <w:tcPr>
            <w:tcW w:type="dxa" w:w="185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управление</w:t>
            </w:r>
          </w:p>
        </w:tc>
        <w:tc>
          <w:tcPr>
            <w:tcW w:type="dxa" w:w="525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Главное существительное «суп» управляет зависимой формой «без соли». Это управление.</w:t>
            </w:r>
          </w:p>
        </w:tc>
      </w:tr>
      <w:tr>
        <w:tc>
          <w:tcPr>
            <w:tcW w:type="dxa" w:w="220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6"/>
              </w:rPr>
              <w:t>подарок для друга</w:t>
            </w:r>
          </w:p>
        </w:tc>
        <w:tc>
          <w:tcPr>
            <w:tcW w:type="dxa" w:w="18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управление</w:t>
            </w:r>
          </w:p>
        </w:tc>
        <w:tc>
          <w:tcPr>
            <w:tcW w:type="dxa" w:w="52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Главное существительное «подарок» связано с зависимой формой «для друга». Это управление.</w:t>
            </w:r>
          </w:p>
        </w:tc>
      </w:tr>
      <w:tr>
        <w:tc>
          <w:tcPr>
            <w:tcW w:type="dxa" w:w="220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6"/>
              </w:rPr>
              <w:t>их суп</w:t>
            </w:r>
          </w:p>
        </w:tc>
        <w:tc>
          <w:tcPr>
            <w:tcW w:type="dxa" w:w="185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примыкание</w:t>
            </w:r>
          </w:p>
        </w:tc>
        <w:tc>
          <w:tcPr>
            <w:tcW w:type="dxa" w:w="525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Притяжательное местоимение «их» не изменяется: их суп, их супа, их супом. Это примыкание.</w:t>
            </w:r>
          </w:p>
        </w:tc>
      </w:tr>
      <w:tr>
        <w:tc>
          <w:tcPr>
            <w:tcW w:type="dxa" w:w="220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6"/>
              </w:rPr>
              <w:t>её рецепт</w:t>
            </w:r>
          </w:p>
        </w:tc>
        <w:tc>
          <w:tcPr>
            <w:tcW w:type="dxa" w:w="18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примыкание</w:t>
            </w:r>
          </w:p>
        </w:tc>
        <w:tc>
          <w:tcPr>
            <w:tcW w:type="dxa" w:w="52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Притяжательное местоимение «её» не изменяется: её рецепт, её рецепта, её рецептом. Это примыкание.</w:t>
            </w:r>
          </w:p>
        </w:tc>
      </w:tr>
    </w:tbl>
    <w:p>
      <w:r>
        <w:br w:type="page"/>
      </w:r>
    </w:p>
    <w:p>
      <w:pPr>
        <w:spacing w:after="60"/>
        <w:keepNext w:val="1"/>
      </w:pPr>
      <w:r>
        <w:rPr>
          <w:rFonts w:ascii="Arial" w:hAnsi="Arial"/>
          <w:b/>
          <w:color w:val="FF4F91"/>
          <w:sz w:val="17"/>
        </w:rPr>
        <w:t>СЛОЖНЫЕ СЛУЧАИ И ЛОВУШКИ • ЧАСТЬ 3 ИЗ 4</w:t>
      </w:r>
    </w:p>
    <w:p>
      <w:pPr>
        <w:pStyle w:val="Heading1"/>
      </w:pPr>
      <w:r>
        <w:t>Режим «Только определение связи»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rHeight w:hRule="atLeast"/>
          <w:tblHeader w:val="true"/>
        </w:trPr>
        <w:tc>
          <w:tcPr>
            <w:tcW w:type="dxa" w:w="2200"/>
            <w:shd w:fill="3214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ФОРМУЛИРОВКА</w:t>
            </w:r>
          </w:p>
        </w:tc>
        <w:tc>
          <w:tcPr>
            <w:tcW w:type="dxa" w:w="1850"/>
            <w:shd w:fill="3214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ОТВЕТ</w:t>
            </w:r>
          </w:p>
        </w:tc>
        <w:tc>
          <w:tcPr>
            <w:tcW w:type="dxa" w:w="5250"/>
            <w:shd w:fill="3214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ПОЧЕМУ</w:t>
            </w:r>
          </w:p>
        </w:tc>
      </w:tr>
      <w:tr>
        <w:tc>
          <w:tcPr>
            <w:tcW w:type="dxa" w:w="220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6"/>
              </w:rPr>
              <w:t>его кастрюля</w:t>
            </w:r>
          </w:p>
        </w:tc>
        <w:tc>
          <w:tcPr>
            <w:tcW w:type="dxa" w:w="18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примыкание</w:t>
            </w:r>
          </w:p>
        </w:tc>
        <w:tc>
          <w:tcPr>
            <w:tcW w:type="dxa" w:w="52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Притяжательное местоимение «его» остаётся неизменным: его кастрюля, его кастрюли. Это примыкание.</w:t>
            </w:r>
          </w:p>
        </w:tc>
      </w:tr>
      <w:tr>
        <w:tc>
          <w:tcPr>
            <w:tcW w:type="dxa" w:w="220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6"/>
              </w:rPr>
              <w:t>очень вкусный</w:t>
            </w:r>
          </w:p>
        </w:tc>
        <w:tc>
          <w:tcPr>
            <w:tcW w:type="dxa" w:w="185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примыкание</w:t>
            </w:r>
          </w:p>
        </w:tc>
        <w:tc>
          <w:tcPr>
            <w:tcW w:type="dxa" w:w="525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Зависимое слово «очень» — неизменяемое наречие. Оно примыкает к прилагательному «вкусный».</w:t>
            </w:r>
          </w:p>
        </w:tc>
      </w:tr>
      <w:tr>
        <w:tc>
          <w:tcPr>
            <w:tcW w:type="dxa" w:w="220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6"/>
              </w:rPr>
              <w:t>желание победить</w:t>
            </w:r>
          </w:p>
        </w:tc>
        <w:tc>
          <w:tcPr>
            <w:tcW w:type="dxa" w:w="18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примыкание</w:t>
            </w:r>
          </w:p>
        </w:tc>
        <w:tc>
          <w:tcPr>
            <w:tcW w:type="dxa" w:w="52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Зависимое слово «победить» — инфинитив, то есть неизменяемая форма глагола. Это примыкание.</w:t>
            </w:r>
          </w:p>
        </w:tc>
      </w:tr>
      <w:tr>
        <w:tc>
          <w:tcPr>
            <w:tcW w:type="dxa" w:w="220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6"/>
              </w:rPr>
              <w:t>читающий вслух</w:t>
            </w:r>
          </w:p>
        </w:tc>
        <w:tc>
          <w:tcPr>
            <w:tcW w:type="dxa" w:w="185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примыкание</w:t>
            </w:r>
          </w:p>
        </w:tc>
        <w:tc>
          <w:tcPr>
            <w:tcW w:type="dxa" w:w="525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Зависимое слово «вслух» — неизменяемое наречие. Это примыкание.</w:t>
            </w:r>
          </w:p>
        </w:tc>
      </w:tr>
      <w:tr>
        <w:tc>
          <w:tcPr>
            <w:tcW w:type="dxa" w:w="220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6"/>
              </w:rPr>
              <w:t>суп кипит</w:t>
            </w:r>
          </w:p>
        </w:tc>
        <w:tc>
          <w:tcPr>
            <w:tcW w:type="dxa" w:w="18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не словосочетание</w:t>
            </w:r>
          </w:p>
        </w:tc>
        <w:tc>
          <w:tcPr>
            <w:tcW w:type="dxa" w:w="52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Это грамматическая основа: подлежащее «суп» и сказуемое «кипит». Подлежащее и сказуемое не образуют словосочетание.</w:t>
            </w:r>
          </w:p>
        </w:tc>
      </w:tr>
      <w:tr>
        <w:tc>
          <w:tcPr>
            <w:tcW w:type="dxa" w:w="220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6"/>
              </w:rPr>
              <w:t>лиса улыбается</w:t>
            </w:r>
          </w:p>
        </w:tc>
        <w:tc>
          <w:tcPr>
            <w:tcW w:type="dxa" w:w="185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не словосочетание</w:t>
            </w:r>
          </w:p>
        </w:tc>
        <w:tc>
          <w:tcPr>
            <w:tcW w:type="dxa" w:w="525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Это грамматическая основа предложения. Связь подлежащего и сказуемого не является подчинительной.</w:t>
            </w:r>
          </w:p>
        </w:tc>
      </w:tr>
      <w:tr>
        <w:tc>
          <w:tcPr>
            <w:tcW w:type="dxa" w:w="220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6"/>
              </w:rPr>
              <w:t>ученики отвечают</w:t>
            </w:r>
          </w:p>
        </w:tc>
        <w:tc>
          <w:tcPr>
            <w:tcW w:type="dxa" w:w="18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не словосочетание</w:t>
            </w:r>
          </w:p>
        </w:tc>
        <w:tc>
          <w:tcPr>
            <w:tcW w:type="dxa" w:w="52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Перед нами подлежащее и сказуемое — грамматическая основа, а не словосочетание.</w:t>
            </w:r>
          </w:p>
        </w:tc>
      </w:tr>
    </w:tbl>
    <w:p>
      <w:r>
        <w:br w:type="page"/>
      </w:r>
    </w:p>
    <w:p>
      <w:pPr>
        <w:spacing w:after="60"/>
        <w:keepNext w:val="1"/>
      </w:pPr>
      <w:r>
        <w:rPr>
          <w:rFonts w:ascii="Arial" w:hAnsi="Arial"/>
          <w:b/>
          <w:color w:val="FF4F91"/>
          <w:sz w:val="17"/>
        </w:rPr>
        <w:t>СЛОЖНЫЕ СЛУЧАИ И ЛОВУШКИ • ЧАСТЬ 4 ИЗ 4</w:t>
      </w:r>
    </w:p>
    <w:p>
      <w:pPr>
        <w:pStyle w:val="Heading1"/>
      </w:pPr>
      <w:r>
        <w:t>Режим «Только определение связи»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rHeight w:hRule="atLeast"/>
          <w:tblHeader w:val="true"/>
        </w:trPr>
        <w:tc>
          <w:tcPr>
            <w:tcW w:type="dxa" w:w="2200"/>
            <w:shd w:fill="3214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ФОРМУЛИРОВКА</w:t>
            </w:r>
          </w:p>
        </w:tc>
        <w:tc>
          <w:tcPr>
            <w:tcW w:type="dxa" w:w="1850"/>
            <w:shd w:fill="3214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ОТВЕТ</w:t>
            </w:r>
          </w:p>
        </w:tc>
        <w:tc>
          <w:tcPr>
            <w:tcW w:type="dxa" w:w="5250"/>
            <w:shd w:fill="3214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ПОЧЕМУ</w:t>
            </w:r>
          </w:p>
        </w:tc>
      </w:tr>
      <w:tr>
        <w:tc>
          <w:tcPr>
            <w:tcW w:type="dxa" w:w="220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6"/>
              </w:rPr>
              <w:t>колесо остановилось</w:t>
            </w:r>
          </w:p>
        </w:tc>
        <w:tc>
          <w:tcPr>
            <w:tcW w:type="dxa" w:w="18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не словосочетание</w:t>
            </w:r>
          </w:p>
        </w:tc>
        <w:tc>
          <w:tcPr>
            <w:tcW w:type="dxa" w:w="52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Это грамматическая основа: «колесо» — подлежащее, «остановилось» — сказуемое.</w:t>
            </w:r>
          </w:p>
        </w:tc>
      </w:tr>
      <w:tr>
        <w:tc>
          <w:tcPr>
            <w:tcW w:type="dxa" w:w="220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6"/>
              </w:rPr>
              <w:t>без соли</w:t>
            </w:r>
          </w:p>
        </w:tc>
        <w:tc>
          <w:tcPr>
            <w:tcW w:type="dxa" w:w="185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не словосочетание</w:t>
            </w:r>
          </w:p>
        </w:tc>
        <w:tc>
          <w:tcPr>
            <w:tcW w:type="dxa" w:w="525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Предлог «без» — служебное слово. Сочетание предлога с существительным само по себе словосочетанием не является.</w:t>
            </w:r>
          </w:p>
        </w:tc>
      </w:tr>
      <w:tr>
        <w:tc>
          <w:tcPr>
            <w:tcW w:type="dxa" w:w="220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6"/>
              </w:rPr>
              <w:t>для друга</w:t>
            </w:r>
          </w:p>
        </w:tc>
        <w:tc>
          <w:tcPr>
            <w:tcW w:type="dxa" w:w="18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не словосочетание</w:t>
            </w:r>
          </w:p>
        </w:tc>
        <w:tc>
          <w:tcPr>
            <w:tcW w:type="dxa" w:w="52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Это предлог и существительное. Служебное слово не может быть главным или зависимым словом словосочетания.</w:t>
            </w:r>
          </w:p>
        </w:tc>
      </w:tr>
      <w:tr>
        <w:tc>
          <w:tcPr>
            <w:tcW w:type="dxa" w:w="220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6"/>
              </w:rPr>
              <w:t>под крышкой</w:t>
            </w:r>
          </w:p>
        </w:tc>
        <w:tc>
          <w:tcPr>
            <w:tcW w:type="dxa" w:w="185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не словосочетание</w:t>
            </w:r>
          </w:p>
        </w:tc>
        <w:tc>
          <w:tcPr>
            <w:tcW w:type="dxa" w:w="525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Это сочетание предлога с существительным, а не двух самостоятельных слов. Значит, словосочетания нет.</w:t>
            </w:r>
          </w:p>
        </w:tc>
      </w:tr>
      <w:tr>
        <w:tc>
          <w:tcPr>
            <w:tcW w:type="dxa" w:w="220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6"/>
              </w:rPr>
              <w:t>из-за дождя</w:t>
            </w:r>
          </w:p>
        </w:tc>
        <w:tc>
          <w:tcPr>
            <w:tcW w:type="dxa" w:w="18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не словосочетание</w:t>
            </w:r>
          </w:p>
        </w:tc>
        <w:tc>
          <w:tcPr>
            <w:tcW w:type="dxa" w:w="525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6"/>
              </w:rPr>
              <w:t>Составной предлог «из-за» и существительное не образуют словосочетание: здесь только одно самостоятельное слово.</w:t>
            </w:r>
          </w:p>
        </w:tc>
      </w:tr>
    </w:tbl>
    <w:p>
      <w:r>
        <w:br w:type="page"/>
      </w:r>
    </w:p>
    <w:p>
      <w:pPr>
        <w:spacing w:after="60"/>
        <w:keepNext w:val="1"/>
      </w:pPr>
      <w:r>
        <w:rPr>
          <w:rFonts w:ascii="Arial" w:hAnsi="Arial"/>
          <w:b/>
          <w:color w:val="FFBF00"/>
          <w:sz w:val="17"/>
        </w:rPr>
        <w:t>ОБНОВЛЕНИЕ БАНКА С ПОМОЩЬЮ НЕЙРОСЕТИ</w:t>
      </w:r>
    </w:p>
    <w:p>
      <w:pPr>
        <w:pStyle w:val="Heading1"/>
      </w:pPr>
      <w:r>
        <w:t>Как использовать промпт</w:t>
      </w:r>
    </w:p>
    <w:p>
      <w:pPr>
        <w:pStyle w:val="ListNumber"/>
        <w:spacing w:after="80"/>
        <w:ind w:left="346" w:hanging="202"/>
      </w:pPr>
      <w:r>
        <w:t>Прикрепите к диалогу автономный HTML-файл игры.</w:t>
      </w:r>
    </w:p>
    <w:p>
      <w:pPr>
        <w:pStyle w:val="ListNumber"/>
        <w:spacing w:after="80"/>
        <w:ind w:left="346" w:hanging="202"/>
      </w:pPr>
      <w:r>
        <w:t>Замените в промпте [ТЕМА НОВОГО БАНКА] на нужную тему или набор лексики.</w:t>
      </w:r>
    </w:p>
    <w:p>
      <w:pPr>
        <w:pStyle w:val="ListNumber"/>
        <w:spacing w:after="80"/>
        <w:ind w:left="346" w:hanging="202"/>
      </w:pPr>
      <w:r>
        <w:t>Вставьте промпт целиком и скачайте готовый HTML из ответа.</w:t>
      </w:r>
    </w:p>
    <w:p>
      <w:pPr>
        <w:pStyle w:val="ListNumber"/>
        <w:spacing w:after="80"/>
        <w:ind w:left="346" w:hanging="202"/>
      </w:pPr>
      <w:r>
        <w:t>Откройте файл в браузере и проверьте несколько раундов каждого режима.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00"/>
            <w:shd w:fill="F0ECF8"/>
            <w:tcBorders>
              <w:top w:val="single" w:sz="10" w:color="FFBF00"/>
              <w:left w:val="single" w:sz="10" w:color="FFBF00"/>
              <w:bottom w:val="single" w:sz="10" w:color="FFBF00"/>
              <w:right w:val="single" w:sz="10" w:color="FFBF00"/>
              <w:insideH w:val="single" w:sz="10" w:color="FFBF00"/>
              <w:insideV w:val="single" w:sz="10" w:color="FFBF0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FBF00"/>
                <w:sz w:val="18"/>
              </w:rPr>
              <w:t>ЗАЩИТА ЛОГИКИ</w:t>
            </w:r>
          </w:p>
          <w:p>
            <w:pPr>
              <w:spacing w:after="0"/>
            </w:pPr>
            <w:r>
              <w:t>Промпт запрещает менять код вне банков и несколько раз отдельно проверяет направление замены, чтобы исходное и результат снова не поменялись местами.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  <w:keepNext w:val="1"/>
      </w:pPr>
      <w:r>
        <w:rPr>
          <w:rFonts w:ascii="Arial" w:hAnsi="Arial"/>
          <w:b/>
          <w:color w:val="31D9FF"/>
          <w:sz w:val="17"/>
        </w:rPr>
        <w:t>ПРОМПТ ДЛЯ КОПИРОВАНИЯ</w:t>
      </w:r>
    </w:p>
    <w:p>
      <w:pPr>
        <w:pStyle w:val="Heading1"/>
      </w:pPr>
      <w:r>
        <w:t>Готовый текст</w:t>
      </w:r>
    </w:p>
    <w:p>
      <w:pPr>
        <w:keepLines w:val="0"/>
        <w:spacing w:after="140" w:line="252" w:lineRule="auto"/>
      </w:pPr>
      <w:r>
        <w:rPr>
          <w:rFonts w:ascii="Consolas" w:hAnsi="Consolas"/>
          <w:color w:val="24183A"/>
          <w:sz w:val="16"/>
        </w:rPr>
        <w:t>Вы — методист по русскому языку и разработчик учебных HTML-игр. Я прикрепляю автономный HTML-файл игры «Синтаксический суп». Обновите в нём словосочетания по теме [ТЕМА НОВОГО БАНКА], не меняя дизайн, интерфейс, механику, размеры, адаптивность и остальной программный код.</w:t>
      </w:r>
    </w:p>
    <w:p>
      <w:pPr>
        <w:keepLines w:val="0"/>
        <w:spacing w:after="140" w:line="252" w:lineRule="auto"/>
      </w:pPr>
      <w:r>
        <w:rPr>
          <w:rFonts w:ascii="Consolas" w:hAnsi="Consolas"/>
          <w:b/>
          <w:color w:val="1A0637"/>
          <w:sz w:val="16"/>
        </w:rPr>
        <w:t>КРИТИЧЕСКИ ВАЖНО: в заданиях с заменой на колесе должно стоять ИСХОДНОЕ словосочетание, а в answers — то, ВО ЧТО ученик его превращает. Например: phrase: «удар сабли»; relation: government; answers: [«сабельный удар»]; targetRelation: agreement. Не размещайте «сабельный удар» на колесе отдельным заданием.</w:t>
      </w:r>
    </w:p>
    <w:p>
      <w:pPr>
        <w:keepLines w:val="0"/>
        <w:spacing w:after="140" w:line="252" w:lineRule="auto"/>
      </w:pPr>
      <w:r>
        <w:rPr>
          <w:rFonts w:ascii="Consolas" w:hAnsi="Consolas"/>
          <w:b/>
          <w:color w:val="1A0637"/>
          <w:sz w:val="16"/>
        </w:rPr>
        <w:t>1. Найдите внутри data-inline-source="data.js" два блока между маркерами:</w:t>
      </w:r>
      <w:r>
        <w:br/>
      </w:r>
      <w:r>
        <w:rPr>
          <w:rFonts w:ascii="Consolas" w:hAnsi="Consolas"/>
          <w:color w:val="24183A"/>
          <w:sz w:val="16"/>
        </w:rPr>
        <w:t>/* === БАНК ЗАДАНИЙ С ЗАМЕНОЙ: НАЧАЛО === */</w:t>
      </w:r>
      <w:r>
        <w:br/>
      </w:r>
      <w:r>
        <w:rPr>
          <w:rFonts w:ascii="Consolas" w:hAnsi="Consolas"/>
          <w:color w:val="24183A"/>
          <w:sz w:val="16"/>
        </w:rPr>
        <w:t>/* === БАНК ЗАДАНИЙ С ЗАМЕНОЙ: КОНЕЦ === */</w:t>
      </w:r>
      <w:r>
        <w:br/>
      </w:r>
      <w:r>
        <w:rPr>
          <w:rFonts w:ascii="Consolas" w:hAnsi="Consolas"/>
          <w:color w:val="24183A"/>
          <w:sz w:val="16"/>
        </w:rPr>
        <w:t>и</w:t>
      </w:r>
      <w:r>
        <w:br/>
      </w:r>
      <w:r>
        <w:rPr>
          <w:rFonts w:ascii="Consolas" w:hAnsi="Consolas"/>
          <w:color w:val="24183A"/>
          <w:sz w:val="16"/>
        </w:rPr>
        <w:t>/* === БАНК СЛОЖНЫХ СЛУЧАЕВ И ЛОВУШЕК: НАЧАЛО === */</w:t>
      </w:r>
      <w:r>
        <w:br/>
      </w:r>
      <w:r>
        <w:rPr>
          <w:rFonts w:ascii="Consolas" w:hAnsi="Consolas"/>
          <w:color w:val="24183A"/>
          <w:sz w:val="16"/>
        </w:rPr>
        <w:t>/* === БАНК СЛОЖНЫХ СЛУЧАЕВ И ЛОВУШЕК: КОНЕЦ === */</w:t>
      </w:r>
    </w:p>
    <w:p>
      <w:pPr>
        <w:keepLines w:val="0"/>
        <w:spacing w:after="140" w:line="252" w:lineRule="auto"/>
      </w:pPr>
      <w:r>
        <w:rPr>
          <w:rFonts w:ascii="Consolas" w:hAnsi="Consolas"/>
          <w:b/>
          <w:color w:val="1A0637"/>
          <w:sz w:val="16"/>
        </w:rPr>
        <w:t>2. Меняйте только содержимое этих блоков. Не редактируйте CSS, HTML-разметку и game.js.</w:t>
      </w:r>
    </w:p>
    <w:p>
      <w:pPr>
        <w:keepLines w:val="0"/>
        <w:spacing w:after="140" w:line="252" w:lineRule="auto"/>
      </w:pPr>
      <w:r>
        <w:rPr>
          <w:rFonts w:ascii="Consolas" w:hAnsi="Consolas"/>
          <w:b/>
          <w:color w:val="1A0637"/>
          <w:sz w:val="16"/>
        </w:rPr>
        <w:t>3. Для TASK_BANK создайте не менее 18, лучше 24 заданий. Сохраните существующую схему вызовов agreement(...), government(...), adjacency(...). У каждого задания должен быть уникальный id. В банке должны быть исходные примеры всех трёх типов связи; каждого типа — хотя бы по одному, чтобы сессия на 15 раундов всегда включала согласование, управление и примыкание.</w:t>
      </w:r>
    </w:p>
    <w:p>
      <w:pPr>
        <w:keepLines w:val="0"/>
        <w:spacing w:after="140" w:line="252" w:lineRule="auto"/>
      </w:pPr>
      <w:r>
        <w:rPr>
          <w:rFonts w:ascii="Consolas" w:hAnsi="Consolas"/>
          <w:b/>
          <w:color w:val="1A0637"/>
          <w:sz w:val="16"/>
        </w:rPr>
        <w:t>4. Для каждого задания TASK_BANK проверьте:</w:t>
      </w:r>
      <w:r>
        <w:br/>
      </w:r>
      <w:r>
        <w:rPr>
          <w:rFonts w:ascii="Consolas" w:hAnsi="Consolas"/>
          <w:color w:val="24183A"/>
          <w:sz w:val="16"/>
        </w:rPr>
        <w:t>— phrase и каждый вариант из answers синонимичны;</w:t>
      </w:r>
      <w:r>
        <w:br/>
      </w:r>
      <w:r>
        <w:rPr>
          <w:rFonts w:ascii="Consolas" w:hAnsi="Consolas"/>
          <w:color w:val="24183A"/>
          <w:sz w:val="16"/>
        </w:rPr>
        <w:t>— relation верно описывает исходное словосочетание;</w:t>
      </w:r>
      <w:r>
        <w:br/>
      </w:r>
      <w:r>
        <w:rPr>
          <w:rFonts w:ascii="Consolas" w:hAnsi="Consolas"/>
          <w:color w:val="24183A"/>
          <w:sz w:val="16"/>
        </w:rPr>
        <w:t>— targetRelation верно описывает результат и отличается от relation;</w:t>
      </w:r>
      <w:r>
        <w:br/>
      </w:r>
      <w:r>
        <w:rPr>
          <w:rFonts w:ascii="Consolas" w:hAnsi="Consolas"/>
          <w:color w:val="24183A"/>
          <w:sz w:val="16"/>
        </w:rPr>
        <w:t>— answers содержит все разумные допустимые варианты, если их несколько;</w:t>
      </w:r>
      <w:r>
        <w:br/>
      </w:r>
      <w:r>
        <w:rPr>
          <w:rFonts w:ascii="Consolas" w:hAnsi="Consolas"/>
          <w:color w:val="24183A"/>
          <w:sz w:val="16"/>
        </w:rPr>
        <w:t>— почему/подсказка грамматически точны;</w:t>
      </w:r>
      <w:r>
        <w:br/>
      </w:r>
      <w:r>
        <w:rPr>
          <w:rFonts w:ascii="Consolas" w:hAnsi="Consolas"/>
          <w:color w:val="24183A"/>
          <w:sz w:val="16"/>
        </w:rPr>
        <w:t>— ответ не совпадает с исходной фразой и не появляется отдельным сектором колеса;</w:t>
      </w:r>
      <w:r>
        <w:br/>
      </w:r>
      <w:r>
        <w:rPr>
          <w:rFonts w:ascii="Consolas" w:hAnsi="Consolas"/>
          <w:color w:val="24183A"/>
          <w:sz w:val="16"/>
        </w:rPr>
        <w:t>— в этом банке нет грамматических основ и сочетаний только из предлога с существительным.</w:t>
      </w:r>
    </w:p>
    <w:p>
      <w:pPr>
        <w:keepLines w:val="0"/>
        <w:spacing w:after="140" w:line="252" w:lineRule="auto"/>
      </w:pPr>
      <w:r>
        <w:rPr>
          <w:rFonts w:ascii="Consolas" w:hAnsi="Consolas"/>
          <w:b/>
          <w:color w:val="1A0637"/>
          <w:sz w:val="16"/>
        </w:rPr>
        <w:t>5. Для CHALLENGE_BANK создайте не менее 26 заданий: минимум 6 на согласование, 6 на управление, 6 на примыкание и 8 ловушек notPhrase. Включите сложные неизменяемые притяжательные местоимения «его», «её», «их», а среди ловушек — грамматические основы и сочетания предлога с существительным, которые сами по себе не являются словосочетаниями. У каждого задания должны быть уникальные id, phrase, relation и точное объяснение why.</w:t>
      </w:r>
    </w:p>
    <w:p>
      <w:pPr>
        <w:keepLines w:val="0"/>
        <w:spacing w:after="140" w:line="252" w:lineRule="auto"/>
      </w:pPr>
      <w:r>
        <w:rPr>
          <w:rFonts w:ascii="Consolas" w:hAnsi="Consolas"/>
          <w:b/>
          <w:color w:val="1A0637"/>
          <w:sz w:val="16"/>
        </w:rPr>
        <w:t>6. Перед выдачей результата выполните внутреннюю проверку:</w:t>
      </w:r>
      <w:r>
        <w:br/>
      </w:r>
      <w:r>
        <w:rPr>
          <w:rFonts w:ascii="Consolas" w:hAnsi="Consolas"/>
          <w:color w:val="24183A"/>
          <w:sz w:val="16"/>
        </w:rPr>
        <w:t>— TASK_BANK содержит не менее 15 заданий;</w:t>
      </w:r>
      <w:r>
        <w:br/>
      </w:r>
      <w:r>
        <w:rPr>
          <w:rFonts w:ascii="Consolas" w:hAnsi="Consolas"/>
          <w:color w:val="24183A"/>
          <w:sz w:val="16"/>
        </w:rPr>
        <w:t>— id не повторяются;</w:t>
      </w:r>
      <w:r>
        <w:br/>
      </w:r>
      <w:r>
        <w:rPr>
          <w:rFonts w:ascii="Consolas" w:hAnsi="Consolas"/>
          <w:color w:val="24183A"/>
          <w:sz w:val="16"/>
        </w:rPr>
        <w:t>— все четыре значения relation написаны только так: agreement, government, adjacency, notPhrase;</w:t>
      </w:r>
      <w:r>
        <w:br/>
      </w:r>
      <w:r>
        <w:rPr>
          <w:rFonts w:ascii="Consolas" w:hAnsi="Consolas"/>
          <w:color w:val="24183A"/>
          <w:sz w:val="16"/>
        </w:rPr>
        <w:t>— в TASK_BANK у каждого элемента relation и targetRelation различаются;</w:t>
      </w:r>
      <w:r>
        <w:br/>
      </w:r>
      <w:r>
        <w:rPr>
          <w:rFonts w:ascii="Consolas" w:hAnsi="Consolas"/>
          <w:color w:val="24183A"/>
          <w:sz w:val="16"/>
        </w:rPr>
        <w:t>— ни один результат answers не повторён как phrase на колесе;</w:t>
      </w:r>
      <w:r>
        <w:br/>
      </w:r>
      <w:r>
        <w:rPr>
          <w:rFonts w:ascii="Consolas" w:hAnsi="Consolas"/>
          <w:color w:val="24183A"/>
          <w:sz w:val="16"/>
        </w:rPr>
        <w:t>— направление каждой замены соответствует формуле «ИСХОДНОЕ → ТО, ВО ЧТО ПРЕВРАЩАЕМ»;</w:t>
      </w:r>
      <w:r>
        <w:br/>
      </w:r>
      <w:r>
        <w:rPr>
          <w:rFonts w:ascii="Consolas" w:hAnsi="Consolas"/>
          <w:color w:val="24183A"/>
          <w:sz w:val="16"/>
        </w:rPr>
        <w:t>— JavaScript остаётся синтаксически корректным.</w:t>
      </w:r>
    </w:p>
    <w:p>
      <w:pPr>
        <w:keepLines w:val="0"/>
        <w:spacing w:after="140" w:line="252" w:lineRule="auto"/>
      </w:pPr>
      <w:r>
        <w:rPr>
          <w:rFonts w:ascii="Consolas" w:hAnsi="Consolas"/>
          <w:b/>
          <w:color w:val="1A0637"/>
          <w:sz w:val="16"/>
        </w:rPr>
        <w:t>7. Верните мне готовый исправленный автономный HTML-файл целиком. Не ограничивайтесь фрагментами кода и не пишите длинное пояснение вместо файла.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F6685"/>
        <w:sz w:val="16"/>
      </w:rPr>
      <w:t xml:space="preserve">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FF4F91"/>
        <w:sz w:val="15"/>
      </w:rPr>
      <w:t>СИНТАКСИЧЕСКИЙ СУП  •  ОТВЕТЫ И ПРОМПТ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/>
      <w:color w:val="2418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A0637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FF4F9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3214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1A063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b w:val="0"/>
      <w:i/>
      <w:iCs/>
      <w:color w:val="6F66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Ответы и промпт</dc:title>
  <dc:subject>Материалы к интерактивной игре «Синтаксический суп»</dc:subject>
  <dc:creator>Анастасия Димитриева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