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6309360" cy="35509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ntaksicheskiy-sup-cov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5090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325"/>
            <w:shd w:fill="FF4F91"/>
            <w:tcBorders>
              <w:top w:val="single" w:sz="0" w:color="FF4F91"/>
              <w:left w:val="single" w:sz="0" w:color="FF4F91"/>
              <w:bottom w:val="single" w:sz="0" w:color="FF4F91"/>
              <w:right w:val="single" w:sz="0" w:color="FF4F91"/>
              <w:insideH w:val="single" w:sz="0" w:color="FF4F91"/>
              <w:insideV w:val="single" w:sz="0" w:color="FF4F91"/>
            </w:tcBorders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A0637"/>
                <w:sz w:val="17"/>
              </w:rPr>
              <w:t>8–9 КЛАСС</w:t>
            </w:r>
          </w:p>
        </w:tc>
        <w:tc>
          <w:tcPr>
            <w:tcW w:type="dxa" w:w="2325"/>
            <w:shd w:fill="31D9FF"/>
            <w:tcBorders>
              <w:top w:val="single" w:sz="0" w:color="31D9FF"/>
              <w:left w:val="single" w:sz="0" w:color="31D9FF"/>
              <w:bottom w:val="single" w:sz="0" w:color="31D9FF"/>
              <w:right w:val="single" w:sz="0" w:color="31D9FF"/>
              <w:insideH w:val="single" w:sz="0" w:color="31D9FF"/>
              <w:insideV w:val="single" w:sz="0" w:color="31D9FF"/>
            </w:tcBorders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A0637"/>
                <w:sz w:val="17"/>
              </w:rPr>
              <w:t>ОГЭ</w:t>
            </w:r>
          </w:p>
        </w:tc>
        <w:tc>
          <w:tcPr>
            <w:tcW w:type="dxa" w:w="2325"/>
            <w:shd w:fill="FFBF00"/>
            <w:tcBorders>
              <w:top w:val="single" w:sz="0" w:color="FFBF00"/>
              <w:left w:val="single" w:sz="0" w:color="FFBF00"/>
              <w:bottom w:val="single" w:sz="0" w:color="FFBF00"/>
              <w:right w:val="single" w:sz="0" w:color="FFBF00"/>
              <w:insideH w:val="single" w:sz="0" w:color="FFBF00"/>
              <w:insideV w:val="single" w:sz="0" w:color="FFBF00"/>
            </w:tcBorders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A0637"/>
                <w:sz w:val="17"/>
              </w:rPr>
              <w:t>15 РАУНДОВ</w:t>
            </w:r>
          </w:p>
        </w:tc>
        <w:tc>
          <w:tcPr>
            <w:tcW w:type="dxa" w:w="2325"/>
            <w:shd w:fill="76F7C5"/>
            <w:tcBorders>
              <w:top w:val="single" w:sz="0" w:color="76F7C5"/>
              <w:left w:val="single" w:sz="0" w:color="76F7C5"/>
              <w:bottom w:val="single" w:sz="0" w:color="76F7C5"/>
              <w:right w:val="single" w:sz="0" w:color="76F7C5"/>
              <w:insideH w:val="single" w:sz="0" w:color="76F7C5"/>
              <w:insideV w:val="single" w:sz="0" w:color="76F7C5"/>
            </w:tcBorders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A0637"/>
                <w:sz w:val="17"/>
              </w:rPr>
              <w:t>ОФЛАЙН</w:t>
            </w:r>
          </w:p>
        </w:tc>
      </w:tr>
    </w:tbl>
    <w:p>
      <w:pPr>
        <w:spacing w:after="0"/>
      </w:pPr>
    </w:p>
    <w:p>
      <w:pPr>
        <w:pStyle w:val="Title"/>
        <w:spacing w:after="80"/>
        <w:jc w:val="center"/>
      </w:pPr>
      <w:r>
        <w:t>Интерактивная игра по видам подчинительной связи</w:t>
      </w:r>
    </w:p>
    <w:p>
      <w:pPr>
        <w:pStyle w:val="Subtitle"/>
        <w:jc w:val="center"/>
      </w:pPr>
      <w:r>
        <w:t>Колесо фортуны, мгновенная проверка и синонимичная замена — в одном автономном HTML-файле.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300"/>
            <w:shd w:fill="F0ECF8"/>
            <w:tcBorders>
              <w:top w:val="single" w:sz="10" w:color="FFBF00"/>
              <w:left w:val="single" w:sz="10" w:color="FFBF00"/>
              <w:bottom w:val="single" w:sz="10" w:color="FFBF00"/>
              <w:right w:val="single" w:sz="10" w:color="FFBF00"/>
              <w:insideH w:val="single" w:sz="10" w:color="FFBF00"/>
              <w:insideV w:val="single" w:sz="10" w:color="FFBF00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FFBF00"/>
                <w:sz w:val="18"/>
              </w:rPr>
              <w:t>ГЛАВНАЯ МЕХАНИКА</w:t>
            </w:r>
          </w:p>
          <w:p>
            <w:pPr>
              <w:spacing w:after="0"/>
            </w:pPr>
            <w:r>
              <w:t>Ученик получает исходное словосочетание, определяет тип связи, а затем преобразует его в синонимичное словосочетание с другим типом связи.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60"/>
        <w:keepNext w:val="1"/>
      </w:pPr>
      <w:r>
        <w:rPr>
          <w:rFonts w:ascii="Arial" w:hAnsi="Arial"/>
          <w:b/>
          <w:color w:val="FF4F91"/>
          <w:sz w:val="17"/>
        </w:rPr>
        <w:t>ГОТОВЫЙ ТЕКСТ ДЛЯ КОРОТКОЙ КАРТОЧКИ</w:t>
      </w:r>
    </w:p>
    <w:p>
      <w:pPr>
        <w:pStyle w:val="Heading1"/>
      </w:pPr>
      <w:r>
        <w:t>Короткое описание</w:t>
      </w:r>
    </w:p>
    <w:p>
      <w:r>
        <w:t>«Синтаксический суп» — яркая браузерная игра для отработки согласования, управления и примыкания. Ученик крутит колесо, определяет связь и получает понятное объяснение, а в двух полных режимах ещё и заменяет словосочетание синонимичным. Есть отдельный сложный режим с местоимениями «их», «её», «его», грамматическими основами и сочетаниями предлога с существительным. Игра запускается без интернета и установки.</w:t>
      </w:r>
    </w:p>
    <w:p>
      <w:pPr>
        <w:pStyle w:val="Heading2"/>
      </w:pPr>
      <w:r>
        <w:t>Что получает покупатель</w:t>
      </w:r>
    </w:p>
    <w:p>
      <w:pPr>
        <w:pStyle w:val="ListBullet"/>
        <w:spacing w:after="60"/>
        <w:ind w:left="317" w:hanging="187"/>
      </w:pPr>
      <w:r>
        <w:t>один автономный HTML-файл: CSS, JavaScript, банки заданий и изображения уже внутри;</w:t>
      </w:r>
    </w:p>
    <w:p>
      <w:pPr>
        <w:pStyle w:val="ListBullet"/>
        <w:spacing w:after="60"/>
        <w:ind w:left="317" w:hanging="187"/>
      </w:pPr>
      <w:r>
        <w:t>три режима: с учителем устно, самостоятельная проверка ввода, только определение связи;</w:t>
      </w:r>
    </w:p>
    <w:p>
      <w:pPr>
        <w:pStyle w:val="ListBullet"/>
        <w:spacing w:after="60"/>
        <w:ind w:left="317" w:hanging="187"/>
      </w:pPr>
      <w:r>
        <w:t>24 пары на синонимичную замену по материалу «Магия ОГЭ»;</w:t>
      </w:r>
    </w:p>
    <w:p>
      <w:pPr>
        <w:pStyle w:val="ListBullet"/>
        <w:spacing w:after="60"/>
        <w:ind w:left="317" w:hanging="187"/>
      </w:pPr>
      <w:r>
        <w:t>26 сложных примеров и ловушек;</w:t>
      </w:r>
    </w:p>
    <w:p>
      <w:pPr>
        <w:pStyle w:val="ListBullet"/>
        <w:spacing w:after="60"/>
        <w:ind w:left="317" w:hanging="187"/>
      </w:pPr>
      <w:r>
        <w:t>обложку, карточку товара, ответы и готовый промпт для обновления банка заданий.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300"/>
            <w:shd w:fill="FFF0F6"/>
            <w:tcBorders>
              <w:top w:val="single" w:sz="10" w:color="FF4F91"/>
              <w:left w:val="single" w:sz="10" w:color="FF4F91"/>
              <w:bottom w:val="single" w:sz="10" w:color="FF4F91"/>
              <w:right w:val="single" w:sz="10" w:color="FF4F91"/>
              <w:insideH w:val="single" w:sz="10" w:color="FF4F91"/>
              <w:insideV w:val="single" w:sz="10" w:color="FF4F91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FF4F91"/>
                <w:sz w:val="18"/>
              </w:rPr>
              <w:t>ВАЖНО</w:t>
            </w:r>
          </w:p>
          <w:p>
            <w:pPr>
              <w:spacing w:after="0"/>
            </w:pPr>
            <w:r>
              <w:t>Направление замены зафиксировано: на колесе показывается исходное словосочетание («удар сабли»), а ученик получает задачу превратить его в результат («сабельный удар»).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60"/>
        <w:keepNext w:val="1"/>
      </w:pPr>
      <w:r>
        <w:rPr>
          <w:rFonts w:ascii="Arial" w:hAnsi="Arial"/>
          <w:b/>
          <w:color w:val="31D9FF"/>
          <w:sz w:val="17"/>
        </w:rPr>
        <w:t>РАЗВЁРНУТАЯ КАРТОЧКА</w:t>
      </w:r>
    </w:p>
    <w:p>
      <w:pPr>
        <w:pStyle w:val="Heading1"/>
      </w:pPr>
      <w:r>
        <w:t>Описание продукта</w:t>
      </w:r>
    </w:p>
    <w:p>
      <w:r>
        <w:t>Телешоу «Синтаксический суп» превращает тренировку по словосочетаниям в короткую игровую сессию. В каждом раунде колесо выбирает задание. Сначала ребёнок определяет вид подчинительной связи из трёх вариантов и сразу видит оценку и объяснение. Затем, если выбран полный режим, заменяет сочетание синонимичным, сохраняя смысл и меняя тип связи. Решённый сектор исчезает, поэтому задания не повторяются.</w:t>
      </w:r>
    </w:p>
    <w:p>
      <w:pPr>
        <w:pStyle w:val="Heading2"/>
      </w:pPr>
      <w:r>
        <w:t>Три режима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rHeight w:hRule="atLeast"/>
          <w:tblHeader w:val="true"/>
        </w:trPr>
        <w:tc>
          <w:tcPr>
            <w:tcW w:type="dxa" w:w="3000"/>
            <w:shd w:fill="32145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РЕЖИМ</w:t>
            </w:r>
          </w:p>
        </w:tc>
        <w:tc>
          <w:tcPr>
            <w:tcW w:type="dxa" w:w="6300"/>
            <w:shd w:fill="32145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КАК ПРОХОДИТ</w:t>
            </w:r>
          </w:p>
        </w:tc>
      </w:tr>
      <w:tr>
        <w:tc>
          <w:tcPr>
            <w:tcW w:type="dxa" w:w="3000"/>
            <w:shd w:fill="FFFFFF"/>
            <w:tcBorders>
              <w:top w:val="single" w:sz="5" w:color="D9D0E8"/>
              <w:left w:val="single" w:sz="5" w:color="D9D0E8"/>
              <w:bottom w:val="single" w:sz="5" w:color="D9D0E8"/>
              <w:right w:val="single" w:sz="5" w:color="D9D0E8"/>
              <w:insideH w:val="single" w:sz="5" w:color="D9D0E8"/>
              <w:insideV w:val="single" w:sz="5" w:color="D9D0E8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24183A"/>
                <w:sz w:val="18"/>
              </w:rPr>
              <w:t>С учителем — устно</w:t>
            </w:r>
          </w:p>
        </w:tc>
        <w:tc>
          <w:tcPr>
            <w:tcW w:type="dxa" w:w="6300"/>
            <w:shd w:fill="FFFFFF"/>
            <w:tcBorders>
              <w:top w:val="single" w:sz="5" w:color="D9D0E8"/>
              <w:left w:val="single" w:sz="5" w:color="D9D0E8"/>
              <w:bottom w:val="single" w:sz="5" w:color="D9D0E8"/>
              <w:right w:val="single" w:sz="5" w:color="D9D0E8"/>
              <w:insideH w:val="single" w:sz="5" w:color="D9D0E8"/>
              <w:insideV w:val="single" w:sz="5" w:color="D9D0E8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4183A"/>
                <w:sz w:val="18"/>
              </w:rPr>
              <w:t>Ребёнок называет замену вслух, учитель открывает образец ответа.</w:t>
            </w:r>
          </w:p>
        </w:tc>
      </w:tr>
      <w:tr>
        <w:tc>
          <w:tcPr>
            <w:tcW w:type="dxa" w:w="3000"/>
            <w:shd w:fill="F5F1FA"/>
            <w:tcBorders>
              <w:top w:val="single" w:sz="5" w:color="D9D0E8"/>
              <w:left w:val="single" w:sz="5" w:color="D9D0E8"/>
              <w:bottom w:val="single" w:sz="5" w:color="D9D0E8"/>
              <w:right w:val="single" w:sz="5" w:color="D9D0E8"/>
              <w:insideH w:val="single" w:sz="5" w:color="D9D0E8"/>
              <w:insideV w:val="single" w:sz="5" w:color="D9D0E8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24183A"/>
                <w:sz w:val="18"/>
              </w:rPr>
              <w:t>Самостоятельно — с вводом</w:t>
            </w:r>
          </w:p>
        </w:tc>
        <w:tc>
          <w:tcPr>
            <w:tcW w:type="dxa" w:w="6300"/>
            <w:shd w:fill="F5F1FA"/>
            <w:tcBorders>
              <w:top w:val="single" w:sz="5" w:color="D9D0E8"/>
              <w:left w:val="single" w:sz="5" w:color="D9D0E8"/>
              <w:bottom w:val="single" w:sz="5" w:color="D9D0E8"/>
              <w:right w:val="single" w:sz="5" w:color="D9D0E8"/>
              <w:insideH w:val="single" w:sz="5" w:color="D9D0E8"/>
              <w:insideV w:val="single" w:sz="5" w:color="D9D0E8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4183A"/>
                <w:sz w:val="18"/>
              </w:rPr>
              <w:t>Ребёнок печатает замену, игра принимает допустимые варианты и даёт обратную связь.</w:t>
            </w:r>
          </w:p>
        </w:tc>
      </w:tr>
      <w:tr>
        <w:tc>
          <w:tcPr>
            <w:tcW w:type="dxa" w:w="3000"/>
            <w:shd w:fill="FFFFFF"/>
            <w:tcBorders>
              <w:top w:val="single" w:sz="5" w:color="D9D0E8"/>
              <w:left w:val="single" w:sz="5" w:color="D9D0E8"/>
              <w:bottom w:val="single" w:sz="5" w:color="D9D0E8"/>
              <w:right w:val="single" w:sz="5" w:color="D9D0E8"/>
              <w:insideH w:val="single" w:sz="5" w:color="D9D0E8"/>
              <w:insideV w:val="single" w:sz="5" w:color="D9D0E8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24183A"/>
                <w:sz w:val="18"/>
              </w:rPr>
              <w:t>Только определение связи</w:t>
            </w:r>
          </w:p>
        </w:tc>
        <w:tc>
          <w:tcPr>
            <w:tcW w:type="dxa" w:w="6300"/>
            <w:shd w:fill="FFFFFF"/>
            <w:tcBorders>
              <w:top w:val="single" w:sz="5" w:color="D9D0E8"/>
              <w:left w:val="single" w:sz="5" w:color="D9D0E8"/>
              <w:bottom w:val="single" w:sz="5" w:color="D9D0E8"/>
              <w:right w:val="single" w:sz="5" w:color="D9D0E8"/>
              <w:insideH w:val="single" w:sz="5" w:color="D9D0E8"/>
              <w:insideV w:val="single" w:sz="5" w:color="D9D0E8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4183A"/>
                <w:sz w:val="18"/>
              </w:rPr>
              <w:t>Без этапа замены: сложные случаи, местоимения и ловушки «не словосочетание».</w:t>
            </w:r>
          </w:p>
        </w:tc>
      </w:tr>
    </w:tbl>
    <w:p>
      <w:pPr>
        <w:pStyle w:val="Heading2"/>
      </w:pPr>
      <w:r>
        <w:t>Для каких задач подходит</w:t>
      </w:r>
    </w:p>
    <w:p>
      <w:pPr>
        <w:pStyle w:val="ListBullet"/>
        <w:spacing w:after="60"/>
        <w:ind w:left="317" w:hanging="187"/>
      </w:pPr>
      <w:r>
        <w:t>повторение темы «Словосочетание» в 8–9 классе;</w:t>
      </w:r>
    </w:p>
    <w:p>
      <w:pPr>
        <w:pStyle w:val="ListBullet"/>
        <w:spacing w:after="60"/>
        <w:ind w:left="317" w:hanging="187"/>
      </w:pPr>
      <w:r>
        <w:t>подготовка к заданиям ОГЭ на синонимичную замену;</w:t>
      </w:r>
    </w:p>
    <w:p>
      <w:pPr>
        <w:pStyle w:val="ListBullet"/>
        <w:spacing w:after="60"/>
        <w:ind w:left="317" w:hanging="187"/>
      </w:pPr>
      <w:r>
        <w:t>разминка, закрепление, командная игра или индивидуальный тренажёр;</w:t>
      </w:r>
    </w:p>
    <w:p>
      <w:pPr>
        <w:pStyle w:val="ListBullet"/>
        <w:spacing w:after="60"/>
        <w:ind w:left="317" w:hanging="187"/>
      </w:pPr>
      <w:r>
        <w:t>очное занятие, демонстрация на интерактивной доске или дистанционный урок.</w:t>
      </w:r>
    </w:p>
    <w:p>
      <w:r>
        <w:br w:type="page"/>
      </w:r>
    </w:p>
    <w:p>
      <w:pPr>
        <w:spacing w:after="60"/>
        <w:keepNext w:val="1"/>
      </w:pPr>
      <w:r>
        <w:rPr>
          <w:rFonts w:ascii="Arial" w:hAnsi="Arial"/>
          <w:b/>
          <w:color w:val="FFBF00"/>
          <w:sz w:val="17"/>
        </w:rPr>
        <w:t>СОСТАВ И ЗАПУСК</w:t>
      </w:r>
    </w:p>
    <w:p>
      <w:pPr>
        <w:pStyle w:val="Heading1"/>
      </w:pPr>
      <w:r>
        <w:t>Комплект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rHeight w:hRule="atLeast"/>
          <w:tblHeader w:val="true"/>
        </w:trPr>
        <w:tc>
          <w:tcPr>
            <w:tcW w:type="dxa" w:w="3200"/>
            <w:shd w:fill="1A0637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ФАЙЛ</w:t>
            </w:r>
          </w:p>
        </w:tc>
        <w:tc>
          <w:tcPr>
            <w:tcW w:type="dxa" w:w="6100"/>
            <w:shd w:fill="1A0637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НАЗНАЧЕНИЕ</w:t>
            </w:r>
          </w:p>
        </w:tc>
      </w:tr>
      <w:tr>
        <w:tc>
          <w:tcPr>
            <w:tcW w:type="dxa" w:w="3200"/>
            <w:shd w:fill="FFFFFF"/>
            <w:tcBorders>
              <w:top w:val="single" w:sz="5" w:color="D9D0E8"/>
              <w:left w:val="single" w:sz="5" w:color="D9D0E8"/>
              <w:bottom w:val="single" w:sz="5" w:color="D9D0E8"/>
              <w:right w:val="single" w:sz="5" w:color="D9D0E8"/>
              <w:insideH w:val="single" w:sz="5" w:color="D9D0E8"/>
              <w:insideV w:val="single" w:sz="5" w:color="D9D0E8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24183A"/>
                <w:sz w:val="18"/>
              </w:rPr>
              <w:t>Синтаксический суп.html</w:t>
            </w:r>
          </w:p>
        </w:tc>
        <w:tc>
          <w:tcPr>
            <w:tcW w:type="dxa" w:w="6100"/>
            <w:shd w:fill="FFFFFF"/>
            <w:tcBorders>
              <w:top w:val="single" w:sz="5" w:color="D9D0E8"/>
              <w:left w:val="single" w:sz="5" w:color="D9D0E8"/>
              <w:bottom w:val="single" w:sz="5" w:color="D9D0E8"/>
              <w:right w:val="single" w:sz="5" w:color="D9D0E8"/>
              <w:insideH w:val="single" w:sz="5" w:color="D9D0E8"/>
              <w:insideV w:val="single" w:sz="5" w:color="D9D0E8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4183A"/>
                <w:sz w:val="18"/>
              </w:rPr>
              <w:t>Готовая автономная игра.</w:t>
            </w:r>
          </w:p>
        </w:tc>
      </w:tr>
      <w:tr>
        <w:tc>
          <w:tcPr>
            <w:tcW w:type="dxa" w:w="3200"/>
            <w:shd w:fill="F5F1FA"/>
            <w:tcBorders>
              <w:top w:val="single" w:sz="5" w:color="D9D0E8"/>
              <w:left w:val="single" w:sz="5" w:color="D9D0E8"/>
              <w:bottom w:val="single" w:sz="5" w:color="D9D0E8"/>
              <w:right w:val="single" w:sz="5" w:color="D9D0E8"/>
              <w:insideH w:val="single" w:sz="5" w:color="D9D0E8"/>
              <w:insideV w:val="single" w:sz="5" w:color="D9D0E8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24183A"/>
                <w:sz w:val="18"/>
              </w:rPr>
              <w:t>Обложка.png</w:t>
            </w:r>
          </w:p>
        </w:tc>
        <w:tc>
          <w:tcPr>
            <w:tcW w:type="dxa" w:w="6100"/>
            <w:shd w:fill="F5F1FA"/>
            <w:tcBorders>
              <w:top w:val="single" w:sz="5" w:color="D9D0E8"/>
              <w:left w:val="single" w:sz="5" w:color="D9D0E8"/>
              <w:bottom w:val="single" w:sz="5" w:color="D9D0E8"/>
              <w:right w:val="single" w:sz="5" w:color="D9D0E8"/>
              <w:insideH w:val="single" w:sz="5" w:color="D9D0E8"/>
              <w:insideV w:val="single" w:sz="5" w:color="D9D0E8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4183A"/>
                <w:sz w:val="18"/>
              </w:rPr>
              <w:t>Изображение для витрины, публикации или превью.</w:t>
            </w:r>
          </w:p>
        </w:tc>
      </w:tr>
      <w:tr>
        <w:tc>
          <w:tcPr>
            <w:tcW w:type="dxa" w:w="3200"/>
            <w:shd w:fill="FFFFFF"/>
            <w:tcBorders>
              <w:top w:val="single" w:sz="5" w:color="D9D0E8"/>
              <w:left w:val="single" w:sz="5" w:color="D9D0E8"/>
              <w:bottom w:val="single" w:sz="5" w:color="D9D0E8"/>
              <w:right w:val="single" w:sz="5" w:color="D9D0E8"/>
              <w:insideH w:val="single" w:sz="5" w:color="D9D0E8"/>
              <w:insideV w:val="single" w:sz="5" w:color="D9D0E8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24183A"/>
                <w:sz w:val="18"/>
              </w:rPr>
              <w:t>Карточка товара.docx</w:t>
            </w:r>
          </w:p>
        </w:tc>
        <w:tc>
          <w:tcPr>
            <w:tcW w:type="dxa" w:w="6100"/>
            <w:shd w:fill="FFFFFF"/>
            <w:tcBorders>
              <w:top w:val="single" w:sz="5" w:color="D9D0E8"/>
              <w:left w:val="single" w:sz="5" w:color="D9D0E8"/>
              <w:bottom w:val="single" w:sz="5" w:color="D9D0E8"/>
              <w:right w:val="single" w:sz="5" w:color="D9D0E8"/>
              <w:insideH w:val="single" w:sz="5" w:color="D9D0E8"/>
              <w:insideV w:val="single" w:sz="5" w:color="D9D0E8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4183A"/>
                <w:sz w:val="18"/>
              </w:rPr>
              <w:t>Короткое и полное описание продукта.</w:t>
            </w:r>
          </w:p>
        </w:tc>
      </w:tr>
      <w:tr>
        <w:tc>
          <w:tcPr>
            <w:tcW w:type="dxa" w:w="3200"/>
            <w:shd w:fill="F5F1FA"/>
            <w:tcBorders>
              <w:top w:val="single" w:sz="5" w:color="D9D0E8"/>
              <w:left w:val="single" w:sz="5" w:color="D9D0E8"/>
              <w:bottom w:val="single" w:sz="5" w:color="D9D0E8"/>
              <w:right w:val="single" w:sz="5" w:color="D9D0E8"/>
              <w:insideH w:val="single" w:sz="5" w:color="D9D0E8"/>
              <w:insideV w:val="single" w:sz="5" w:color="D9D0E8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24183A"/>
                <w:sz w:val="18"/>
              </w:rPr>
              <w:t>Ответы и промпт.docx</w:t>
            </w:r>
          </w:p>
        </w:tc>
        <w:tc>
          <w:tcPr>
            <w:tcW w:type="dxa" w:w="6100"/>
            <w:shd w:fill="F5F1FA"/>
            <w:tcBorders>
              <w:top w:val="single" w:sz="5" w:color="D9D0E8"/>
              <w:left w:val="single" w:sz="5" w:color="D9D0E8"/>
              <w:bottom w:val="single" w:sz="5" w:color="D9D0E8"/>
              <w:right w:val="single" w:sz="5" w:color="D9D0E8"/>
              <w:insideH w:val="single" w:sz="5" w:color="D9D0E8"/>
              <w:insideV w:val="single" w:sz="5" w:color="D9D0E8"/>
            </w:tcBorders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4183A"/>
                <w:sz w:val="18"/>
              </w:rPr>
              <w:t>Ключи ко всем заданиям и инструкция для обновления банка.</w:t>
            </w:r>
          </w:p>
        </w:tc>
      </w:tr>
    </w:tbl>
    <w:p>
      <w:pPr>
        <w:pStyle w:val="Heading2"/>
      </w:pPr>
      <w:r>
        <w:t>Как запустить</w:t>
      </w:r>
    </w:p>
    <w:p>
      <w:pPr>
        <w:pStyle w:val="ListNumber"/>
        <w:spacing w:after="80"/>
        <w:ind w:left="346" w:hanging="202"/>
      </w:pPr>
      <w:r>
        <w:t>Скачайте и сохраните HTML-файл на компьютер.</w:t>
      </w:r>
    </w:p>
    <w:p>
      <w:pPr>
        <w:pStyle w:val="ListNumber"/>
        <w:spacing w:after="80"/>
        <w:ind w:left="346" w:hanging="202"/>
      </w:pPr>
      <w:r>
        <w:t>Откройте его двойным щелчком в современном браузере.</w:t>
      </w:r>
    </w:p>
    <w:p>
      <w:pPr>
        <w:pStyle w:val="ListNumber"/>
        <w:spacing w:after="80"/>
        <w:ind w:left="346" w:hanging="202"/>
      </w:pPr>
      <w:r>
        <w:t>При старте один раз выберите режим и начинайте игру.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300"/>
            <w:shd w:fill="F0ECF8"/>
            <w:tcBorders>
              <w:top w:val="single" w:sz="10" w:color="76F7C5"/>
              <w:left w:val="single" w:sz="10" w:color="76F7C5"/>
              <w:bottom w:val="single" w:sz="10" w:color="76F7C5"/>
              <w:right w:val="single" w:sz="10" w:color="76F7C5"/>
              <w:insideH w:val="single" w:sz="10" w:color="76F7C5"/>
              <w:insideV w:val="single" w:sz="10" w:color="76F7C5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76F7C5"/>
                <w:sz w:val="18"/>
              </w:rPr>
              <w:t>ТЕХНИЧЕСКИЕ ТРЕБОВАНИЯ</w:t>
            </w:r>
          </w:p>
          <w:p>
            <w:pPr>
              <w:spacing w:after="0"/>
            </w:pPr>
            <w:r>
              <w:t>Современный браузер на компьютере или ноутбуке. Подключение к интернету, установка программ и отдельная папка с ассетами не нужны.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F6685"/>
        <w:sz w:val="16"/>
      </w:rPr>
      <w:t xml:space="preserve">стр.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b/>
        <w:color w:val="FF4F91"/>
        <w:sz w:val="15"/>
      </w:rPr>
      <w:t>СИНТАКСИЧЕСКИЙ СУП  •  КАРТОЧКА ТОВАРА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Arial" w:hAnsi="Arial"/>
      <w:color w:val="2418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A0637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FF4F9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3214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rial" w:hAnsi="Arial"/>
      <w:b/>
      <w:color w:val="1A0637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60" w:after="100"/>
    </w:pPr>
    <w:rPr>
      <w:rFonts w:asciiTheme="majorHAnsi" w:eastAsiaTheme="majorEastAsia" w:hAnsiTheme="majorHAnsi" w:cstheme="majorBidi" w:ascii="Arial" w:hAnsi="Arial"/>
      <w:b w:val="0"/>
      <w:i/>
      <w:iCs/>
      <w:color w:val="6F6685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Карточка товара</dc:title>
  <dc:subject>Материалы к интерактивной игре «Синтаксический суп»</dc:subject>
  <dc:creator>Анастасия Димитриева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