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Самарская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Самарской области о ежемесячном пособии на ребёнка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 и члены их семей, многодетные семьи, граждане с детьми</w:t>
      </w:r>
    </w:p>
    <w:p>
      <w:pPr>
        <w:pStyle w:val="ListBullet"/>
      </w:pPr>
      <w:r/>
      <w:r>
        <w:rPr>
          <w:b/>
        </w:rPr>
        <w:t>Суть:</w:t>
      </w:r>
      <w:r>
        <w:t xml:space="preserve"> Установлен пятилетний минимальный срок проживания в статусе гражданина РФ для получения ежемесячного пособия в связи с рождением и воспитанием ребёнка. Предусмотрены исключения для определённых категорий граждан, включая участников СВО и членов их семей. Для многодетных семей установлены послабления в части оценки доходов и однократный порядок применения льготных условий. Закон вступает в силу с 22 мая 2026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https://www.garant.ru/hotlaw/samara/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