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Регион: Свердловская область</w:t>
      </w:r>
    </w:p>
    <w:p>
      <w:pPr>
        <w:pStyle w:val="Heading2"/>
      </w:pPr>
      <w:r>
        <w:t>НПА за май 2026</w:t>
      </w:r>
    </w:p>
    <w:p>
      <w:pPr>
        <w:pStyle w:val="Heading3"/>
      </w:pPr>
      <w:r>
        <w:t>Закон Свердловской области о доступности туристических объектов для инвалидов — 30.05.2026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инвалиды</w:t>
      </w:r>
    </w:p>
    <w:p>
      <w:pPr>
        <w:pStyle w:val="ListBullet"/>
      </w:pPr>
      <w:r/>
      <w:r>
        <w:rPr>
          <w:b/>
        </w:rPr>
        <w:t>Суть:</w:t>
      </w:r>
      <w:r>
        <w:t xml:space="preserve"> Региональные законы (о социальной защите инвалидов, о защите прав ребёнка и о социальном обслуживании) дополнены положениями, направленными на обеспечение беспрепятственного доступа инвалидов к объектам туристской индустрии. Уточняются полномочия органов власти, порядок контроля и меры по обеспечению доступа.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https://www.garant.ru/hotlaw/sverdlovsk/</w:t>
      </w:r>
    </w:p>
    <w:p>
      <w:pPr>
        <w:pStyle w:val="Heading3"/>
      </w:pPr>
      <w:r>
        <w:t>Закон Свердловской области о знаке отличия «Жизнь во благо» за участие в СВО — 30.05.2026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участники СВО, волонтёры</w:t>
      </w:r>
    </w:p>
    <w:p>
      <w:pPr>
        <w:pStyle w:val="ListBullet"/>
      </w:pPr>
      <w:r/>
      <w:r>
        <w:rPr>
          <w:b/>
        </w:rPr>
        <w:t>Суть:</w:t>
      </w:r>
      <w:r>
        <w:t xml:space="preserve"> Перечень заслуг для награждения знаком отличия «Жизнь во благо» дополнен активным участием в волонтёрской деятельности. Лицо, имеющее выдающиеся достижения в осуществлении мероприятий, связанных с проведением СВО (в т.ч. оказание значительной помощи участникам СВО), может быть награждено вне зависимости от наличия почётной грамоты за волонтёрство.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https://www.garant.ru/hotlaw/sverdlovsk/</w:t>
      </w:r>
    </w:p>
    <w:p>
      <w:pPr>
        <w:pStyle w:val="Heading3"/>
      </w:pPr>
      <w:r>
        <w:t>Закон Свердловской области о мерах соцподдержки ветеранов и лиц с наградами — 30.05.2026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ветераны, граждане с почётными званиями и знаками отличия</w:t>
      </w:r>
    </w:p>
    <w:p>
      <w:pPr>
        <w:pStyle w:val="ListBullet"/>
      </w:pPr>
      <w:r/>
      <w:r>
        <w:rPr>
          <w:b/>
        </w:rPr>
        <w:t>Суть:</w:t>
      </w:r>
      <w:r>
        <w:t xml:space="preserve"> Внесены изменения в 7 региональных законов, регулирующих меры соцподдержки. В законе о соцподдержке ветеранов уточнено, что Правительство области устанавливает не только размер, но и порядок предоставления одной из мер поддержки. Введены беззаявительные порядки назначения пособий, механизмы индексации для лиц с почётными званиями («Почётный гражданин», «За заслуги», «Материнская доблесть», «Заслуженный учитель», «Трудовая доблесть Урала»). Срок рассмотрения по пособию на знак «Материнская доблесть» сокращён с 5 до 1 рабочего дня. Уточнены процедуры выплат вдовам. Закон вступает в силу с 1 июня 2026 года.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https://www.garant.ru/hotlaw/sverdlovsk/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