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Регион: Оренбургская область</w:t>
      </w:r>
    </w:p>
    <w:p>
      <w:pPr>
        <w:pStyle w:val="Heading2"/>
      </w:pPr>
      <w:r>
        <w:t>НПА за май 2026</w:t>
      </w:r>
    </w:p>
    <w:p>
      <w:pPr>
        <w:pStyle w:val="Heading3"/>
      </w:pPr>
      <w:r>
        <w:t>Постановление о единовременной выплате гражданам, призванным на военную службу — 16.05.2026</w:t>
      </w:r>
    </w:p>
    <w:p>
      <w:pPr>
        <w:pStyle w:val="ListBullet"/>
      </w:pPr>
      <w:r/>
      <w:r>
        <w:rPr>
          <w:b/>
        </w:rPr>
        <w:t>Кому:</w:t>
      </w:r>
      <w:r>
        <w:t xml:space="preserve"> граждане, заключившие контракт о прохождении военной службы в ВС РФ, мобилизованные</w:t>
      </w:r>
    </w:p>
    <w:p>
      <w:pPr>
        <w:pStyle w:val="ListBullet"/>
      </w:pPr>
      <w:r/>
      <w:r>
        <w:rPr>
          <w:b/>
        </w:rPr>
        <w:t>Суть:</w:t>
      </w:r>
      <w:r>
        <w:t xml:space="preserve"> Единовременная выплата в размере 700 000 рублей устанавливается лицам, заключившим с 1 мая по 31 декабря 2026 г. контракт о прохождении военной службы в ВС РФ сроком на 1 год и более. Мобилизованным гражданам — 400 000 рублей. Постановление вступает в силу после дня его официального опубликования, но не ранее 1 мая 2026 г.</w:t>
      </w:r>
    </w:p>
    <w:p>
      <w:pPr>
        <w:pStyle w:val="ListBullet"/>
      </w:pPr>
      <w:r/>
      <w:r>
        <w:rPr>
          <w:b/>
        </w:rPr>
        <w:t>Размеры/суммы:</w:t>
      </w:r>
      <w:r>
        <w:t xml:space="preserve"> 700 000 руб. (контракт), 400 000 руб. (мобилизованные)</w:t>
      </w:r>
    </w:p>
    <w:p>
      <w:pPr>
        <w:pStyle w:val="ListBullet"/>
      </w:pPr>
      <w:r/>
      <w:r>
        <w:rPr>
          <w:b/>
        </w:rPr>
        <w:t>Источник:</w:t>
      </w:r>
      <w:r>
        <w:t xml:space="preserve"> https://www.garant.ru/hotlaw/orenburg/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