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Shock Radar</w:t>
      </w:r>
    </w:p>
    <w:p>
      <w:pPr>
        <w:pStyle w:val="Subtitle"/>
      </w:pPr>
      <w:r>
        <w:rPr>
          <w:b w:val="0"/>
        </w:rPr>
        <w:t>Методология прогнозирования, обнаружения и интерпретации структурных изменений муниципальных потребительских расходов</w:t>
      </w:r>
    </w:p>
    <w:p>
      <w:r>
        <w:rPr>
          <w:b w:val="0"/>
        </w:rPr>
        <w:t>Итоговый исследовательский отчёт  •  Октябрь 2026</w:t>
      </w:r>
    </w:p>
    <w:p>
      <w:r>
        <w:rPr>
          <w:b w:val="0"/>
        </w:rPr>
        <w:t>Основа: финальная экспериментальная цепочка notebooks 00–06 и сохранённые конкурсные показатели.</w:t>
      </w:r>
    </w:p>
    <w:p/>
    <w:p>
      <w:pPr>
        <w:pStyle w:val="Heading1"/>
      </w:pPr>
      <w:r>
        <w:t>Аннотация</w:t>
      </w:r>
    </w:p>
    <w:p>
      <w:r>
        <w:rPr>
          <w:b w:val="0"/>
        </w:rPr>
        <w:t>Shock Radar — аналитический pipeline, использующий прогноз ожидаемых потребительских расходов как базу для выявления статистически необычных изменений в муниципальных временных рядах. Система группирует сигналы в эпизоды, выполняет безопасную межкатегориальную атрибуцию, ранжирует эпизоды и сопоставляет наиболее приоритетные случаи с внешними событиями. Результаты синтетического теста не трактуются как доказательства экономических причин реальных отклонений.</w:t>
      </w:r>
    </w:p>
    <w:p>
      <w:pPr>
        <w:pStyle w:val="Heading1"/>
      </w:pPr>
      <w:r>
        <w:t>Ключевые результаты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Блок</w:t>
            </w:r>
          </w:p>
        </w:tc>
        <w:tc>
          <w:tcPr>
            <w:tcW w:type="dxa" w:w="4910"/>
          </w:tcPr>
          <w:p>
            <w:r>
              <w:t>Итог</w:t>
            </w:r>
          </w:p>
        </w:tc>
      </w:tr>
      <w:tr>
        <w:tc>
          <w:tcPr>
            <w:tcW w:type="dxa" w:w="4910"/>
          </w:tcPr>
          <w:p>
            <w:r>
              <w:t>Prophet vs reference ensemble</w:t>
            </w:r>
          </w:p>
        </w:tc>
        <w:tc>
          <w:tcPr>
            <w:tcW w:type="dxa" w:w="4910"/>
          </w:tcPr>
          <w:p>
            <w:r>
              <w:t>MAE 1428.0021 vs 761.9164; −46.64%</w:t>
            </w:r>
          </w:p>
        </w:tc>
      </w:tr>
      <w:tr>
        <w:tc>
          <w:tcPr>
            <w:tcW w:type="dxa" w:w="4910"/>
          </w:tcPr>
          <w:p>
            <w:r>
              <w:t>Jun–Sep residual challenger</w:t>
            </w:r>
          </w:p>
        </w:tc>
        <w:tc>
          <w:tcPr>
            <w:tcW w:type="dxa" w:w="4910"/>
          </w:tcPr>
          <w:p>
            <w:r>
              <w:t>MAE 758.3391 vs 761.9164</w:t>
            </w:r>
          </w:p>
        </w:tc>
      </w:tr>
      <w:tr>
        <w:tc>
          <w:tcPr>
            <w:tcW w:type="dxa" w:w="4910"/>
          </w:tcPr>
          <w:p>
            <w:r>
              <w:t>Oct–Nov online adaptive</w:t>
            </w:r>
          </w:p>
        </w:tc>
        <w:tc>
          <w:tcPr>
            <w:tcW w:type="dxa" w:w="4910"/>
          </w:tcPr>
          <w:p>
            <w:r>
              <w:t>MAE 834.3311 vs 880.3969</w:t>
            </w:r>
          </w:p>
        </w:tc>
      </w:tr>
      <w:tr>
        <w:tc>
          <w:tcPr>
            <w:tcW w:type="dxa" w:w="4910"/>
          </w:tcPr>
          <w:p>
            <w:r>
              <w:t>Synthetic TEST detection</w:t>
            </w:r>
          </w:p>
        </w:tc>
        <w:tc>
          <w:tcPr>
            <w:tcW w:type="dxa" w:w="4910"/>
          </w:tcPr>
          <w:p>
            <w:r>
              <w:t>Event Recall 65.71% vs 56.23%; +478 событий</w:t>
            </w:r>
          </w:p>
        </w:tc>
      </w:tr>
      <w:tr>
        <w:tc>
          <w:tcPr>
            <w:tcW w:type="dxa" w:w="4910"/>
          </w:tcPr>
          <w:p>
            <w:r>
              <w:t>Operational 2024</w:t>
            </w:r>
          </w:p>
        </w:tc>
        <w:tc>
          <w:tcPr>
            <w:tcW w:type="dxa" w:w="4910"/>
          </w:tcPr>
          <w:p>
            <w:r>
              <w:t>975 сигналов → 826 эпизодов</w:t>
            </w:r>
          </w:p>
        </w:tc>
      </w:tr>
      <w:tr>
        <w:tc>
          <w:tcPr>
            <w:tcW w:type="dxa" w:w="4910"/>
          </w:tcPr>
          <w:p>
            <w:r>
              <w:t>External audit TOP-10</w:t>
            </w:r>
          </w:p>
        </w:tc>
        <w:tc>
          <w:tcPr>
            <w:tcW w:type="dxa" w:w="4910"/>
          </w:tcPr>
          <w:p>
            <w:r>
              <w:t>3 strong / 3 possible / 2 without link / 2 unclear</w:t>
            </w:r>
          </w:p>
        </w:tc>
      </w:tr>
    </w:tbl>
    <w:p>
      <w:pPr>
        <w:pStyle w:val="Heading1"/>
      </w:pPr>
      <w:r>
        <w:t>1. Постановка задачи</w:t>
      </w:r>
    </w:p>
    <w:p>
      <w:r>
        <w:rPr>
          <w:b w:val="0"/>
        </w:rPr>
        <w:t>Цель работы — выделять локальные изменения потребительской активности на уровне муниципальных образований, отличающиеся от ожидаемой сезонной и общей динамики. Подход решает две связанные, но самостоятельные задачи: прогноз будущих значений и обнаружение структурных отклонений от прогноза. Прогнозная ошибка используется как диагностический сигнал, а не как самостоятельное доказательство шока.</w:t>
      </w:r>
    </w:p>
    <w:p>
      <w:pPr>
        <w:pStyle w:val="Heading1"/>
      </w:pPr>
      <w:r>
        <w:t>2. Источники и подготовка данных</w:t>
      </w:r>
    </w:p>
    <w:p>
      <w:r>
        <w:rPr>
          <w:b w:val="0"/>
        </w:rPr>
        <w:t>Основной набор данных — СберИндекс «Потребительские безналичные расходы на уровне муниципальных образований». В подготовке и географическом сопоставлении дополнительно использовались справочники ОКТМО за 2023 и 2024 годы. Проведён аудит 303 126 исходных строк, восстановлена идентичность муниципальных временных рядов, проработана проблема совпадающих названий муниципальных образований.</w:t>
      </w:r>
    </w:p>
    <w:p>
      <w:pPr>
        <w:pStyle w:val="ListBullet"/>
      </w:pPr>
      <w:r>
        <w:t>2 016 полных временных рядов категории «Все категории».</w:t>
      </w:r>
    </w:p>
    <w:p>
      <w:pPr>
        <w:pStyle w:val="ListBullet"/>
      </w:pPr>
      <w:r>
        <w:t>12 096 полных рядов по шести потребительским категориям.</w:t>
      </w:r>
    </w:p>
    <w:p>
      <w:pPr>
        <w:pStyle w:val="ListBullet"/>
      </w:pPr>
      <w:r>
        <w:t>Межкатегориальное сопоставление выполняется только при безопасно установленной идентичности ряда; неуверенные сопоставления исключаются.</w:t>
      </w:r>
    </w:p>
    <w:p>
      <w:r>
        <w:rPr>
          <w:b w:val="0"/>
        </w:rPr>
        <w:t>Объект анализа — муниципальный ряд (series_id), период — месяц. Исходный анализ охватывает 2023–2024 годы. Географические имена не используются как единственный ключ соединения.</w:t>
      </w:r>
    </w:p>
    <w:p>
      <w:pPr>
        <w:pStyle w:val="Heading1"/>
      </w:pPr>
      <w:r>
        <w:t>3. Архитектура системы</w:t>
      </w:r>
    </w:p>
    <w:p>
      <w:r>
        <w:rPr>
          <w:b w:val="0"/>
        </w:rPr>
        <w:t>SberIndex → восстановление рядов → forecasting → forecast surprise → size-aware detector → месячные сигналы → shock episodes → категориальная атрибуция → приоритет → внешний аудит.</w:t>
      </w:r>
    </w:p>
    <w:p>
      <w:r>
        <w:rPr>
          <w:b w:val="0"/>
        </w:rPr>
        <w:t>Архитектура разделяет наблюдаемые расходы, ожидаемый уровень, сигнал отклонения и интерпретацию. Внешние новости не влияют на первоначальное решение детектора: они подключаются после фиксации сигналов, эпизодов и их приоритетов.</w:t>
      </w:r>
    </w:p>
    <w:p>
      <w:pPr>
        <w:pStyle w:val="Heading1"/>
      </w:pPr>
      <w:r>
        <w:t>4. Прогнозирование и протокол сравнения</w:t>
      </w:r>
    </w:p>
    <w:p>
      <w:pPr>
        <w:pStyle w:val="Heading2"/>
      </w:pPr>
      <w:r>
        <w:t>4.1. Единый benchmark против Prophet</w:t>
      </w:r>
    </w:p>
    <w:p>
      <w:r>
        <w:rPr>
          <w:b w:val="0"/>
        </w:rPr>
        <w:t>Исторический multi-horizon benchmark использует 2 016 муниципальных рядов, четыре forecast origins (июнь–сентябрь 2024 года) и горизонты h=1,2,3. Всего 24 192 одинаковые прогнозные ячейки на модель. Качество измеряется MAE; R² дан дополнительно. Для каждого origin модель должна использовать только доступную историю.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</w:tcPr>
          <w:p>
            <w:r>
              <w:t>Метод</w:t>
            </w:r>
          </w:p>
        </w:tc>
        <w:tc>
          <w:tcPr>
            <w:tcW w:type="dxa" w:w="3274"/>
          </w:tcPr>
          <w:p>
            <w:r>
              <w:t>MAE</w:t>
            </w:r>
          </w:p>
        </w:tc>
        <w:tc>
          <w:tcPr>
            <w:tcW w:type="dxa" w:w="3274"/>
          </w:tcPr>
          <w:p>
            <w:r>
              <w:t>R²</w:t>
            </w:r>
          </w:p>
        </w:tc>
      </w:tr>
      <w:tr>
        <w:tc>
          <w:tcPr>
            <w:tcW w:type="dxa" w:w="3274"/>
          </w:tcPr>
          <w:p>
            <w:r>
              <w:t>Reference ensemble</w:t>
            </w:r>
          </w:p>
        </w:tc>
        <w:tc>
          <w:tcPr>
            <w:tcW w:type="dxa" w:w="3274"/>
          </w:tcPr>
          <w:p>
            <w:r>
              <w:t>761.9164</w:t>
            </w:r>
          </w:p>
        </w:tc>
        <w:tc>
          <w:tcPr>
            <w:tcW w:type="dxa" w:w="3274"/>
          </w:tcPr>
          <w:p>
            <w:r>
              <w:t>0.9913</w:t>
            </w:r>
          </w:p>
        </w:tc>
      </w:tr>
      <w:tr>
        <w:tc>
          <w:tcPr>
            <w:tcW w:type="dxa" w:w="3274"/>
          </w:tcPr>
          <w:p>
            <w:r>
              <w:t>Chronos relative</w:t>
            </w:r>
          </w:p>
        </w:tc>
        <w:tc>
          <w:tcPr>
            <w:tcW w:type="dxa" w:w="3274"/>
          </w:tcPr>
          <w:p>
            <w:r>
              <w:t>885.7636</w:t>
            </w:r>
          </w:p>
        </w:tc>
        <w:tc>
          <w:tcPr>
            <w:tcW w:type="dxa" w:w="3274"/>
          </w:tcPr>
          <w:p>
            <w:r>
              <w:t>0.9883</w:t>
            </w:r>
          </w:p>
        </w:tc>
      </w:tr>
      <w:tr>
        <w:tc>
          <w:tcPr>
            <w:tcW w:type="dxa" w:w="3274"/>
          </w:tcPr>
          <w:p>
            <w:r>
              <w:t>ETS relative</w:t>
            </w:r>
          </w:p>
        </w:tc>
        <w:tc>
          <w:tcPr>
            <w:tcW w:type="dxa" w:w="3274"/>
          </w:tcPr>
          <w:p>
            <w:r>
              <w:t>925.7915</w:t>
            </w:r>
          </w:p>
        </w:tc>
        <w:tc>
          <w:tcPr>
            <w:tcW w:type="dxa" w:w="3274"/>
          </w:tcPr>
          <w:p>
            <w:r>
              <w:t>0.9849</w:t>
            </w:r>
          </w:p>
        </w:tc>
      </w:tr>
      <w:tr>
        <w:tc>
          <w:tcPr>
            <w:tcW w:type="dxa" w:w="3274"/>
          </w:tcPr>
          <w:p>
            <w:r>
              <w:t>Factor anchor</w:t>
            </w:r>
          </w:p>
        </w:tc>
        <w:tc>
          <w:tcPr>
            <w:tcW w:type="dxa" w:w="3274"/>
          </w:tcPr>
          <w:p>
            <w:r>
              <w:t>939.2651</w:t>
            </w:r>
          </w:p>
        </w:tc>
        <w:tc>
          <w:tcPr>
            <w:tcW w:type="dxa" w:w="3274"/>
          </w:tcPr>
          <w:p>
            <w:r>
              <w:t>0.9839</w:t>
            </w:r>
          </w:p>
        </w:tc>
      </w:tr>
      <w:tr>
        <w:tc>
          <w:tcPr>
            <w:tcW w:type="dxa" w:w="3274"/>
          </w:tcPr>
          <w:p>
            <w:r>
              <w:t>Seasonal Growth</w:t>
            </w:r>
          </w:p>
        </w:tc>
        <w:tc>
          <w:tcPr>
            <w:tcW w:type="dxa" w:w="3274"/>
          </w:tcPr>
          <w:p>
            <w:r>
              <w:t>995.0258</w:t>
            </w:r>
          </w:p>
        </w:tc>
        <w:tc>
          <w:tcPr>
            <w:tcW w:type="dxa" w:w="3274"/>
          </w:tcPr>
          <w:p>
            <w:r>
              <w:t>0.9871</w:t>
            </w:r>
          </w:p>
        </w:tc>
      </w:tr>
      <w:tr>
        <w:tc>
          <w:tcPr>
            <w:tcW w:type="dxa" w:w="3274"/>
          </w:tcPr>
          <w:p>
            <w:r>
              <w:t>Prophet</w:t>
            </w:r>
          </w:p>
        </w:tc>
        <w:tc>
          <w:tcPr>
            <w:tcW w:type="dxa" w:w="3274"/>
          </w:tcPr>
          <w:p>
            <w:r>
              <w:t>1428.0021</w:t>
            </w:r>
          </w:p>
        </w:tc>
        <w:tc>
          <w:tcPr>
            <w:tcW w:type="dxa" w:w="3274"/>
          </w:tcPr>
          <w:p>
            <w:r>
              <w:t>0.9711</w:t>
            </w:r>
          </w:p>
        </w:tc>
      </w:tr>
    </w:tbl>
    <w:p>
      <w:r>
        <w:rPr>
          <w:b w:val="0"/>
        </w:rPr>
        <w:t>Reference Ensemble = равновесная смесь Chronos relative, ETS relative и Seasonal Growth; reconstruction audit дал нулевое расхождение. Улучшение относительно Prophet составило 46.64% по MAE на тех же ячейках.</w:t>
      </w:r>
    </w:p>
    <w:p>
      <w:pPr>
        <w:pStyle w:val="Heading2"/>
      </w:pPr>
      <w:r>
        <w:t>4.2. Challenger и forward-проверка</w:t>
      </w:r>
    </w:p>
    <w:p>
      <w:r>
        <w:rPr>
          <w:b w:val="0"/>
        </w:rPr>
        <w:t>Для Jun–Sep поверх reference использована консервативная cross-sectional residual correction: MAE 761.9164 → 758.3391 (−0.47%). Это малое улучшение и не является доказательством качественного скачка модели. Jun–Sep — development/challenger benchmark, а не untouched holdout.</w:t>
      </w:r>
    </w:p>
    <w:p>
      <w:r>
        <w:rPr>
          <w:b w:val="0"/>
        </w:rPr>
        <w:t>На отдельном позднем Oct–Nov forward-периоде сравниваются reference (880.3969), статическая смесь Panel AR / Seasonal 45/55 (858.8102) и Online adaptive ensemble (834.3311). Улучшение online adaptive составляет 46.066 MAE относительно reference и 24.479 MAE относительно static. Эти MAE нельзя напрямую сравнивать с Jun–Sep из-за других временных окон.</w:t>
      </w:r>
    </w:p>
    <w:p>
      <w:pPr>
        <w:pStyle w:val="Heading1"/>
      </w:pPr>
      <w:r>
        <w:t>5. Обнаружение структурных изменений</w:t>
      </w:r>
    </w:p>
    <w:p>
      <w:r>
        <w:rPr>
          <w:b w:val="0"/>
        </w:rPr>
        <w:t>Size-aware forecast-surprise detector оценивает отклонение наблюдаемого ряда от ожидаемого уровня с поправкой на масштаб ряда. Цель — высокое event-level обнаружение при контроле фоновых ложных тревог. Параметры и пороги замораживаются до независимого synthetic TEST.</w:t>
      </w:r>
    </w:p>
    <w:p>
      <w:pPr>
        <w:pStyle w:val="Heading2"/>
      </w:pPr>
      <w:r>
        <w:t>5.1. Независимая synthetic-проверка</w:t>
      </w:r>
    </w:p>
    <w:p>
      <w:r>
        <w:rPr>
          <w:b w:val="0"/>
        </w:rPr>
        <w:t>Тест содержит 5 040 контролируемых событий структурного изменения. Сравниваются контрольный cross-sectional detector, Size-aware, CUSUM и Page–Hinkley. Классические пороги CUSUM=5.0 и Page–Hinkley=4.5 зафиксированы на DEV до TEST.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c>
          <w:tcPr>
            <w:tcW w:type="dxa" w:w="1964"/>
          </w:tcPr>
          <w:p>
            <w:r>
              <w:t>Метод</w:t>
            </w:r>
          </w:p>
        </w:tc>
        <w:tc>
          <w:tcPr>
            <w:tcW w:type="dxa" w:w="1964"/>
          </w:tcPr>
          <w:p>
            <w:r>
              <w:t>Event Recall</w:t>
            </w:r>
          </w:p>
        </w:tc>
        <w:tc>
          <w:tcPr>
            <w:tcW w:type="dxa" w:w="1964"/>
          </w:tcPr>
          <w:p>
            <w:r>
              <w:t>FAR/100</w:t>
            </w:r>
          </w:p>
        </w:tc>
        <w:tc>
          <w:tcPr>
            <w:tcW w:type="dxa" w:w="1964"/>
          </w:tcPr>
          <w:p>
            <w:r>
              <w:t>Mean delay</w:t>
            </w:r>
          </w:p>
        </w:tc>
        <w:tc>
          <w:tcPr>
            <w:tcW w:type="dxa" w:w="1964"/>
          </w:tcPr>
          <w:p>
            <w:r>
              <w:t>Month F1</w:t>
            </w:r>
          </w:p>
        </w:tc>
      </w:tr>
      <w:tr>
        <w:tc>
          <w:tcPr>
            <w:tcW w:type="dxa" w:w="1964"/>
          </w:tcPr>
          <w:p>
            <w:r>
              <w:t>Cross-sectional</w:t>
            </w:r>
          </w:p>
        </w:tc>
        <w:tc>
          <w:tcPr>
            <w:tcW w:type="dxa" w:w="1964"/>
          </w:tcPr>
          <w:p>
            <w:r>
              <w:t>56.23%</w:t>
            </w:r>
          </w:p>
        </w:tc>
        <w:tc>
          <w:tcPr>
            <w:tcW w:type="dxa" w:w="1964"/>
          </w:tcPr>
          <w:p>
            <w:r>
              <w:t>3.2238</w:t>
            </w:r>
          </w:p>
        </w:tc>
        <w:tc>
          <w:tcPr>
            <w:tcW w:type="dxa" w:w="1964"/>
          </w:tcPr>
          <w:p>
            <w:r>
              <w:t>0.0515</w:t>
            </w:r>
          </w:p>
        </w:tc>
        <w:tc>
          <w:tcPr>
            <w:tcW w:type="dxa" w:w="1964"/>
          </w:tcPr>
          <w:p>
            <w:r>
              <w:t>20.56%</w:t>
            </w:r>
          </w:p>
        </w:tc>
      </w:tr>
      <w:tr>
        <w:tc>
          <w:tcPr>
            <w:tcW w:type="dxa" w:w="1964"/>
          </w:tcPr>
          <w:p>
            <w:r>
              <w:t>Size-aware</w:t>
            </w:r>
          </w:p>
        </w:tc>
        <w:tc>
          <w:tcPr>
            <w:tcW w:type="dxa" w:w="1964"/>
          </w:tcPr>
          <w:p>
            <w:r>
              <w:t>65.71%</w:t>
            </w:r>
          </w:p>
        </w:tc>
        <w:tc>
          <w:tcPr>
            <w:tcW w:type="dxa" w:w="1964"/>
          </w:tcPr>
          <w:p>
            <w:r>
              <w:t>3.4483</w:t>
            </w:r>
          </w:p>
        </w:tc>
        <w:tc>
          <w:tcPr>
            <w:tcW w:type="dxa" w:w="1964"/>
          </w:tcPr>
          <w:p>
            <w:r>
              <w:t>0.0851</w:t>
            </w:r>
          </w:p>
        </w:tc>
        <w:tc>
          <w:tcPr>
            <w:tcW w:type="dxa" w:w="1964"/>
          </w:tcPr>
          <w:p>
            <w:r>
              <w:t>35.57%</w:t>
            </w:r>
          </w:p>
        </w:tc>
      </w:tr>
      <w:tr>
        <w:tc>
          <w:tcPr>
            <w:tcW w:type="dxa" w:w="1964"/>
          </w:tcPr>
          <w:p>
            <w:r>
              <w:t>CUSUM</w:t>
            </w:r>
          </w:p>
        </w:tc>
        <w:tc>
          <w:tcPr>
            <w:tcW w:type="dxa" w:w="1964"/>
          </w:tcPr>
          <w:p>
            <w:r>
              <w:t>50.75%</w:t>
            </w:r>
          </w:p>
        </w:tc>
        <w:tc>
          <w:tcPr>
            <w:tcW w:type="dxa" w:w="1964"/>
          </w:tcPr>
          <w:p>
            <w:r>
              <w:t>3.2238</w:t>
            </w:r>
          </w:p>
        </w:tc>
        <w:tc>
          <w:tcPr>
            <w:tcW w:type="dxa" w:w="1964"/>
          </w:tcPr>
          <w:p>
            <w:r>
              <w:t>0.5301</w:t>
            </w:r>
          </w:p>
        </w:tc>
        <w:tc>
          <w:tcPr>
            <w:tcW w:type="dxa" w:w="1964"/>
          </w:tcPr>
          <w:p>
            <w:r>
              <w:t>55.35%</w:t>
            </w:r>
          </w:p>
        </w:tc>
      </w:tr>
      <w:tr>
        <w:tc>
          <w:tcPr>
            <w:tcW w:type="dxa" w:w="1964"/>
          </w:tcPr>
          <w:p>
            <w:r>
              <w:t>Page–Hinkley</w:t>
            </w:r>
          </w:p>
        </w:tc>
        <w:tc>
          <w:tcPr>
            <w:tcW w:type="dxa" w:w="1964"/>
          </w:tcPr>
          <w:p>
            <w:r>
              <w:t>44.76%</w:t>
            </w:r>
          </w:p>
        </w:tc>
        <w:tc>
          <w:tcPr>
            <w:tcW w:type="dxa" w:w="1964"/>
          </w:tcPr>
          <w:p>
            <w:r>
              <w:t>3.4468</w:t>
            </w:r>
          </w:p>
        </w:tc>
        <w:tc>
          <w:tcPr>
            <w:tcW w:type="dxa" w:w="1964"/>
          </w:tcPr>
          <w:p>
            <w:r>
              <w:t>0.2983</w:t>
            </w:r>
          </w:p>
        </w:tc>
        <w:tc>
          <w:tcPr>
            <w:tcW w:type="dxa" w:w="1964"/>
          </w:tcPr>
          <w:p>
            <w:r>
              <w:t>32.96%</w:t>
            </w:r>
          </w:p>
        </w:tc>
      </w:tr>
    </w:tbl>
    <w:p>
      <w:r>
        <w:rPr>
          <w:b w:val="0"/>
        </w:rPr>
        <w:t>Size-aware обнаружил 3 312 событий против 2 834 у reference (+478; +9.48 п.п.). Cluster bootstrap по муниципальным рядам даёт 95%-интервал прироста Event Recall [7.92; 10.52] п.п. Рост фоновых ложных тревог составил около 0.225 на 100 фоновых ряд-месяцев. CUSUM лидирует по Month F1, поэтому Size-aware выбран именно по приоритетной event-level метрике, а не как универсально лучший алгоритм.</w:t>
      </w:r>
    </w:p>
    <w:p>
      <w:pPr>
        <w:pStyle w:val="Heading1"/>
      </w:pPr>
      <w:r>
        <w:t>6. Operational Shock Radar и атрибуция</w:t>
      </w:r>
    </w:p>
    <w:p>
      <w:r>
        <w:rPr>
          <w:b w:val="0"/>
        </w:rPr>
        <w:t>На панели 2024 года сформировано 975 месячных сигналов в 546 муниципальных рядах. Сигналы объединены в 826 shock episodes; для 776 эпизодов доступно безопасное межкатегориальное сопоставление, а для 639 определена хотя бы одна категория, удовлетворяющая критерию сильного согласованного изменения.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3274"/>
          </w:tcPr>
          <w:p>
            <w:r>
              <w:t>Профиль эпизода</w:t>
            </w:r>
          </w:p>
        </w:tc>
        <w:tc>
          <w:tcPr>
            <w:tcW w:type="dxa" w:w="3274"/>
          </w:tcPr>
          <w:p>
            <w:r>
              <w:t>Число</w:t>
            </w:r>
          </w:p>
        </w:tc>
        <w:tc>
          <w:tcPr>
            <w:tcW w:type="dxa" w:w="3274"/>
          </w:tcPr>
          <w:p>
            <w:r>
              <w:t>Доля</w:t>
            </w:r>
          </w:p>
        </w:tc>
      </w:tr>
      <w:tr>
        <w:tc>
          <w:tcPr>
            <w:tcW w:type="dxa" w:w="3274"/>
          </w:tcPr>
          <w:p>
            <w:r>
              <w:t>Sectoral</w:t>
            </w:r>
          </w:p>
        </w:tc>
        <w:tc>
          <w:tcPr>
            <w:tcW w:type="dxa" w:w="3274"/>
          </w:tcPr>
          <w:p>
            <w:r>
              <w:t>474</w:t>
            </w:r>
          </w:p>
        </w:tc>
        <w:tc>
          <w:tcPr>
            <w:tcW w:type="dxa" w:w="3274"/>
          </w:tcPr>
          <w:p>
            <w:r>
              <w:t>57.38%</w:t>
            </w:r>
          </w:p>
        </w:tc>
      </w:tr>
      <w:tr>
        <w:tc>
          <w:tcPr>
            <w:tcW w:type="dxa" w:w="3274"/>
          </w:tcPr>
          <w:p>
            <w:r>
              <w:t>Broad local</w:t>
            </w:r>
          </w:p>
        </w:tc>
        <w:tc>
          <w:tcPr>
            <w:tcW w:type="dxa" w:w="3274"/>
          </w:tcPr>
          <w:p>
            <w:r>
              <w:t>165</w:t>
            </w:r>
          </w:p>
        </w:tc>
        <w:tc>
          <w:tcPr>
            <w:tcW w:type="dxa" w:w="3274"/>
          </w:tcPr>
          <w:p>
            <w:r>
              <w:t>19.98%</w:t>
            </w:r>
          </w:p>
        </w:tc>
      </w:tr>
      <w:tr>
        <w:tc>
          <w:tcPr>
            <w:tcW w:type="dxa" w:w="3274"/>
          </w:tcPr>
          <w:p>
            <w:r>
              <w:t>Weak / mixed</w:t>
            </w:r>
          </w:p>
        </w:tc>
        <w:tc>
          <w:tcPr>
            <w:tcW w:type="dxa" w:w="3274"/>
          </w:tcPr>
          <w:p>
            <w:r>
              <w:t>137</w:t>
            </w:r>
          </w:p>
        </w:tc>
        <w:tc>
          <w:tcPr>
            <w:tcW w:type="dxa" w:w="3274"/>
          </w:tcPr>
          <w:p>
            <w:r>
              <w:t>16.59%</w:t>
            </w:r>
          </w:p>
        </w:tc>
      </w:tr>
      <w:tr>
        <w:tc>
          <w:tcPr>
            <w:tcW w:type="dxa" w:w="3274"/>
          </w:tcPr>
          <w:p>
            <w:r>
              <w:t>Unavailable</w:t>
            </w:r>
          </w:p>
        </w:tc>
        <w:tc>
          <w:tcPr>
            <w:tcW w:type="dxa" w:w="3274"/>
          </w:tcPr>
          <w:p>
            <w:r>
              <w:t>50</w:t>
            </w:r>
          </w:p>
        </w:tc>
        <w:tc>
          <w:tcPr>
            <w:tcW w:type="dxa" w:w="3274"/>
          </w:tcPr>
          <w:p>
            <w:r>
              <w:t>6.05%</w:t>
            </w:r>
          </w:p>
        </w:tc>
      </w:tr>
    </w:tbl>
    <w:p>
      <w:r>
        <w:rPr>
          <w:b w:val="0"/>
        </w:rPr>
        <w:t>В TOP-40 приоритетных эпизодов 28 broad_local, 10 sectoral и 2 weak/mixed. Main driver интерпретируется как статистически согласованная категория, не как доказанный денежный вклад либо причина.</w:t>
      </w:r>
    </w:p>
    <w:p>
      <w:pPr>
        <w:pStyle w:val="Heading1"/>
      </w:pPr>
      <w:r>
        <w:t>7. External Validation</w:t>
      </w:r>
    </w:p>
    <w:p>
      <w:r>
        <w:rPr>
          <w:b w:val="0"/>
        </w:rPr>
        <w:t>Для постфактум-проверки до изучения внешних источников зафиксированы первые десять эпизодов по priority_rank. Географическое, временное, направленное и категориальное соответствие оцениваются отдельно.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Evidence status</w:t>
            </w:r>
          </w:p>
        </w:tc>
        <w:tc>
          <w:tcPr>
            <w:tcW w:type="dxa" w:w="4910"/>
          </w:tcPr>
          <w:p>
            <w:r>
              <w:t>Эпизодов</w:t>
            </w:r>
          </w:p>
        </w:tc>
      </w:tr>
      <w:tr>
        <w:tc>
          <w:tcPr>
            <w:tcW w:type="dxa" w:w="4910"/>
          </w:tcPr>
          <w:p>
            <w:r>
              <w:t>Strong match</w:t>
            </w:r>
          </w:p>
        </w:tc>
        <w:tc>
          <w:tcPr>
            <w:tcW w:type="dxa" w:w="4910"/>
          </w:tcPr>
          <w:p>
            <w:r>
              <w:t>3</w:t>
            </w:r>
          </w:p>
        </w:tc>
      </w:tr>
      <w:tr>
        <w:tc>
          <w:tcPr>
            <w:tcW w:type="dxa" w:w="4910"/>
          </w:tcPr>
          <w:p>
            <w:r>
              <w:t>Possible match</w:t>
            </w:r>
          </w:p>
        </w:tc>
        <w:tc>
          <w:tcPr>
            <w:tcW w:type="dxa" w:w="4910"/>
          </w:tcPr>
          <w:p>
            <w:r>
              <w:t>3</w:t>
            </w:r>
          </w:p>
        </w:tc>
      </w:tr>
      <w:tr>
        <w:tc>
          <w:tcPr>
            <w:tcW w:type="dxa" w:w="4910"/>
          </w:tcPr>
          <w:p>
            <w:r>
              <w:t>External event without clear link</w:t>
            </w:r>
          </w:p>
        </w:tc>
        <w:tc>
          <w:tcPr>
            <w:tcW w:type="dxa" w:w="4910"/>
          </w:tcPr>
          <w:p>
            <w:r>
              <w:t>2</w:t>
            </w:r>
          </w:p>
        </w:tc>
      </w:tr>
      <w:tr>
        <w:tc>
          <w:tcPr>
            <w:tcW w:type="dxa" w:w="4910"/>
          </w:tcPr>
          <w:p>
            <w:r>
              <w:t>No clear explanation</w:t>
            </w:r>
          </w:p>
        </w:tc>
        <w:tc>
          <w:tcPr>
            <w:tcW w:type="dxa" w:w="4910"/>
          </w:tcPr>
          <w:p>
            <w:r>
              <w:t>2</w:t>
            </w:r>
          </w:p>
        </w:tc>
      </w:tr>
    </w:tbl>
    <w:p>
      <w:r>
        <w:rPr>
          <w:b w:val="0"/>
        </w:rPr>
        <w:t>Три сильных соответствия (Киевский, Кокошкино, Щаповское) относятся к одной московской административной реформе мая 2024 года; это не три независимых экономических подтверждения. Для Бай-Тайгинского сохранён possible_match ввиду невозможности надёжно привязать начало задолженности по заработной плате к конкретному месяцу. Шесть из десяти соответствий не следует обозначать как 60% precision детектора.</w:t>
      </w:r>
    </w:p>
    <w:p>
      <w:pPr>
        <w:pStyle w:val="Heading1"/>
      </w:pPr>
      <w:r>
        <w:t>8. News Alignment Layer</w:t>
      </w:r>
    </w:p>
    <w:p>
      <w:r>
        <w:rPr>
          <w:b w:val="0"/>
        </w:rPr>
        <w:t>Создан структурированный реестр внешних событий с event_id, series_id, event_date, event_month, publication_date, характеристиками источника и evidence status. Ретроспективный TOP-10 даёт десять записей и семь датированных комбинаций «муниципальный ряд × месяц». Реализован количественный аудит согласования по географии, времени, направлению и категории.</w:t>
      </w:r>
    </w:p>
    <w:p>
      <w:r>
        <w:rPr>
          <w:b w:val="0"/>
        </w:rPr>
        <w:t>Дата события отделена от даты публикации. Point-in-time интерфейс допускает к forecasting только записи с подтверждённой publication_date, доступной к forecast origin. В текущем TOP-10 такие даты не верифицированы: forecast-eligible events = 0. Поэтому улучшение MAE от новостей не оценивалось и не заявляется. Сейчас News Alignment — независимый слой ретроспективной интерпретации шоков.</w:t>
      </w:r>
    </w:p>
    <w:p>
      <w:pPr>
        <w:pStyle w:val="Heading1"/>
      </w:pPr>
      <w:r>
        <w:t>9. Воспроизводимость</w:t>
      </w:r>
    </w:p>
    <w:p>
      <w:r>
        <w:rPr>
          <w:b w:val="0"/>
        </w:rPr>
        <w:t>Репозиторий организован вокруг семи ноутбуков: 00 — данные; 01 — Prophet и reference forecasting; 02 — static forecasting; 03 — финальный forecasting; 04 — structural detection; 05 — real shocks и News Alignment; 06 — итоговая сводка. Сохранённые результаты включают CSV, Parquet и JSON manifests. Конфигурация хранится в configs/final_config.yaml, зависимости — в requirements.txt.</w:t>
      </w:r>
    </w:p>
    <w:p>
      <w:r>
        <w:rPr>
          <w:b w:val="0"/>
        </w:rPr>
        <w:t>Предусмотрены два сценария: проверка зафиксированных результатов по предоставленным артефактам и более полный пересчёт при наличии исходного датасета и необходимых вспомогательных входов. Доступность каждого файла и лицензии данных нужно учитывать при конкурсной публикации. Наличие артефактов не равнозначно независимой воспроизводимости с нуля.</w:t>
      </w:r>
    </w:p>
    <w:p>
      <w:pPr>
        <w:pStyle w:val="Heading1"/>
      </w:pPr>
      <w:r>
        <w:t>10. Ограничения и вывод</w:t>
      </w:r>
    </w:p>
    <w:p>
      <w:pPr>
        <w:pStyle w:val="ListBullet"/>
      </w:pPr>
      <w:r>
        <w:t>Jun–Sep не является untouched holdout; Oct–Nov — отдельное временное окно.</w:t>
      </w:r>
    </w:p>
    <w:p>
      <w:pPr>
        <w:pStyle w:val="ListBullet"/>
      </w:pPr>
      <w:r>
        <w:t>Synthetic detection TEST не заменяет независимую разметку реальных экономических событий.</w:t>
      </w:r>
    </w:p>
    <w:p>
      <w:pPr>
        <w:pStyle w:val="ListBullet"/>
      </w:pPr>
      <w:r>
        <w:t>Event Recall и Month F1 измеряют разные свойства; CUSUM имеет более высокий Month F1.</w:t>
      </w:r>
    </w:p>
    <w:p>
      <w:pPr>
        <w:pStyle w:val="ListBullet"/>
      </w:pPr>
      <w:r>
        <w:t>975 сигналов и 826 эпизодов — статистические кандидаты, не список доказанных причин.</w:t>
      </w:r>
    </w:p>
    <w:p>
      <w:pPr>
        <w:pStyle w:val="ListBullet"/>
      </w:pPr>
      <w:r>
        <w:t>External audit ограничен TOP-10; найденные внешние события не устанавливают причинность.</w:t>
      </w:r>
    </w:p>
    <w:p>
      <w:pPr>
        <w:pStyle w:val="ListBullet"/>
      </w:pPr>
      <w:r>
        <w:t>Ретроспективные новости без подтверждённых дат публикации не используются для прогнозирования.</w:t>
      </w:r>
    </w:p>
    <w:p>
      <w:r>
        <w:rPr>
          <w:b/>
        </w:rPr>
        <w:t>Итог: Shock Radar объединяет прогнозирование, обнаружение структурных отклонений, категориальную атрибуцию и независимую внешнюю проверку. Его практическая функция — раннее выявление и приоритизация необычных изменений расходов для последующего экспертного анализа, а не автоматическое установление причин.</w:t>
      </w:r>
    </w:p>
    <w:p>
      <w:pPr>
        <w:pStyle w:val="Heading1"/>
      </w:pPr>
      <w:r>
        <w:t>Приложение. Основные машинно-читаемые результаты</w:t>
      </w:r>
    </w:p>
    <w:p>
      <w:pPr>
        <w:pStyle w:val="ListBullet"/>
      </w:pPr>
      <w:r>
        <w:t>data/interim/baseline_multihorizon_summary.csv — Prophet benchmark.</w:t>
      </w:r>
    </w:p>
    <w:p>
      <w:pPr>
        <w:pStyle w:val="ListBullet"/>
      </w:pPr>
      <w:r>
        <w:t>data/interim/forecast_final_summary.csv — challenger и forward.</w:t>
      </w:r>
    </w:p>
    <w:p>
      <w:pPr>
        <w:pStyle w:val="ListBullet"/>
      </w:pPr>
      <w:r>
        <w:t>data/interim/shock_detector_four_method_test_comparison.csv — четыре детектора.</w:t>
      </w:r>
    </w:p>
    <w:p>
      <w:pPr>
        <w:pStyle w:val="ListBullet"/>
      </w:pPr>
      <w:r>
        <w:t>data/interim/shock_real_cases_summary.csv — operational и атрибуция.</w:t>
      </w:r>
    </w:p>
    <w:p>
      <w:pPr>
        <w:pStyle w:val="ListBullet"/>
      </w:pPr>
      <w:r>
        <w:t>data/interim/shock_news_alignment_quantitative_top10.csv — ретроспективный news audit.</w:t>
      </w:r>
    </w:p>
    <w:p>
      <w:pPr>
        <w:pStyle w:val="ListBullet"/>
      </w:pPr>
      <w:r>
        <w:t>data/interim/final_results_summary.csv и final_results_manifest.json — итоговая сводка.</w:t>
      </w:r>
    </w:p>
    <w:sectPr w:rsidR="00FC693F" w:rsidRPr="0006063C" w:rsidSect="00034616">
      <w:footerReference w:type="default" r:id="rId9"/>
      <w:pgSz w:w="12240" w:h="15840"/>
      <w:pgMar w:top="1109" w:right="1181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SHOCK RADAR  •  МЕТОДОЛОГИЧЕСКИЙ ОТЧЁТ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F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A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300"/>
      <w:contextualSpacing/>
    </w:pPr>
    <w:rPr>
      <w:rFonts w:asciiTheme="majorHAnsi" w:eastAsiaTheme="majorEastAsia" w:hAnsiTheme="majorHAnsi" w:cstheme="majorBidi" w:ascii="Aptos Display" w:hAnsi="Aptos Display"/>
      <w:b/>
      <w:color w:val="1333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