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каталог для программ 10-ой лабораторной работы, перейдем в него и создадим файл lab10-1.asm (рис. 1).</w:t>
      </w:r>
    </w:p>
    <w:p>
      <w:pPr>
        <w:pStyle w:val="CaptionedFigure"/>
      </w:pPr>
      <w:bookmarkStart w:id="24" w:name="fig:001"/>
      <w:r>
        <w:drawing>
          <wp:inline>
            <wp:extent cx="5105400" cy="102870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Вводим текст программы из листинга 10.1 в наш файл. Создадим и запустим исполняемый файл, удостоверимся в его работе (рис. 2).</w:t>
      </w:r>
    </w:p>
    <w:p>
      <w:pPr>
        <w:pStyle w:val="BodyText"/>
      </w:pPr>
      <w:r>
        <w:t xml:space="preserve">Программа lab10-1.asm: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'2x+7='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rezs: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CommentTok"/>
        </w:rPr>
        <w:t xml:space="preserve">; Основная программа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 </w:t>
      </w:r>
      <w:r>
        <w:rPr>
          <w:rStyle w:val="CommentTok"/>
        </w:rPr>
        <w:t xml:space="preserve">; Вызов подпрограммы _calcul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CommentTok"/>
        </w:rPr>
        <w:t xml:space="preserve">; Подпрограмма вычисления</w:t>
      </w:r>
      <w:r>
        <w:br/>
      </w:r>
      <w:r>
        <w:rPr>
          <w:rStyle w:val="CommentTok"/>
        </w:rPr>
        <w:t xml:space="preserve">; выражения "2x+7"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из подпрограммы</w:t>
      </w:r>
    </w:p>
    <w:p>
      <w:pPr>
        <w:pStyle w:val="CaptionedFigure"/>
      </w:pPr>
      <w:bookmarkStart w:id="28" w:name="fig:002"/>
      <w:r>
        <w:drawing>
          <wp:inline>
            <wp:extent cx="5334000" cy="1191189"/>
            <wp:effectExtent b="0" l="0" r="0" t="0"/>
            <wp:docPr descr="Рис. 2: Работа с файлом lab10-1.asm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с файлом lab10-1.asm</w:t>
      </w:r>
    </w:p>
    <w:p>
      <w:pPr>
        <w:pStyle w:val="BodyText"/>
      </w:pPr>
      <w:r>
        <w:t xml:space="preserve">Меняем текст программы, добавляя подпрограмму _subcalcul для вычисления выражения f(g(x)). Создаем исполняемый файл, программа отрабатывает успешно (рис. 3).</w:t>
      </w:r>
    </w:p>
    <w:p>
      <w:pPr>
        <w:pStyle w:val="BodyText"/>
      </w:pPr>
      <w:r>
        <w:t xml:space="preserve">Измененная программа lab10-1.asm: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'2(3x-1)+7='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rez: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CommentTok"/>
        </w:rPr>
        <w:t xml:space="preserve">; Основная программа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 </w:t>
      </w:r>
      <w:r>
        <w:rPr>
          <w:rStyle w:val="CommentTok"/>
        </w:rPr>
        <w:t xml:space="preserve">; Вызов подпрограммы _calcul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CommentTok"/>
        </w:rPr>
        <w:t xml:space="preserve">;------------------------------------------</w:t>
      </w:r>
      <w:r>
        <w:br/>
      </w:r>
      <w:r>
        <w:rPr>
          <w:rStyle w:val="CommentTok"/>
        </w:rPr>
        <w:t xml:space="preserve">; Подпрограмма вычисления</w:t>
      </w:r>
      <w:r>
        <w:br/>
      </w:r>
      <w:r>
        <w:rPr>
          <w:rStyle w:val="CommentTok"/>
        </w:rPr>
        <w:t xml:space="preserve">; выражения "2x+7"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rez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из подпрограммы</w:t>
      </w:r>
      <w:r>
        <w:br/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ret</w:t>
      </w:r>
    </w:p>
    <w:p>
      <w:pPr>
        <w:pStyle w:val="CaptionedFigure"/>
      </w:pPr>
      <w:bookmarkStart w:id="32" w:name="fig:003"/>
      <w:r>
        <w:drawing>
          <wp:inline>
            <wp:extent cx="5334000" cy="1289651"/>
            <wp:effectExtent b="0" l="0" r="0" t="0"/>
            <wp:docPr descr="Рис. 3: Работа с измененным файлом lab10-1.asm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Работа с измененным файлом lab10-1.asm</w:t>
      </w:r>
    </w:p>
    <w:p>
      <w:pPr>
        <w:pStyle w:val="BodyText"/>
      </w:pPr>
      <w:r>
        <w:t xml:space="preserve">Теперь создадим файл lab10-2.asm, вводим в него текст листинга 10.2. Создаем исполняемый файл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 </w:t>
      </w:r>
      <w:r>
        <w:t xml:space="preserve">для работы с GDB. Загружаем исполняемый файл в отладчик gdb (рис. 4). Запускаем программу с помощью команды run, она отрабатывает успешно (рис. 5).</w:t>
      </w:r>
    </w:p>
    <w:p>
      <w:pPr>
        <w:pStyle w:val="BodyText"/>
      </w:pPr>
      <w:r>
        <w:t xml:space="preserve">Программа lab10-2.asm: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0x0</w:t>
      </w:r>
      <w:r>
        <w:br/>
      </w:r>
      <w:r>
        <w:rPr>
          <w:rStyle w:val="FunctionTok"/>
        </w:rPr>
        <w:t xml:space="preserve">msg1Len: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msg1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"world!"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0xa</w:t>
      </w:r>
      <w:r>
        <w:br/>
      </w:r>
      <w:r>
        <w:rPr>
          <w:rStyle w:val="FunctionTok"/>
        </w:rPr>
        <w:t xml:space="preserve">msg2Len: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msg2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msg1Len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msg2Len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</w:p>
    <w:p>
      <w:pPr>
        <w:pStyle w:val="CaptionedFigure"/>
      </w:pPr>
      <w:bookmarkStart w:id="36" w:name="fig:004"/>
      <w:r>
        <w:drawing>
          <wp:inline>
            <wp:extent cx="5334000" cy="3158728"/>
            <wp:effectExtent b="0" l="0" r="0" t="0"/>
            <wp:docPr descr="Рис. 4: Работа с файлом lab10-2.asm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с файлом lab10-2.asm</w:t>
      </w:r>
    </w:p>
    <w:p>
      <w:pPr>
        <w:pStyle w:val="CaptionedFigure"/>
      </w:pPr>
      <w:bookmarkStart w:id="40" w:name="fig:005"/>
      <w:r>
        <w:drawing>
          <wp:inline>
            <wp:extent cx="5334000" cy="1691472"/>
            <wp:effectExtent b="0" l="0" r="0" t="0"/>
            <wp:docPr descr="Рис. 5: Запуск программы lab10-2.asm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lab10-2.asm</w:t>
      </w:r>
    </w:p>
    <w:p>
      <w:pPr>
        <w:pStyle w:val="BodyText"/>
      </w:pPr>
      <w:r>
        <w:t xml:space="preserve">Устанавливаем брейкпоинт на метку _start и запускаем программу еще раз. Посмотрим на дисассимилированный код программы с помощью команды disassemble начиная с метки _start (рис. 6). Переключимся на изображение с Intel’овским синтаксисом (рис. 7). Видим отличие в третьем столбце в изображении названий регистров и переменных. Также отличается порядок переменная-регистр и наоборот регистр-переменная.</w:t>
      </w:r>
    </w:p>
    <w:p>
      <w:pPr>
        <w:pStyle w:val="CaptionedFigure"/>
      </w:pPr>
      <w:bookmarkStart w:id="44" w:name="fig:006"/>
      <w:r>
        <w:drawing>
          <wp:inline>
            <wp:extent cx="5334000" cy="4015567"/>
            <wp:effectExtent b="0" l="0" r="0" t="0"/>
            <wp:docPr descr="Рис. 6: Брейкпоинт и дисассимилированный код программы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Брейкпоинт и дисассимилированный код программы</w:t>
      </w:r>
    </w:p>
    <w:p>
      <w:pPr>
        <w:pStyle w:val="CaptionedFigure"/>
      </w:pPr>
      <w:bookmarkStart w:id="48" w:name="fig:007"/>
      <w:r>
        <w:drawing>
          <wp:inline>
            <wp:extent cx="5334000" cy="2700337"/>
            <wp:effectExtent b="0" l="0" r="0" t="0"/>
            <wp:docPr descr="Рис. 7: Intel’овский синтаксис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Intel’овский синтаксис</w:t>
      </w:r>
    </w:p>
    <w:p>
      <w:pPr>
        <w:pStyle w:val="BodyText"/>
      </w:pPr>
      <w:r>
        <w:t xml:space="preserve">Далее включаем режим псевдографики для более удобного анализа программы. С помощью команды info breakpoints смотрим, что уже установили одну точку остновки (рис. 8). Устанавливаем еще одну, используя адрес инструкции. Снова смотрим информацию о всех брейкпоинтах (рис. 9).</w:t>
      </w:r>
    </w:p>
    <w:p>
      <w:pPr>
        <w:pStyle w:val="CaptionedFigure"/>
      </w:pPr>
      <w:bookmarkStart w:id="52" w:name="fig:008"/>
      <w:r>
        <w:drawing>
          <wp:inline>
            <wp:extent cx="5334000" cy="3851581"/>
            <wp:effectExtent b="0" l="0" r="0" t="0"/>
            <wp:docPr descr="Рис. 8: Информация о брейкпоинте" title="" id="50" name="Picture"/>
            <a:graphic>
              <a:graphicData uri="http://schemas.openxmlformats.org/drawingml/2006/picture">
                <pic:pic>
                  <pic:nvPicPr>
                    <pic:cNvPr descr="image/fi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Информация о брейкпоинте</w:t>
      </w:r>
    </w:p>
    <w:p>
      <w:pPr>
        <w:pStyle w:val="CaptionedFigure"/>
      </w:pPr>
      <w:bookmarkStart w:id="56" w:name="fig:009"/>
      <w:r>
        <w:drawing>
          <wp:inline>
            <wp:extent cx="5334000" cy="1646296"/>
            <wp:effectExtent b="0" l="0" r="0" t="0"/>
            <wp:docPr descr="Рис. 9: Установка второго брейкпоинта, вывод информации" title="" id="54" name="Picture"/>
            <a:graphic>
              <a:graphicData uri="http://schemas.openxmlformats.org/drawingml/2006/picture">
                <pic:pic>
                  <pic:nvPicPr>
                    <pic:cNvPr descr="image/fi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Установка второго брейкпоинта, вывод информации</w:t>
      </w:r>
    </w:p>
    <w:p>
      <w:pPr>
        <w:pStyle w:val="BodyText"/>
      </w:pPr>
      <w:r>
        <w:t xml:space="preserve">Далее выполняем ровно 5 раз команду si, видим изменения в регистрах eax, ebx, ecx, edx, esp (рис. 10). Смотрим содержимое регистров (рис. 11).</w:t>
      </w:r>
    </w:p>
    <w:p>
      <w:pPr>
        <w:pStyle w:val="CaptionedFigure"/>
      </w:pPr>
      <w:bookmarkStart w:id="60" w:name="fig:010"/>
      <w:r>
        <w:drawing>
          <wp:inline>
            <wp:extent cx="5334000" cy="3851581"/>
            <wp:effectExtent b="0" l="0" r="0" t="0"/>
            <wp:docPr descr="Рис. 10: Выполнение команды si" title="" id="58" name="Picture"/>
            <a:graphic>
              <a:graphicData uri="http://schemas.openxmlformats.org/drawingml/2006/picture">
                <pic:pic>
                  <pic:nvPicPr>
                    <pic:cNvPr descr="image/fi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Выполнение команды si</w:t>
      </w:r>
    </w:p>
    <w:p>
      <w:pPr>
        <w:pStyle w:val="CaptionedFigure"/>
      </w:pPr>
      <w:bookmarkStart w:id="64" w:name="fig:011"/>
      <w:r>
        <w:drawing>
          <wp:inline>
            <wp:extent cx="5334000" cy="1788975"/>
            <wp:effectExtent b="0" l="0" r="0" t="0"/>
            <wp:docPr descr="Рис. 11: Содержимое регистров" title="" id="62" name="Picture"/>
            <a:graphic>
              <a:graphicData uri="http://schemas.openxmlformats.org/drawingml/2006/picture">
                <pic:pic>
                  <pic:nvPicPr>
                    <pic:cNvPr descr="image/fi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Содержимое регистров</w:t>
      </w:r>
    </w:p>
    <w:p>
      <w:pPr>
        <w:pStyle w:val="BodyText"/>
      </w:pPr>
      <w:r>
        <w:t xml:space="preserve">Теперь посмотрим значения переменных msg1 по имени и msg2 по адресу. Также смотрим инструкцию mov ecx, msg2 (рис. 12).</w:t>
      </w:r>
    </w:p>
    <w:p>
      <w:pPr>
        <w:pStyle w:val="CaptionedFigure"/>
      </w:pPr>
      <w:bookmarkStart w:id="68" w:name="fig:012"/>
      <w:r>
        <w:drawing>
          <wp:inline>
            <wp:extent cx="5334000" cy="1429731"/>
            <wp:effectExtent b="0" l="0" r="0" t="0"/>
            <wp:docPr descr="Рис. 12: Содержимое переменных и инструкции" title="" id="66" name="Picture"/>
            <a:graphic>
              <a:graphicData uri="http://schemas.openxmlformats.org/drawingml/2006/picture">
                <pic:pic>
                  <pic:nvPicPr>
                    <pic:cNvPr descr="image/fig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Содержимое переменных и инструкции</w:t>
      </w:r>
    </w:p>
    <w:p>
      <w:pPr>
        <w:pStyle w:val="BodyText"/>
      </w:pPr>
      <w:r>
        <w:t xml:space="preserve">Меняем символы в перменных msg1 и msg2 (рис. 13).</w:t>
      </w:r>
    </w:p>
    <w:p>
      <w:pPr>
        <w:pStyle w:val="CaptionedFigure"/>
      </w:pPr>
      <w:bookmarkStart w:id="72" w:name="fig:013"/>
      <w:r>
        <w:drawing>
          <wp:inline>
            <wp:extent cx="5334000" cy="1429731"/>
            <wp:effectExtent b="0" l="0" r="0" t="0"/>
            <wp:docPr descr="Рис. 13: Замена символов в перменных msg1 и msg2" title="" id="70" name="Picture"/>
            <a:graphic>
              <a:graphicData uri="http://schemas.openxmlformats.org/drawingml/2006/picture">
                <pic:pic>
                  <pic:nvPicPr>
                    <pic:cNvPr descr="image/fig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Замена символов в перменных msg1 и msg2</w:t>
      </w:r>
    </w:p>
    <w:p>
      <w:pPr>
        <w:pStyle w:val="BodyText"/>
      </w:pPr>
      <w:r>
        <w:t xml:space="preserve">Смотрим значения нескольких регистров (рис. 14). Самостоятельно смотрим значение регистра edx в шестнадцатеричном формате, в двоичном формате и в символьном виде (рис. 15).</w:t>
      </w:r>
    </w:p>
    <w:p>
      <w:pPr>
        <w:pStyle w:val="CaptionedFigure"/>
      </w:pPr>
      <w:bookmarkStart w:id="76" w:name="fig:014"/>
      <w:r>
        <w:drawing>
          <wp:inline>
            <wp:extent cx="5334000" cy="1832876"/>
            <wp:effectExtent b="0" l="0" r="0" t="0"/>
            <wp:docPr descr="Рис. 14: Просмотр значений нескольких регистров" title="" id="74" name="Picture"/>
            <a:graphic>
              <a:graphicData uri="http://schemas.openxmlformats.org/drawingml/2006/picture">
                <pic:pic>
                  <pic:nvPicPr>
                    <pic:cNvPr descr="image/fig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Просмотр значений нескольких регистров</w:t>
      </w:r>
    </w:p>
    <w:p>
      <w:pPr>
        <w:pStyle w:val="CaptionedFigure"/>
      </w:pPr>
      <w:bookmarkStart w:id="80" w:name="fig:015"/>
      <w:r>
        <w:drawing>
          <wp:inline>
            <wp:extent cx="5334000" cy="1447800"/>
            <wp:effectExtent b="0" l="0" r="0" t="0"/>
            <wp:docPr descr="Рис. 15: Просмотр значений регистра edx" title="" id="78" name="Picture"/>
            <a:graphic>
              <a:graphicData uri="http://schemas.openxmlformats.org/drawingml/2006/picture">
                <pic:pic>
                  <pic:nvPicPr>
                    <pic:cNvPr descr="image/fig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Просмотр значений регистра edx</w:t>
      </w:r>
    </w:p>
    <w:p>
      <w:pPr>
        <w:pStyle w:val="BodyText"/>
      </w:pPr>
      <w:r>
        <w:t xml:space="preserve">С помощью команды set меняем значение регистра ebx. Сначала выводится 50, так как это ASCII кодировка символа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, а затем 2 - уже как число (рис. 16).</w:t>
      </w:r>
    </w:p>
    <w:p>
      <w:pPr>
        <w:pStyle w:val="CaptionedFigure"/>
      </w:pPr>
      <w:bookmarkStart w:id="84" w:name="fig:016"/>
      <w:r>
        <w:drawing>
          <wp:inline>
            <wp:extent cx="5334000" cy="1426028"/>
            <wp:effectExtent b="0" l="0" r="0" t="0"/>
            <wp:docPr descr="Рис. 16: Замена значения регистра ebx" title="" id="82" name="Picture"/>
            <a:graphic>
              <a:graphicData uri="http://schemas.openxmlformats.org/drawingml/2006/picture">
                <pic:pic>
                  <pic:nvPicPr>
                    <pic:cNvPr descr="image/fig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Замена значения регистра ebx</w:t>
      </w:r>
    </w:p>
    <w:p>
      <w:pPr>
        <w:pStyle w:val="BodyText"/>
      </w:pPr>
      <w:r>
        <w:t xml:space="preserve">Завершаем выполнение программы (рис. 17).</w:t>
      </w:r>
    </w:p>
    <w:p>
      <w:pPr>
        <w:pStyle w:val="CaptionedFigure"/>
      </w:pPr>
      <w:bookmarkStart w:id="88" w:name="fig:017"/>
      <w:r>
        <w:drawing>
          <wp:inline>
            <wp:extent cx="5334000" cy="1781643"/>
            <wp:effectExtent b="0" l="0" r="0" t="0"/>
            <wp:docPr descr="Рис. 17: Завершение работы программы" title="" id="86" name="Picture"/>
            <a:graphic>
              <a:graphicData uri="http://schemas.openxmlformats.org/drawingml/2006/picture">
                <pic:pic>
                  <pic:nvPicPr>
                    <pic:cNvPr descr="image/fig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Завершение работы программы</w:t>
      </w:r>
    </w:p>
    <w:p>
      <w:pPr>
        <w:pStyle w:val="BodyText"/>
      </w:pPr>
      <w:r>
        <w:t xml:space="preserve">Копируем файл lab9-2.asm в файл с именем lab10-3.asm. Создаем исполняемый файл с отладчиком gdb. Загружаем исполняемый файл в отладчик, указав аргументы (рис. 18).</w:t>
      </w:r>
    </w:p>
    <w:p>
      <w:pPr>
        <w:pStyle w:val="CaptionedFigure"/>
      </w:pPr>
      <w:bookmarkStart w:id="92" w:name="fig:018"/>
      <w:r>
        <w:drawing>
          <wp:inline>
            <wp:extent cx="5334000" cy="2649659"/>
            <wp:effectExtent b="0" l="0" r="0" t="0"/>
            <wp:docPr descr="Рис. 18: Работа с файлом lab10-3.asm" title="" id="90" name="Picture"/>
            <a:graphic>
              <a:graphicData uri="http://schemas.openxmlformats.org/drawingml/2006/picture">
                <pic:pic>
                  <pic:nvPicPr>
                    <pic:cNvPr descr="image/fig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Работа с файлом lab10-3.asm</w:t>
      </w:r>
    </w:p>
    <w:p>
      <w:pPr>
        <w:pStyle w:val="BodyText"/>
      </w:pPr>
      <w:r>
        <w:t xml:space="preserve">Устанавливаем точку останова перед первой инструкцией в программе и запускаем ее. Смотрим, что хранится в регистре esp, получаем 5 аргументов (рис. 19).</w:t>
      </w:r>
    </w:p>
    <w:p>
      <w:pPr>
        <w:pStyle w:val="CaptionedFigure"/>
      </w:pPr>
      <w:bookmarkStart w:id="96" w:name="fig:019"/>
      <w:r>
        <w:drawing>
          <wp:inline>
            <wp:extent cx="5334000" cy="2051538"/>
            <wp:effectExtent b="0" l="0" r="0" t="0"/>
            <wp:docPr descr="Рис. 19: Просмотр регистра esp" title="" id="94" name="Picture"/>
            <a:graphic>
              <a:graphicData uri="http://schemas.openxmlformats.org/drawingml/2006/picture">
                <pic:pic>
                  <pic:nvPicPr>
                    <pic:cNvPr descr="image/fig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Просмотр регистра esp</w:t>
      </w:r>
    </w:p>
    <w:p>
      <w:pPr>
        <w:pStyle w:val="BodyText"/>
      </w:pPr>
      <w:r>
        <w:t xml:space="preserve">Теперь посмотрим остальные позиции стека (рис. 20). Шаг изменения равен 4, потому что шаг равен размеру переменной (4 байта).</w:t>
      </w:r>
    </w:p>
    <w:p>
      <w:pPr>
        <w:pStyle w:val="CaptionedFigure"/>
      </w:pPr>
      <w:bookmarkStart w:id="100" w:name="fig:020"/>
      <w:r>
        <w:drawing>
          <wp:inline>
            <wp:extent cx="5334000" cy="2449388"/>
            <wp:effectExtent b="0" l="0" r="0" t="0"/>
            <wp:docPr descr="Рис. 20: Просмотр остальных позиций стека" title="" id="98" name="Picture"/>
            <a:graphic>
              <a:graphicData uri="http://schemas.openxmlformats.org/drawingml/2006/picture">
                <pic:pic>
                  <pic:nvPicPr>
                    <pic:cNvPr descr="image/fig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Просмотр остальных позиций стека</w:t>
      </w:r>
    </w:p>
    <w:bookmarkEnd w:id="101"/>
    <w:bookmarkStart w:id="118" w:name="X01a861a64db809a2c5e27ec2f8ab84beab49f0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Для начала дорабатываем программу из 9-ой лабораторной работы. Добавляем подпрограмму для вычисления значения функции (рис. 21).</w:t>
      </w:r>
    </w:p>
    <w:p>
      <w:pPr>
        <w:pStyle w:val="BodyText"/>
      </w:pPr>
      <w:r>
        <w:t xml:space="preserve">Программа lab10my.asm: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func: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12x - 7'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ControlFlowTok"/>
        </w:rPr>
        <w:t xml:space="preserve">ret</w:t>
      </w:r>
    </w:p>
    <w:p>
      <w:pPr>
        <w:pStyle w:val="CaptionedFigure"/>
      </w:pPr>
      <w:bookmarkStart w:id="105" w:name="fig:021"/>
      <w:r>
        <w:drawing>
          <wp:inline>
            <wp:extent cx="5334000" cy="1620828"/>
            <wp:effectExtent b="0" l="0" r="0" t="0"/>
            <wp:docPr descr="Рис. 21: Тестирование программы lab10my.asm" title="" id="103" name="Picture"/>
            <a:graphic>
              <a:graphicData uri="http://schemas.openxmlformats.org/drawingml/2006/picture">
                <pic:pic>
                  <pic:nvPicPr>
                    <pic:cNvPr descr="image/fig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Тестирование программы lab10my.asm</w:t>
      </w:r>
    </w:p>
    <w:p>
      <w:pPr>
        <w:pStyle w:val="BodyText"/>
      </w:pPr>
      <w:r>
        <w:t xml:space="preserve">Вторым заданием было определить ошибку в программе, используя отладчик GDB и анализируя изменение значений регистров. Стало понятно, что в нескольких местах следует поменять регистр ebx на eax. Измененная программа отработала успешно (рис. 22), (рис. 23), (рис. 24).</w:t>
      </w:r>
    </w:p>
    <w:p>
      <w:pPr>
        <w:pStyle w:val="BodyText"/>
      </w:pPr>
      <w:r>
        <w:t xml:space="preserve">Нерабочий код 10.3: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 (3+2)*4+5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Исправленный мной код: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 (3+2)*4+5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109" w:name="fig:022"/>
      <w:r>
        <w:drawing>
          <wp:inline>
            <wp:extent cx="5334000" cy="977069"/>
            <wp:effectExtent b="0" l="0" r="0" t="0"/>
            <wp:docPr descr="Рис. 22: Убеждаемся в неработоспособности программы" title="" id="107" name="Picture"/>
            <a:graphic>
              <a:graphicData uri="http://schemas.openxmlformats.org/drawingml/2006/picture">
                <pic:pic>
                  <pic:nvPicPr>
                    <pic:cNvPr descr="image/fig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Убеждаемся в неработоспособности программы</w:t>
      </w:r>
    </w:p>
    <w:p>
      <w:pPr>
        <w:pStyle w:val="CaptionedFigure"/>
      </w:pPr>
      <w:bookmarkStart w:id="113" w:name="fig:023"/>
      <w:r>
        <w:drawing>
          <wp:inline>
            <wp:extent cx="5334000" cy="3823542"/>
            <wp:effectExtent b="0" l="0" r="0" t="0"/>
            <wp:docPr descr="Рис. 23: Поиск ошибки" title="" id="111" name="Picture"/>
            <a:graphic>
              <a:graphicData uri="http://schemas.openxmlformats.org/drawingml/2006/picture">
                <pic:pic>
                  <pic:nvPicPr>
                    <pic:cNvPr descr="image/fig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Поиск ошибки</w:t>
      </w:r>
    </w:p>
    <w:p>
      <w:pPr>
        <w:pStyle w:val="CaptionedFigure"/>
      </w:pPr>
      <w:bookmarkStart w:id="117" w:name="fig:024"/>
      <w:r>
        <w:drawing>
          <wp:inline>
            <wp:extent cx="5334000" cy="765645"/>
            <wp:effectExtent b="0" l="0" r="0" t="0"/>
            <wp:docPr descr="Рис. 24: Успешная отработка программы" title="" id="115" name="Picture"/>
            <a:graphic>
              <a:graphicData uri="http://schemas.openxmlformats.org/drawingml/2006/picture">
                <pic:pic>
                  <pic:nvPicPr>
                    <pic:cNvPr descr="image/fig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Успешная отработка программы</w:t>
      </w:r>
    </w:p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навыки написания программ с использованием подпрограмм. Также я познакомилась с методами отладки при помощи GDB и его основными возможностями. Вся моя работа была записана и прокомментирована мной в данной лабораторной.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Мишина Анастасия Алексеевна</dc:creator>
  <dc:language>ru-RU</dc:language>
  <cp:keywords/>
  <dcterms:created xsi:type="dcterms:W3CDTF">2022-12-16T21:54:46Z</dcterms:created>
  <dcterms:modified xsi:type="dcterms:W3CDTF">2022-12-16T21:54:46Z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