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прак- тическое знакомство с технологией SELinux1. Проверить работу SELinx на практике совместно с веб-сервером Apache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Открываем терминал и убеждаемся, что SELinux работает в режиме enforcing политики targeted с помощью команд getenforce и sestatus. Запустим веб-сервер и убедимся, что он работает:</w:t>
      </w:r>
      <w:r>
        <w:t xml:space="preserve"> </w:t>
      </w:r>
      <w:r>
        <w:t xml:space="preserve">service httpd start и service httpd status (рис. 1).</w:t>
      </w:r>
    </w:p>
    <w:p>
      <w:pPr>
        <w:pStyle w:val="CaptionedFigure"/>
      </w:pPr>
      <w:r>
        <w:drawing>
          <wp:inline>
            <wp:extent cx="3733800" cy="3445493"/>
            <wp:effectExtent b="0" l="0" r="0" t="0"/>
            <wp:docPr descr="Проверка режима SELinux, запуск веб-сервер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5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Проверка режима SELinux, запуск веб-сервера</w:t>
      </w:r>
    </w:p>
    <w:p>
      <w:pPr>
        <w:pStyle w:val="BodyText"/>
      </w:pPr>
      <w:r>
        <w:t xml:space="preserve">Определим контекст безопасности веб-сервера: ps auxZ | grep httpd. Посмотрим текущее состояние переключателей SELinux для Apache с помощью команды: sestatus -bigrep httpd. Обратим внимание, что многие из них находятся в положении «off» (рис. 2).</w:t>
      </w:r>
    </w:p>
    <w:p>
      <w:pPr>
        <w:pStyle w:val="CaptionedFigure"/>
      </w:pPr>
      <w:r>
        <w:drawing>
          <wp:inline>
            <wp:extent cx="3733800" cy="3445493"/>
            <wp:effectExtent b="0" l="0" r="0" t="0"/>
            <wp:docPr descr="Контекст безопасности веб-сервера и состояние переключателей SELinux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5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Контекст безопасности веб-сервера и состояние переключателей SELinux</w:t>
      </w:r>
    </w:p>
    <w:p>
      <w:pPr>
        <w:pStyle w:val="BodyText"/>
      </w:pPr>
      <w:r>
        <w:t xml:space="preserve">Посмотрим статистику по политике с помощью команды seinfo, также определим множество пользователей, ролей, типов (рис. 3).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Статистика по политике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Статистика по политике</w:t>
      </w:r>
    </w:p>
    <w:p>
      <w:pPr>
        <w:pStyle w:val="BodyText"/>
      </w:pPr>
      <w:r>
        <w:t xml:space="preserve">Определяем тип файлов и поддиректорий, находящихся в директории /var/www, с помощью команды ls -lZ /var/www. Определяем тип файлов, находящихся в директории /var/www/html: ls -lZ /var/www/html. Определяем круг пользователей, которым разрешено создание файлов в директории /var/www/html (рис. 4). Создаем от имени суперпользователя (так как в дистрибутиве после установки только ему разрешена запись в директорию) html-файл /var/www/html/test.html (рис. 5).</w:t>
      </w:r>
    </w:p>
    <w:p>
      <w:pPr>
        <w:pStyle w:val="CaptionedFigure"/>
      </w:pPr>
      <w:r>
        <w:drawing>
          <wp:inline>
            <wp:extent cx="3733800" cy="975993"/>
            <wp:effectExtent b="0" l="0" r="0" t="0"/>
            <wp:docPr descr="Определение типов файлов и поддиректорий www и html. Создание файла test.html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5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Определение типов файлов и поддиректорий www и html. Создание файла test.html</w:t>
      </w:r>
    </w:p>
    <w:p>
      <w:pPr>
        <w:pStyle w:val="CaptionedFigure"/>
      </w:pPr>
      <w:r>
        <w:drawing>
          <wp:inline>
            <wp:extent cx="3733800" cy="647392"/>
            <wp:effectExtent b="0" l="0" r="0" t="0"/>
            <wp:docPr descr="Файл test.html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7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Файл test.html</w:t>
      </w:r>
    </w:p>
    <w:p>
      <w:pPr>
        <w:pStyle w:val="BodyText"/>
      </w:pPr>
      <w:r>
        <w:t xml:space="preserve">Проверяем контекст созданного файла (рис. 6).</w:t>
      </w:r>
    </w:p>
    <w:p>
      <w:pPr>
        <w:pStyle w:val="CaptionedFigure"/>
      </w:pPr>
      <w:r>
        <w:drawing>
          <wp:inline>
            <wp:extent cx="3733800" cy="359656"/>
            <wp:effectExtent b="0" l="0" r="0" t="0"/>
            <wp:docPr descr="Контекст файла test.html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Контекст файла test.html</w:t>
      </w:r>
    </w:p>
    <w:p>
      <w:pPr>
        <w:pStyle w:val="BodyText"/>
      </w:pPr>
      <w:r>
        <w:t xml:space="preserve">Обратимся к файлу через веб-сервер, введя в браузере адрес http://127.0.0.1/test.html. Убеждаемся, что файл был успешно отображён (рис. 7).</w:t>
      </w:r>
    </w:p>
    <w:p>
      <w:pPr>
        <w:pStyle w:val="CaptionedFigure"/>
      </w:pPr>
      <w:r>
        <w:drawing>
          <wp:inline>
            <wp:extent cx="3733800" cy="856632"/>
            <wp:effectExtent b="0" l="0" r="0" t="0"/>
            <wp:docPr descr="Запуск файла в браузере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6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файла в браузере</w:t>
      </w:r>
    </w:p>
    <w:p>
      <w:pPr>
        <w:pStyle w:val="BodyText"/>
      </w:pPr>
      <w:r>
        <w:t xml:space="preserve">Изучаем справку man httpd и man selinux. Проверяем контекст файла можно командой ls -Z, т.е. ls -Z /var/www/html/test.html (рис. 8).</w:t>
      </w:r>
    </w:p>
    <w:p>
      <w:pPr>
        <w:pStyle w:val="CaptionedFigure"/>
      </w:pPr>
      <w:r>
        <w:drawing>
          <wp:inline>
            <wp:extent cx="3733800" cy="419476"/>
            <wp:effectExtent b="0" l="0" r="0" t="0"/>
            <wp:docPr descr="Изучение справок, контекст файла test.html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Изучение справок, контекст файла test.html</w:t>
      </w:r>
    </w:p>
    <w:p>
      <w:pPr>
        <w:pStyle w:val="BodyText"/>
      </w:pPr>
      <w:r>
        <w:t xml:space="preserve">Сменим контекст файла /var/www/html/test.html с httpd_sys_content_t на любой другой, к которому процесс httpd не должен иметь доступа, например, на samba_share_t: chcon -t samba_share_t /var/www/html/test.html, проверим, что контекст поменялся: ls -Z /var/www/html/test.html (рис. 9).</w:t>
      </w:r>
    </w:p>
    <w:p>
      <w:pPr>
        <w:pStyle w:val="CaptionedFigure"/>
      </w:pPr>
      <w:r>
        <w:drawing>
          <wp:inline>
            <wp:extent cx="3733800" cy="419476"/>
            <wp:effectExtent b="0" l="0" r="0" t="0"/>
            <wp:docPr descr="Смена контекста файла, проверк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Смена контекста файла, проверка</w:t>
      </w:r>
    </w:p>
    <w:p>
      <w:pPr>
        <w:pStyle w:val="BodyText"/>
      </w:pPr>
      <w:r>
        <w:t xml:space="preserve">Попробуем ещё раз получить доступ к файлу через веб-сервер, введя в браузере адрес http://127.0.0.1/test.html. Получаем сообщение об ошибке: Forbidden You don’t have permission to access /test.html on this server (рис. 10).</w:t>
      </w:r>
    </w:p>
    <w:p>
      <w:pPr>
        <w:pStyle w:val="CaptionedFigure"/>
      </w:pPr>
      <w:r>
        <w:drawing>
          <wp:inline>
            <wp:extent cx="3733800" cy="1106311"/>
            <wp:effectExtent b="0" l="0" r="0" t="0"/>
            <wp:docPr descr="Попытка просмотр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Попытка просмотра</w:t>
      </w:r>
    </w:p>
    <w:p>
      <w:pPr>
        <w:pStyle w:val="BodyText"/>
      </w:pPr>
      <w:r>
        <w:t xml:space="preserve">Смотрим права доступа на файл ls -l /var/www/html/test.html, также смотрим системный log-файл tail /var/log/messages (рис. 11).</w:t>
      </w:r>
    </w:p>
    <w:p>
      <w:pPr>
        <w:pStyle w:val="CaptionedFigure"/>
      </w:pPr>
      <w:r>
        <w:drawing>
          <wp:inline>
            <wp:extent cx="3733800" cy="3023917"/>
            <wp:effectExtent b="0" l="0" r="0" t="0"/>
            <wp:docPr descr="Права доступа, системный log-файл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3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Права доступа, системный log-файл</w:t>
      </w:r>
    </w:p>
    <w:p>
      <w:pPr>
        <w:pStyle w:val="BodyText"/>
      </w:pPr>
      <w:r>
        <w:t xml:space="preserve">Попробуем запустить веб-сервер Apache на прослушивание ТСР-порта 81 (а не 80, как рекомендует IANA и прописано в /etc/services). Для этого в файле /etc/httpd/httpd.conf находим строчку Listen 80 и меняем её на Listen 81 (рис. 12).</w:t>
      </w:r>
    </w:p>
    <w:p>
      <w:pPr>
        <w:pStyle w:val="CaptionedFigure"/>
      </w:pPr>
      <w:r>
        <w:drawing>
          <wp:inline>
            <wp:extent cx="3733800" cy="1690641"/>
            <wp:effectExtent b="0" l="0" r="0" t="0"/>
            <wp:docPr descr="Файл httpd.conf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Файл httpd.conf</w:t>
      </w:r>
    </w:p>
    <w:p>
      <w:pPr>
        <w:pStyle w:val="BodyText"/>
      </w:pPr>
      <w:r>
        <w:t xml:space="preserve">Выполняем перезапуск веб-сервера Apache (рис. 13). Происходит сбой (рис. 14).</w:t>
      </w:r>
    </w:p>
    <w:p>
      <w:pPr>
        <w:pStyle w:val="CaptionedFigure"/>
      </w:pPr>
      <w:r>
        <w:drawing>
          <wp:inline>
            <wp:extent cx="3733800" cy="553155"/>
            <wp:effectExtent b="0" l="0" r="0" t="0"/>
            <wp:docPr descr="Перезапуск веб-сервера Apache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3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Перезапуск веб-сервера Apache</w:t>
      </w:r>
    </w:p>
    <w:p>
      <w:pPr>
        <w:pStyle w:val="CaptionedFigure"/>
      </w:pPr>
      <w:r>
        <w:drawing>
          <wp:inline>
            <wp:extent cx="3733800" cy="4065589"/>
            <wp:effectExtent b="0" l="0" r="0" t="0"/>
            <wp:docPr descr="Сбой веб-серве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5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Сбой веб-сервера</w:t>
      </w:r>
    </w:p>
    <w:p>
      <w:pPr>
        <w:pStyle w:val="BodyText"/>
      </w:pPr>
      <w:r>
        <w:t xml:space="preserve">Анализируем лог-файлы: tail -nl /var/log/messages (рис. 15. Просматриваем файлы /var/log/http/error_log, /var/log/http/access_log и /var/log/audit/audit.log (рис. 16.</w:t>
      </w:r>
    </w:p>
    <w:p>
      <w:pPr>
        <w:pStyle w:val="CaptionedFigure"/>
      </w:pPr>
      <w:r>
        <w:drawing>
          <wp:inline>
            <wp:extent cx="3733800" cy="1801230"/>
            <wp:effectExtent b="0" l="0" r="0" t="0"/>
            <wp:docPr descr="Просмотр лог-файлов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1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Просмотр лог-файлов</w:t>
      </w:r>
    </w:p>
    <w:p>
      <w:pPr>
        <w:pStyle w:val="CaptionedFigure"/>
      </w:pPr>
      <w:r>
        <w:drawing>
          <wp:inline>
            <wp:extent cx="3733800" cy="1819275"/>
            <wp:effectExtent b="0" l="0" r="0" t="0"/>
            <wp:docPr descr="Просмотр лог-файлов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лог-файлов</w:t>
      </w:r>
    </w:p>
    <w:p>
      <w:pPr>
        <w:pStyle w:val="BodyText"/>
      </w:pPr>
      <w:r>
        <w:t xml:space="preserve">Выполняем команду semanage port -a -t http_port_t -р tcp 81. После этого проверяем список портов командой semanage port -l | grep http_port_t. Убеждаемся, что порт 81 появился в списке. Перезагружаем веб-сервер еще раз. Возвращаем контекст httpd_sys_cоntent_t к файлу /var/www/html/test.html: chcon -t httpd_sys_content_t /var/www/html/test.html (рис. 17.</w:t>
      </w:r>
    </w:p>
    <w:p>
      <w:pPr>
        <w:pStyle w:val="CaptionedFigure"/>
      </w:pPr>
      <w:r>
        <w:drawing>
          <wp:inline>
            <wp:extent cx="3733800" cy="917912"/>
            <wp:effectExtent b="0" l="0" r="0" t="0"/>
            <wp:docPr descr="Проверка списка портов, перезагрука сервера, возвращение контекста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7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списка портов, перезагрука сервера, возвращение контекста</w:t>
      </w:r>
    </w:p>
    <w:p>
      <w:pPr>
        <w:pStyle w:val="BodyText"/>
      </w:pPr>
      <w:r>
        <w:t xml:space="preserve">После этого попробуем получить доступ к файлу через веб-сервер, введя в браузере адрес http://127.0.0.1:81/test.html. Видим содержимое файла — слово «test» (рис. 18.</w:t>
      </w:r>
    </w:p>
    <w:p>
      <w:pPr>
        <w:pStyle w:val="CaptionedFigure"/>
      </w:pPr>
      <w:r>
        <w:drawing>
          <wp:inline>
            <wp:extent cx="3733800" cy="1039256"/>
            <wp:effectExtent b="0" l="0" r="0" t="0"/>
            <wp:docPr descr="Просмотр файла через сервер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через сервер</w:t>
      </w:r>
    </w:p>
    <w:p>
      <w:pPr>
        <w:pStyle w:val="BodyText"/>
      </w:pPr>
      <w:r>
        <w:t xml:space="preserve">Исправляем обратно конфигурационный файл apache, вернув Listen 80 (рис. 19.</w:t>
      </w:r>
    </w:p>
    <w:p>
      <w:pPr>
        <w:pStyle w:val="CaptionedFigure"/>
      </w:pPr>
      <w:r>
        <w:drawing>
          <wp:inline>
            <wp:extent cx="3733800" cy="2568222"/>
            <wp:effectExtent b="0" l="0" r="0" t="0"/>
            <wp:docPr descr="Файл httpd.conf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8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Файл httpd.conf</w:t>
      </w:r>
    </w:p>
    <w:p>
      <w:pPr>
        <w:pStyle w:val="BodyText"/>
      </w:pPr>
      <w:r>
        <w:t xml:space="preserve">Удалим привязку http_port_t к 81 порту: semanage port -d -t http_port_t -p tcp 81 и проверим, что порт 81 удалён. Удаляем файл var/www/html/test.html: rm /var/www/html/test.html (рис. 20.</w:t>
      </w:r>
    </w:p>
    <w:p>
      <w:pPr>
        <w:pStyle w:val="CaptionedFigure"/>
      </w:pPr>
      <w:r>
        <w:drawing>
          <wp:inline>
            <wp:extent cx="3733800" cy="1121314"/>
            <wp:effectExtent b="0" l="0" r="0" t="0"/>
            <wp:docPr descr="Удаляем привязку http_port_t к 81, выполняем проверку, удаляем файл test.html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1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Удаляем привязку http_port_t к 81, выполняем проверку, удаляем файл test.html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работы, я развила навыки администрирования ОС Linux, получила первое практическое знакомство с технологией SELinux1, а также проверила работу SELinx на практике совместно с веб-сервером Apache.</w:t>
      </w:r>
    </w:p>
    <w:bookmarkEnd w:id="82"/>
    <w:bookmarkStart w:id="85" w:name="список-литературы"/>
    <w:p>
      <w:pPr>
        <w:pStyle w:val="Heading1"/>
      </w:pPr>
      <w:r>
        <w:t xml:space="preserve">Список литературы</w:t>
      </w:r>
    </w:p>
    <w:bookmarkStart w:id="84" w:name="refs"/>
    <w:bookmarkStart w:id="83" w:name="ref-infosec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А.В., Геворкян М.Н. Информационная безопасность компьютерных сетей. Лабораторные работы, учебное пособие. Москва: РУДН, 2015. 64 с.</w:t>
      </w:r>
    </w:p>
    <w:bookmarkEnd w:id="83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Мишина Анастасия Алексеевна</dc:creator>
  <dc:language>ru-RU</dc:language>
  <cp:keywords/>
  <dcterms:created xsi:type="dcterms:W3CDTF">2024-04-25T10:57:14Z</dcterms:created>
  <dcterms:modified xsi:type="dcterms:W3CDTF">2024-04-25T10:57:14Z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