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№4</w:t>
      </w:r>
    </w:p>
    <w:p>
      <w:pPr>
        <w:pStyle w:val="Subtitle"/>
      </w:pPr>
      <w:r>
        <w:t xml:space="preserve">Дисциплина: Администрирование локальных сетей</w:t>
      </w:r>
    </w:p>
    <w:p>
      <w:pPr>
        <w:pStyle w:val="Author"/>
      </w:pPr>
      <w:r>
        <w:t xml:space="preserve">Мишина Анастасия 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Провести подготовительную работу по первоначальной настройке коммутаторов сети</w:t>
      </w:r>
      <w:r>
        <w:t xml:space="preserve"> </w:t>
      </w:r>
      <w:r>
        <w:t xml:space="preserve">[1]</w:t>
      </w:r>
      <w:r>
        <w:t xml:space="preserve">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Требуется сделать первоначальную настройку коммутаторов сети, представленной на схеме L1. Под первоначальной настройкой понимается указание имени устройства, его IP-адреса, настройка доступа по паролю к виртуальным терминалам и консоли, настройка удалённого доступа к устройству по ssh. При выполнении работы необходимо учитывать соглашение об именовании.</w:t>
      </w:r>
    </w:p>
    <w:bookmarkEnd w:id="21"/>
    <w:bookmarkStart w:id="4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логической рабочей области Packet Tracer разместим коммутаторы и оконечные устройства согласно схеме сети L1 (см. рис. 3.1 из раздела 3.3) и соединим их через соответствующие интерфейсы (рис. 1).</w:t>
      </w:r>
    </w:p>
    <w:bookmarkStart w:id="25" w:name="fig:001"/>
    <w:p>
      <w:pPr>
        <w:pStyle w:val="CaptionedFigure"/>
      </w:pPr>
      <w:r>
        <w:drawing>
          <wp:inline>
            <wp:extent cx="4267200" cy="1918495"/>
            <wp:effectExtent b="0" l="0" r="0" t="0"/>
            <wp:docPr descr="Рис. 1: Размещение коммутаторов и оконечных устройств согласно схеме сети L1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918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Размещение коммутаторов и оконечных устройств согласно схеме сети L1</w:t>
      </w:r>
    </w:p>
    <w:bookmarkEnd w:id="25"/>
    <w:p>
      <w:pPr>
        <w:pStyle w:val="BodyText"/>
      </w:pPr>
      <w:r>
        <w:t xml:space="preserve">Используя типовую конфигурацию коммутатора, настроим все коммутаторы, изменяя название устройства и его IP-адрес согласно плану IP.</w:t>
      </w:r>
    </w:p>
    <w:p>
      <w:pPr>
        <w:pStyle w:val="BodyText"/>
      </w:pPr>
      <w:r>
        <w:t xml:space="preserve">Для начала настроим коммутатор msk-donkaya-aamishina-sw-1 (рис. 2). Зададим имя в виде «город-территория-учётная_запись-тип_оборудования-номер», зададим интерфейсу vlan 2 ip-адрес 10.128.1.2 и маску 255.255.255.0, затем поднимем интерфейс. Зададим в качестве адреса шлюза по умолчанию адрес 10.128.1.1. Зададим пароль для доступа к привилегированному режиму (сначала в открытом виде, затем — в зашифрованном). Настроим доступ к оборудованию сначала через telnet, затем — через ssh (используя в качестве имени домена donskaya.rudn.edu). Для пользователя admin зададим доступ 1-го уровня по паролю.</w:t>
      </w:r>
    </w:p>
    <w:bookmarkStart w:id="29" w:name="fig:002"/>
    <w:p>
      <w:pPr>
        <w:pStyle w:val="CaptionedFigure"/>
      </w:pPr>
      <w:r>
        <w:drawing>
          <wp:inline>
            <wp:extent cx="4267200" cy="4310427"/>
            <wp:effectExtent b="0" l="0" r="0" t="0"/>
            <wp:docPr descr="Рис. 2: Настройка коммутатора msk-donkaya-aamishina-sw-1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310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коммутатора msk-donkaya-aamishina-sw-1</w:t>
      </w:r>
    </w:p>
    <w:bookmarkEnd w:id="29"/>
    <w:p>
      <w:pPr>
        <w:pStyle w:val="BodyText"/>
      </w:pPr>
      <w:r>
        <w:t xml:space="preserve">Аналогично настраиваем остальные коммутаторы. Настроим коммутатор msk-donkaya-aamishina-sw-2 (рис. 3). Зададим интерфейсу vlan 2 ip-адрес 10.128.1.3 и маску 255.255.255.0.</w:t>
      </w:r>
    </w:p>
    <w:bookmarkStart w:id="33" w:name="fig:003"/>
    <w:p>
      <w:pPr>
        <w:pStyle w:val="CaptionedFigure"/>
      </w:pPr>
      <w:r>
        <w:drawing>
          <wp:inline>
            <wp:extent cx="4267200" cy="4310427"/>
            <wp:effectExtent b="0" l="0" r="0" t="0"/>
            <wp:docPr descr="Рис. 3: Настройка коммутатора msk-donkaya-aamishina-sw-2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310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коммутатора msk-donkaya-aamishina-sw-2</w:t>
      </w:r>
    </w:p>
    <w:bookmarkEnd w:id="33"/>
    <w:p>
      <w:pPr>
        <w:pStyle w:val="BodyText"/>
      </w:pPr>
      <w:r>
        <w:t xml:space="preserve">Настроим коммутатор msk-donkaya-aamishina-sw-3 (рис. 4). Зададим интерфейсу vlan 2 ip-адрес 10.128.1.4 и маску 255.255.255.0.</w:t>
      </w:r>
    </w:p>
    <w:bookmarkStart w:id="37" w:name="fig:004"/>
    <w:p>
      <w:pPr>
        <w:pStyle w:val="CaptionedFigure"/>
      </w:pPr>
      <w:r>
        <w:drawing>
          <wp:inline>
            <wp:extent cx="4267200" cy="4310427"/>
            <wp:effectExtent b="0" l="0" r="0" t="0"/>
            <wp:docPr descr="Рис. 4: Настройка коммутатора msk-donkaya-aamishina-sw-3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310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коммутатора msk-donkaya-aamishina-sw-3</w:t>
      </w:r>
    </w:p>
    <w:bookmarkEnd w:id="37"/>
    <w:p>
      <w:pPr>
        <w:pStyle w:val="BodyText"/>
      </w:pPr>
      <w:r>
        <w:t xml:space="preserve">Настроим коммутатор msk-donkaya-aamishina-sw-4 (рис. 5). Зададим интерфейсу vlan 2 ip-адрес 10.128.1.5 и маску 255.255.255.0.</w:t>
      </w:r>
    </w:p>
    <w:bookmarkStart w:id="41" w:name="fig:005"/>
    <w:p>
      <w:pPr>
        <w:pStyle w:val="CaptionedFigure"/>
      </w:pPr>
      <w:r>
        <w:drawing>
          <wp:inline>
            <wp:extent cx="4267200" cy="4340984"/>
            <wp:effectExtent b="0" l="0" r="0" t="0"/>
            <wp:docPr descr="Рис. 5: Настройка коммутатора msk-donkaya-aamishina-sw-4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340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коммутатора msk-donkaya-aamishina-sw-4</w:t>
      </w:r>
    </w:p>
    <w:bookmarkEnd w:id="41"/>
    <w:p>
      <w:pPr>
        <w:pStyle w:val="BodyText"/>
      </w:pPr>
      <w:r>
        <w:t xml:space="preserve">Настроим коммутатор msk-pavlovskaya-aamishina-sw-1 (рис. 6). Зададим интерфейсу vlan 2 ip-адрес 10.128.1.6 и маску 255.255.255.0.</w:t>
      </w:r>
    </w:p>
    <w:bookmarkStart w:id="45" w:name="fig:006"/>
    <w:p>
      <w:pPr>
        <w:pStyle w:val="CaptionedFigure"/>
      </w:pPr>
      <w:r>
        <w:drawing>
          <wp:inline>
            <wp:extent cx="4267200" cy="4340984"/>
            <wp:effectExtent b="0" l="0" r="0" t="0"/>
            <wp:docPr descr="Рис. 6: Настройка коммутатора msk-pavlovskaya-aamishina-sw-1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340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 коммутатора msk-pavlovskaya-aamishina-sw-1</w:t>
      </w:r>
    </w:p>
    <w:bookmarkEnd w:id="45"/>
    <w:bookmarkEnd w:id="46"/>
    <w:bookmarkStart w:id="47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При помощи каких команд можно посмотреть конфигурацию сетевого оборудования?</w:t>
      </w:r>
    </w:p>
    <w:p>
      <w:pPr>
        <w:pStyle w:val="FirstParagraph"/>
      </w:pPr>
      <w:r>
        <w:t xml:space="preserve">При помощи команд:</w:t>
      </w:r>
    </w:p>
    <w:p>
      <w:pPr>
        <w:pStyle w:val="SourceCode"/>
      </w:pPr>
      <w:r>
        <w:rPr>
          <w:rStyle w:val="VerbatimChar"/>
        </w:rPr>
        <w:t xml:space="preserve">sh ru</w:t>
      </w:r>
      <w:r>
        <w:br/>
      </w:r>
      <w:r>
        <w:rPr>
          <w:rStyle w:val="VerbatimChar"/>
        </w:rPr>
        <w:t xml:space="preserve">show running-config</w:t>
      </w:r>
    </w:p>
    <w:p>
      <w:pPr>
        <w:pStyle w:val="Compact"/>
        <w:numPr>
          <w:ilvl w:val="0"/>
          <w:numId w:val="1002"/>
        </w:numPr>
      </w:pPr>
      <w:r>
        <w:t xml:space="preserve">При помощи каких команд можно посмотреть стартовый конфигурационный файл оборудования?</w:t>
      </w:r>
    </w:p>
    <w:p>
      <w:pPr>
        <w:pStyle w:val="FirstParagraph"/>
      </w:pPr>
      <w:r>
        <w:t xml:space="preserve">При помощи команд:</w:t>
      </w:r>
    </w:p>
    <w:p>
      <w:pPr>
        <w:pStyle w:val="SourceCode"/>
      </w:pPr>
      <w:r>
        <w:rPr>
          <w:rStyle w:val="VerbatimChar"/>
        </w:rPr>
        <w:t xml:space="preserve">sh sta</w:t>
      </w:r>
      <w:r>
        <w:br/>
      </w:r>
      <w:r>
        <w:rPr>
          <w:rStyle w:val="VerbatimChar"/>
        </w:rPr>
        <w:t xml:space="preserve">show run</w:t>
      </w:r>
    </w:p>
    <w:p>
      <w:pPr>
        <w:pStyle w:val="Compact"/>
        <w:numPr>
          <w:ilvl w:val="0"/>
          <w:numId w:val="1003"/>
        </w:numPr>
      </w:pPr>
      <w:r>
        <w:t xml:space="preserve">При помощи каких команд можно экспортировать конфигурационный файл оборудования?</w:t>
      </w:r>
    </w:p>
    <w:p>
      <w:pPr>
        <w:pStyle w:val="FirstParagraph"/>
      </w:pPr>
      <w:r>
        <w:t xml:space="preserve">Можно нажать кнопку</w:t>
      </w:r>
      <w:r>
        <w:t xml:space="preserve"> </w:t>
      </w:r>
      <w:r>
        <w:rPr>
          <w:rStyle w:val="VerbatimChar"/>
        </w:rPr>
        <w:t xml:space="preserve">Export</w:t>
      </w:r>
      <w:r>
        <w:t xml:space="preserve"> </w:t>
      </w:r>
      <w:r>
        <w:t xml:space="preserve">в окне для конфигурации устройства.</w:t>
      </w:r>
    </w:p>
    <w:p>
      <w:pPr>
        <w:pStyle w:val="Compact"/>
        <w:numPr>
          <w:ilvl w:val="0"/>
          <w:numId w:val="1004"/>
        </w:numPr>
      </w:pPr>
      <w:r>
        <w:t xml:space="preserve">При помощи каких команд можно импортировать конфигурационный файл оборудования?</w:t>
      </w:r>
    </w:p>
    <w:p>
      <w:pPr>
        <w:pStyle w:val="FirstParagraph"/>
      </w:pPr>
      <w:r>
        <w:t xml:space="preserve">Можно нажать кнопку</w:t>
      </w:r>
      <w:r>
        <w:t xml:space="preserve"> </w:t>
      </w:r>
      <w:r>
        <w:rPr>
          <w:rStyle w:val="VerbatimChar"/>
        </w:rPr>
        <w:t xml:space="preserve">Import</w:t>
      </w:r>
      <w:r>
        <w:t xml:space="preserve"> </w:t>
      </w:r>
      <w:r>
        <w:t xml:space="preserve">в окне для конфигурации устройства.</w:t>
      </w:r>
    </w:p>
    <w:bookmarkEnd w:id="47"/>
    <w:bookmarkStart w:id="4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провела подготовительную работу по первоначальной настройке коммутаторов сети.</w:t>
      </w:r>
    </w:p>
    <w:bookmarkEnd w:id="48"/>
    <w:bookmarkStart w:id="51" w:name="список-литературы"/>
    <w:p>
      <w:pPr>
        <w:pStyle w:val="Heading1"/>
      </w:pPr>
      <w:r>
        <w:t xml:space="preserve">Список литературы</w:t>
      </w:r>
    </w:p>
    <w:bookmarkStart w:id="50" w:name="refs"/>
    <w:bookmarkStart w:id="49" w:name="ref-netadmin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Кулябов Д.С., Королькова А.В. Администрирование локальных систем: лабораторные работы : учебное пособие. Москва: РУДН, 2017. 119 с.</w:t>
      </w:r>
    </w:p>
    <w:bookmarkEnd w:id="49"/>
    <w:bookmarkEnd w:id="50"/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Мишина Анастасия Алексеевна</dc:creator>
  <dc:language>ru-RU</dc:language>
  <cp:keywords/>
  <dcterms:created xsi:type="dcterms:W3CDTF">2025-03-04T12:05:21Z</dcterms:created>
  <dcterms:modified xsi:type="dcterms:W3CDTF">2025-03-04T12:05:21Z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14pt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Администрирование локальных сетей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