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29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33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37.png" ContentType="image/png"/>
  <Override PartName="/word/media/rId221.png" ContentType="image/png"/>
  <Override PartName="/word/media/rId225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Дисциплина: Сетевые технологии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аналоговой амплитудной модуляции. Исследование свойства самосинхронизации сигнала.</w:t>
      </w:r>
    </w:p>
    <w:bookmarkEnd w:id="20"/>
    <w:bookmarkStart w:id="2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1" w:name="построение-графиков-в-octav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Построение графиков в Octave</w:t>
      </w:r>
    </w:p>
    <w:p>
      <w:pPr>
        <w:pStyle w:val="FirstParagraph"/>
      </w:pPr>
      <w:r>
        <w:t xml:space="preserve">Запускаем Octave, создаем новый сценарий под названием plot_sin.m. В окне редактора повторяем листинг по построению графика функции y = sin x + 1/3 sin 3x + 1/5 sin 5x на интервале [−10; 10] (рис. 1).</w:t>
      </w:r>
    </w:p>
    <w:bookmarkStart w:id="24" w:name="fig:001"/>
    <w:p>
      <w:pPr>
        <w:pStyle w:val="CaptionedFigure"/>
      </w:pPr>
      <w:r>
        <w:drawing>
          <wp:inline>
            <wp:extent cx="4267200" cy="2778482"/>
            <wp:effectExtent b="0" l="0" r="0" t="0"/>
            <wp:docPr descr="Рис. 1: Листинг файла plot_sin.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Листинг файла plot_sin.m</w:t>
      </w:r>
    </w:p>
    <w:bookmarkEnd w:id="24"/>
    <w:p>
      <w:pPr>
        <w:pStyle w:val="BodyText"/>
      </w:pPr>
      <w:r>
        <w:t xml:space="preserve">Запускаем сценарий на выполнение, открывается окно с графиком (рис. 2). В рабочем каталоге появляются файла с графиками в форматах .eps, .png (рис. 3).</w:t>
      </w:r>
    </w:p>
    <w:bookmarkStart w:id="28" w:name="fig:002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2: График функций y1 на интервале −10; 1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функций y1 на интервале −10; 10</w:t>
      </w:r>
    </w:p>
    <w:bookmarkEnd w:id="28"/>
    <w:bookmarkStart w:id="32" w:name="fig:003"/>
    <w:p>
      <w:pPr>
        <w:pStyle w:val="CaptionedFigure"/>
      </w:pPr>
      <w:r>
        <w:drawing>
          <wp:inline>
            <wp:extent cx="4267200" cy="2740721"/>
            <wp:effectExtent b="0" l="0" r="0" t="0"/>
            <wp:docPr descr="Рис. 3: Файлы .eps, .png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4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Файлы .eps, .png</w:t>
      </w:r>
    </w:p>
    <w:bookmarkEnd w:id="32"/>
    <w:p>
      <w:pPr>
        <w:pStyle w:val="BodyText"/>
      </w:pPr>
      <w:r>
        <w:t xml:space="preserve">Сохраним сценарий под названием plot_sin_cos.m и изменим его так, чтобы наодном графике располагались отличающиеся по типу линий графики функций y1 = sin x + 1/3 sin 3x + 1/5 sin 5x, y2 = cos x + 1/3 cos 3x + 1/5 cos 5x. Итоговый листинг (рис. 4).</w:t>
      </w:r>
    </w:p>
    <w:bookmarkStart w:id="36" w:name="fig:004"/>
    <w:p>
      <w:pPr>
        <w:pStyle w:val="CaptionedFigure"/>
      </w:pPr>
      <w:r>
        <w:drawing>
          <wp:inline>
            <wp:extent cx="4267200" cy="2725892"/>
            <wp:effectExtent b="0" l="0" r="0" t="0"/>
            <wp:docPr descr="Рис. 4: Листинг файла plot_sin_cos.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2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Листинг файла plot_sin_cos.m</w:t>
      </w:r>
    </w:p>
    <w:bookmarkEnd w:id="36"/>
    <w:p>
      <w:pPr>
        <w:pStyle w:val="BodyText"/>
      </w:pPr>
      <w:r>
        <w:t xml:space="preserve">Запускаем, получаем еще один график (рис. 5).</w:t>
      </w:r>
    </w:p>
    <w:bookmarkStart w:id="40" w:name="fig:005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5: График функций y1 и y2 на интервале −10; 10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функций y1 и y2 на интервале −10; 10</w:t>
      </w:r>
    </w:p>
    <w:bookmarkEnd w:id="40"/>
    <w:bookmarkEnd w:id="41"/>
    <w:bookmarkStart w:id="58" w:name="X8e9443a3a21f1f9a439738de6e925a31b07fcc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Разложение импульсного сигнала в частичный ряд Фурье</w:t>
      </w:r>
    </w:p>
    <w:p>
      <w:pPr>
        <w:pStyle w:val="FirstParagraph"/>
      </w:pPr>
      <w:r>
        <w:t xml:space="preserve">Создадим новый сценарий meandr.m. В кодe зададим начальные значения. Вычислим амплитуду гармоник и заполним массивы гармоник и элементов ряда. Далее задаём массив значений гармоник массив элементов ряда. Для построения в одном окне отдельных графиков меандра с различным количеством гармоник реализуем суммирование ряда с накоплением и воспользуемся функциями subplot и plot для построения графиков. Также экспортируем полученный график в файл в формате .png (рис. 6), (рис. 7).</w:t>
      </w:r>
    </w:p>
    <w:bookmarkStart w:id="45" w:name="fig:006"/>
    <w:p>
      <w:pPr>
        <w:pStyle w:val="CaptionedFigure"/>
      </w:pPr>
      <w:r>
        <w:drawing>
          <wp:inline>
            <wp:extent cx="4267200" cy="4930156"/>
            <wp:effectExtent b="0" l="0" r="0" t="0"/>
            <wp:docPr descr="Рис. 6: Листинг файла meandr.m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3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Листинг файла meandr.m</w:t>
      </w:r>
    </w:p>
    <w:bookmarkEnd w:id="45"/>
    <w:bookmarkStart w:id="49" w:name="fig:007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7: Меандр через косинус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Меандр через косинусы</w:t>
      </w:r>
    </w:p>
    <w:bookmarkEnd w:id="49"/>
    <w:p>
      <w:pPr>
        <w:pStyle w:val="BodyText"/>
      </w:pPr>
      <w:r>
        <w:t xml:space="preserve">Также реализуем меандр через синусы (рис. 8), (рис. 9).</w:t>
      </w:r>
    </w:p>
    <w:bookmarkStart w:id="53" w:name="fig:008"/>
    <w:p>
      <w:pPr>
        <w:pStyle w:val="CaptionedFigure"/>
      </w:pPr>
      <w:r>
        <w:drawing>
          <wp:inline>
            <wp:extent cx="4267200" cy="4930156"/>
            <wp:effectExtent b="0" l="0" r="0" t="0"/>
            <wp:docPr descr="Рис. 8: Листинг файла meandr.m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3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Листинг файла meandr.m</w:t>
      </w:r>
    </w:p>
    <w:bookmarkEnd w:id="53"/>
    <w:bookmarkStart w:id="57" w:name="fig:009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9: Меандр через синусы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Меандр через синусы</w:t>
      </w:r>
    </w:p>
    <w:bookmarkEnd w:id="57"/>
    <w:bookmarkEnd w:id="58"/>
    <w:bookmarkStart w:id="91" w:name="определение-спектра-и-параметров-сигна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Определение спектра и параметров сигнала</w:t>
      </w:r>
    </w:p>
    <w:p>
      <w:pPr>
        <w:pStyle w:val="FirstParagraph"/>
      </w:pPr>
      <w:r>
        <w:t xml:space="preserve">Создадим в рабочем каталоге каталог spectre1 и в нем новый сценарий spectre.m. В коде сценария зададим начальные значения, а также два синусоидальных сигнала разной частоты, построим графики сигналов (рис. 10), (рис. 11).</w:t>
      </w:r>
    </w:p>
    <w:bookmarkStart w:id="62" w:name="fig:010"/>
    <w:p>
      <w:pPr>
        <w:pStyle w:val="CaptionedFigure"/>
      </w:pPr>
      <w:r>
        <w:drawing>
          <wp:inline>
            <wp:extent cx="4267200" cy="4981200"/>
            <wp:effectExtent b="0" l="0" r="0" t="0"/>
            <wp:docPr descr="Рис. 10: Листинг файла spectre.m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Листинг файла spectre.m</w:t>
      </w:r>
    </w:p>
    <w:bookmarkEnd w:id="62"/>
    <w:bookmarkStart w:id="66" w:name="fig:011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11: Графики сигналов разной частоты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Графики сигналов разной частоты</w:t>
      </w:r>
    </w:p>
    <w:bookmarkEnd w:id="66"/>
    <w:p>
      <w:pPr>
        <w:pStyle w:val="BodyText"/>
      </w:pPr>
      <w:r>
        <w:t xml:space="preserve">Затем с помощью быстрого преобразования Фурье найдем спектры сигналов, добавив в файл spectre.m код из мануала в ТУИСе. Учитывая реализацию преобразования Фурье, скорректируем график спектра (рис. 12): отбросим дублирующие отрицательные частоты, а также примим в расчёт то, что на каждом шаге вычисления быстрого преобразования Фурье происходит суммирование амплитуд сигналов.</w:t>
      </w:r>
    </w:p>
    <w:bookmarkStart w:id="70" w:name="fig:012"/>
    <w:p>
      <w:pPr>
        <w:pStyle w:val="CaptionedFigure"/>
      </w:pPr>
      <w:r>
        <w:drawing>
          <wp:inline>
            <wp:extent cx="4267200" cy="5462893"/>
            <wp:effectExtent b="0" l="0" r="0" t="0"/>
            <wp:docPr descr="Рис. 12: Листинг файла spectre.m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6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Листинг файла spectre.m</w:t>
      </w:r>
    </w:p>
    <w:bookmarkEnd w:id="70"/>
    <w:p>
      <w:pPr>
        <w:pStyle w:val="BodyText"/>
      </w:pPr>
      <w:r>
        <w:t xml:space="preserve">Получим следующие графики: график спектров синусоидальных сигналов (рис. 13) и исправленный график спектров синусоидальных сигналов (рис. 14).</w:t>
      </w:r>
    </w:p>
    <w:bookmarkStart w:id="74" w:name="fig:013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13: График спектра синусоидальных сигналов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График спектра синусоидальных сигналов</w:t>
      </w:r>
    </w:p>
    <w:bookmarkEnd w:id="74"/>
    <w:bookmarkStart w:id="78" w:name="fig:014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14: Исправленный график спектров синусоидальных сигна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Исправленный график спектров синусоидальных сигналов</w:t>
      </w:r>
    </w:p>
    <w:bookmarkEnd w:id="78"/>
    <w:p>
      <w:pPr>
        <w:pStyle w:val="BodyText"/>
      </w:pPr>
      <w:r>
        <w:t xml:space="preserve">Найдем спектр суммы рассмотренных сигналов, создадим каталог spectr_sum и в нем spectre_sum.m (рис. 15), (рис. 16).</w:t>
      </w:r>
    </w:p>
    <w:bookmarkStart w:id="82" w:name="fig:015"/>
    <w:p>
      <w:pPr>
        <w:pStyle w:val="CaptionedFigure"/>
      </w:pPr>
      <w:r>
        <w:drawing>
          <wp:inline>
            <wp:extent cx="4267200" cy="6014800"/>
            <wp:effectExtent b="0" l="0" r="0" t="0"/>
            <wp:docPr descr="Рис. 15: Листинг файла spectre_sum.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Листинг файла spectre_sum.m</w:t>
      </w:r>
    </w:p>
    <w:bookmarkEnd w:id="82"/>
    <w:bookmarkStart w:id="86" w:name="fig:016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16: Суммарный сигнал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Суммарный сигнал</w:t>
      </w:r>
    </w:p>
    <w:bookmarkEnd w:id="86"/>
    <w:p>
      <w:pPr>
        <w:pStyle w:val="BodyText"/>
      </w:pPr>
      <w:r>
        <w:t xml:space="preserve">В результате должен получится аналогичный предыдущему результат (рис. 17), т.е. спектр суммы сигналов должен быть равен сумме спектров сигналов, что вытекает из свойств преобразования Фурье.</w:t>
      </w:r>
    </w:p>
    <w:bookmarkStart w:id="90" w:name="fig:017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17: Спектр суммарного сигнал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Спектр суммарного сигнала</w:t>
      </w:r>
    </w:p>
    <w:bookmarkEnd w:id="90"/>
    <w:bookmarkEnd w:id="91"/>
    <w:bookmarkStart w:id="104" w:name="амплитудная-модуляци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Амплитудная модуляция</w:t>
      </w:r>
    </w:p>
    <w:p>
      <w:pPr>
        <w:pStyle w:val="FirstParagraph"/>
      </w:pPr>
      <w:r>
        <w:t xml:space="preserve">В рабочем каталоге создадим каталог modulation и в нём новый сценарий с именем am.m. Добавим в него код из мануала (рис. 18).</w:t>
      </w:r>
    </w:p>
    <w:bookmarkStart w:id="95" w:name="fig:018"/>
    <w:p>
      <w:pPr>
        <w:pStyle w:val="CaptionedFigure"/>
      </w:pPr>
      <w:r>
        <w:drawing>
          <wp:inline>
            <wp:extent cx="4267200" cy="6099635"/>
            <wp:effectExtent b="0" l="0" r="0" t="0"/>
            <wp:docPr descr="Рис. 18: Листинг файла am.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99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Листинг файла am.m</w:t>
      </w:r>
    </w:p>
    <w:bookmarkEnd w:id="95"/>
    <w:p>
      <w:pPr>
        <w:pStyle w:val="BodyText"/>
      </w:pPr>
      <w:r>
        <w:t xml:space="preserve">В результате получаем, что спектр произведения представляет собой свертку спектров (рис. 19), (рис. 20).</w:t>
      </w:r>
    </w:p>
    <w:bookmarkStart w:id="99" w:name="fig:019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19: Сигнал и огибающая при амплитудной модуляции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Сигнал и огибающая при амплитудной модуляции</w:t>
      </w:r>
    </w:p>
    <w:bookmarkEnd w:id="99"/>
    <w:bookmarkStart w:id="103" w:name="fig:020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20: Спектр сигнала при амплитудной модуляции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Спектр сигнала при амплитудной модуляции</w:t>
      </w:r>
    </w:p>
    <w:bookmarkEnd w:id="103"/>
    <w:bookmarkEnd w:id="104"/>
    <w:bookmarkStart w:id="229" w:name="Xd3d5453b5762a1b1c0f0f300c80832d13c9bffc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Кодирование сигнала. Исследование свойства самосинхронизации сигнала</w:t>
      </w:r>
    </w:p>
    <w:p>
      <w:pPr>
        <w:pStyle w:val="FirstParagraph"/>
      </w:pPr>
      <w:r>
        <w:t xml:space="preserve">В рабочем каталоге создадим каталог coding и в нём файлы main.m, maptowave.m, unipolar.m, ami.m, bipolarnrz.m, bipolarrz.m, manchester.m, diffmanc.m, calcspectre.m.</w:t>
      </w:r>
    </w:p>
    <w:p>
      <w:pPr>
        <w:pStyle w:val="BodyText"/>
      </w:pPr>
      <w:r>
        <w:t xml:space="preserve">В окне интерпретатора команд проверяем, установлен ли пакет расширений signal: pkg list. Так как он не установлен, то устанавливаем его: pkg list -forge и pkg install control signal (рис. 21).</w:t>
      </w:r>
    </w:p>
    <w:bookmarkStart w:id="108" w:name="fig:021"/>
    <w:p>
      <w:pPr>
        <w:pStyle w:val="CaptionedFigure"/>
      </w:pPr>
      <w:r>
        <w:drawing>
          <wp:inline>
            <wp:extent cx="4267200" cy="557204"/>
            <wp:effectExtent b="0" l="0" r="0" t="0"/>
            <wp:docPr descr="Рис. 21: Проверка правильности установки пакета signal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5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правильности установки пакета signal</w:t>
      </w:r>
    </w:p>
    <w:bookmarkEnd w:id="108"/>
    <w:p>
      <w:pPr>
        <w:pStyle w:val="BodyText"/>
      </w:pPr>
      <w:r>
        <w:t xml:space="preserve">В файле main.m подключаем пакет signal и задаем входные кодовые последовательности (рис. 22).</w:t>
      </w:r>
    </w:p>
    <w:bookmarkStart w:id="112" w:name="fig:022"/>
    <w:p>
      <w:pPr>
        <w:pStyle w:val="CaptionedFigure"/>
      </w:pPr>
      <w:r>
        <w:drawing>
          <wp:inline>
            <wp:extent cx="4267200" cy="1841280"/>
            <wp:effectExtent b="0" l="0" r="0" t="0"/>
            <wp:docPr descr="Рис. 22: Задаем входные кодовые последовательности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4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Задаем входные кодовые последовательности</w:t>
      </w:r>
    </w:p>
    <w:bookmarkEnd w:id="112"/>
    <w:p>
      <w:pPr>
        <w:pStyle w:val="BodyText"/>
      </w:pPr>
      <w:r>
        <w:t xml:space="preserve">Затем в этом же файле пропишем вызовы функций для построения графиков модуляций кодированных сигналов для кодовой последовательности data (рис. 23).</w:t>
      </w:r>
    </w:p>
    <w:bookmarkStart w:id="116" w:name="fig:023"/>
    <w:p>
      <w:pPr>
        <w:pStyle w:val="CaptionedFigure"/>
      </w:pPr>
      <w:r>
        <w:drawing>
          <wp:inline>
            <wp:extent cx="4267200" cy="6454288"/>
            <wp:effectExtent b="0" l="0" r="0" t="0"/>
            <wp:docPr descr="Рис. 23: Вызовы функций для посторения модуляций кодированных сигналов кодовой последовательности data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5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Вызовы функций для посторения модуляций кодированных сигналов кодовой последовательности data</w:t>
      </w:r>
    </w:p>
    <w:bookmarkEnd w:id="116"/>
    <w:p>
      <w:pPr>
        <w:pStyle w:val="BodyText"/>
      </w:pPr>
      <w:r>
        <w:t xml:space="preserve">Пропишем вызовы функций для построения графиков модуляций кодированных сигналов для кодовой последовательности data_sync (рис. 24).</w:t>
      </w:r>
    </w:p>
    <w:bookmarkStart w:id="120" w:name="fig:024"/>
    <w:p>
      <w:pPr>
        <w:pStyle w:val="CaptionedFigure"/>
      </w:pPr>
      <w:r>
        <w:drawing>
          <wp:inline>
            <wp:extent cx="4267200" cy="6454288"/>
            <wp:effectExtent b="0" l="0" r="0" t="0"/>
            <wp:docPr descr="Рис. 24: Вызовы функций для посторения модуляций кодированных сигналов кодовой последовательности data_sync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5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Вызовы функций для посторения модуляций кодированных сигналов кодовой последовательности data_sync</w:t>
      </w:r>
    </w:p>
    <w:bookmarkEnd w:id="120"/>
    <w:p>
      <w:pPr>
        <w:pStyle w:val="BodyText"/>
      </w:pPr>
      <w:r>
        <w:t xml:space="preserve">Далее в этом же файле пропишем вызовы функций для построения графиков спектров (рис. 25).</w:t>
      </w:r>
    </w:p>
    <w:bookmarkStart w:id="124" w:name="fig:025"/>
    <w:p>
      <w:pPr>
        <w:pStyle w:val="CaptionedFigure"/>
      </w:pPr>
      <w:r>
        <w:drawing>
          <wp:inline>
            <wp:extent cx="4267200" cy="6454288"/>
            <wp:effectExtent b="0" l="0" r="0" t="0"/>
            <wp:docPr descr="Рис. 25: Вызовы функций для посторения графиков спектров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5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Вызовы функций для посторения графиков спектров</w:t>
      </w:r>
    </w:p>
    <w:bookmarkEnd w:id="124"/>
    <w:p>
      <w:pPr>
        <w:pStyle w:val="BodyText"/>
      </w:pPr>
      <w:r>
        <w:t xml:space="preserve">В файле maptowave.m пропишем функцию, которая по входному битовому потоку строит график сигнала (рис. 26).</w:t>
      </w:r>
    </w:p>
    <w:bookmarkStart w:id="128" w:name="fig:026"/>
    <w:p>
      <w:pPr>
        <w:pStyle w:val="CaptionedFigure"/>
      </w:pPr>
      <w:r>
        <w:drawing>
          <wp:inline>
            <wp:extent cx="4267200" cy="1236090"/>
            <wp:effectExtent b="0" l="0" r="0" t="0"/>
            <wp:docPr descr="Рис. 26: Листинг файла maptowave.m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3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Листинг файла maptowave.m</w:t>
      </w:r>
    </w:p>
    <w:bookmarkEnd w:id="128"/>
    <w:p>
      <w:pPr>
        <w:pStyle w:val="BodyText"/>
      </w:pPr>
      <w:r>
        <w:t xml:space="preserve">В файлах unipolar.m (рис. 27), ami.m (рис. 28), bipolarnrz.m (рис. 29), bipolarrz.m (рис. 30), manchester.m (рис. 31), diffmanc.m (рис. 32) пропишем соответствующие функции преобразования кодовой последовательности data с вызовом функции maptowave для построения соответствующего графика.</w:t>
      </w:r>
    </w:p>
    <w:bookmarkStart w:id="132" w:name="fig:027"/>
    <w:p>
      <w:pPr>
        <w:pStyle w:val="CaptionedFigure"/>
      </w:pPr>
      <w:r>
        <w:drawing>
          <wp:inline>
            <wp:extent cx="4267200" cy="1236090"/>
            <wp:effectExtent b="0" l="0" r="0" t="0"/>
            <wp:docPr descr="Рис. 27: Листинг файла unipolar.m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3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Листинг файла unipolar.m</w:t>
      </w:r>
    </w:p>
    <w:bookmarkEnd w:id="132"/>
    <w:bookmarkStart w:id="136" w:name="fig:028"/>
    <w:p>
      <w:pPr>
        <w:pStyle w:val="CaptionedFigure"/>
      </w:pPr>
      <w:r>
        <w:drawing>
          <wp:inline>
            <wp:extent cx="4267200" cy="1876281"/>
            <wp:effectExtent b="0" l="0" r="0" t="0"/>
            <wp:docPr descr="Рис. 28: Листинг файла ami.m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Листинг файла ami.m</w:t>
      </w:r>
    </w:p>
    <w:bookmarkEnd w:id="136"/>
    <w:bookmarkStart w:id="140" w:name="fig:029"/>
    <w:p>
      <w:pPr>
        <w:pStyle w:val="CaptionedFigure"/>
      </w:pPr>
      <w:r>
        <w:drawing>
          <wp:inline>
            <wp:extent cx="4267200" cy="1461369"/>
            <wp:effectExtent b="0" l="0" r="0" t="0"/>
            <wp:docPr descr="Рис. 29: Листинг файла bipolarnrz.m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Листинг файла bipolarnrz.m</w:t>
      </w:r>
    </w:p>
    <w:bookmarkEnd w:id="140"/>
    <w:bookmarkStart w:id="144" w:name="fig:030"/>
    <w:p>
      <w:pPr>
        <w:pStyle w:val="CaptionedFigure"/>
      </w:pPr>
      <w:r>
        <w:drawing>
          <wp:inline>
            <wp:extent cx="4267200" cy="1461369"/>
            <wp:effectExtent b="0" l="0" r="0" t="0"/>
            <wp:docPr descr="Рис. 30: Листинг файла bipolarrz.m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Листинг файла bipolarrz.m</w:t>
      </w:r>
    </w:p>
    <w:bookmarkEnd w:id="144"/>
    <w:bookmarkStart w:id="148" w:name="fig:031"/>
    <w:p>
      <w:pPr>
        <w:pStyle w:val="CaptionedFigure"/>
      </w:pPr>
      <w:r>
        <w:drawing>
          <wp:inline>
            <wp:extent cx="4267200" cy="1461369"/>
            <wp:effectExtent b="0" l="0" r="0" t="0"/>
            <wp:docPr descr="Рис. 31: Листинг файла manchester.m" title="" id="146" name="Picture"/>
            <a:graphic>
              <a:graphicData uri="http://schemas.openxmlformats.org/drawingml/2006/picture">
                <pic:pic>
                  <pic:nvPicPr>
                    <pic:cNvPr descr="image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Листинг файла manchester.m</w:t>
      </w:r>
    </w:p>
    <w:bookmarkEnd w:id="148"/>
    <w:bookmarkStart w:id="152" w:name="fig:032"/>
    <w:p>
      <w:pPr>
        <w:pStyle w:val="CaptionedFigure"/>
      </w:pPr>
      <w:r>
        <w:drawing>
          <wp:inline>
            <wp:extent cx="4267200" cy="1461369"/>
            <wp:effectExtent b="0" l="0" r="0" t="0"/>
            <wp:docPr descr="Рис. 32: Листинг файла diffmanc.m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Листинг файла diffmanc.m</w:t>
      </w:r>
    </w:p>
    <w:bookmarkEnd w:id="152"/>
    <w:p>
      <w:pPr>
        <w:pStyle w:val="BodyText"/>
      </w:pPr>
      <w:r>
        <w:t xml:space="preserve">В файле calcspectre.m пропишем функцию построения спектра сигнала (рис. 33).</w:t>
      </w:r>
    </w:p>
    <w:bookmarkStart w:id="156" w:name="fig:033"/>
    <w:p>
      <w:pPr>
        <w:pStyle w:val="CaptionedFigure"/>
      </w:pPr>
      <w:r>
        <w:drawing>
          <wp:inline>
            <wp:extent cx="4267200" cy="2196230"/>
            <wp:effectExtent b="0" l="0" r="0" t="0"/>
            <wp:docPr descr="Рис. 33: Листинг файла calcspectre.m" title="" id="154" name="Picture"/>
            <a:graphic>
              <a:graphicData uri="http://schemas.openxmlformats.org/drawingml/2006/picture">
                <pic:pic>
                  <pic:nvPicPr>
                    <pic:cNvPr descr="image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9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Листинг файла calcspectre.m</w:t>
      </w:r>
    </w:p>
    <w:bookmarkEnd w:id="156"/>
    <w:p>
      <w:pPr>
        <w:pStyle w:val="BodyText"/>
      </w:pPr>
      <w:r>
        <w:t xml:space="preserve">Запустим главный скрипт main.m. В каталоге signal должны быть получены файлы с графиками кодированного сигнала (рис. 34-39), в каталоге sync — файлы с графиками, иллюстрирующими свойства самосинхронизации (рис. 40-45), в каталоге spectre — файлы с графиками спектров сигналов (рис. 46-51).</w:t>
      </w:r>
    </w:p>
    <w:bookmarkStart w:id="160" w:name="fig:034"/>
    <w:p>
      <w:pPr>
        <w:pStyle w:val="CaptionedFigure"/>
      </w:pPr>
      <w:r>
        <w:drawing>
          <wp:inline>
            <wp:extent cx="4267200" cy="3200400"/>
            <wp:effectExtent b="0" l="0" r="0" t="0"/>
            <wp:docPr descr="Рис. 34: Униполярное кодирование" title="" id="158" name="Picture"/>
            <a:graphic>
              <a:graphicData uri="http://schemas.openxmlformats.org/drawingml/2006/picture">
                <pic:pic>
                  <pic:nvPicPr>
                    <pic:cNvPr descr="image/3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Униполярное кодирование</w:t>
      </w:r>
    </w:p>
    <w:bookmarkEnd w:id="160"/>
    <w:bookmarkStart w:id="164" w:name="fig:035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35: Кодирование AMI" title="" id="162" name="Picture"/>
            <a:graphic>
              <a:graphicData uri="http://schemas.openxmlformats.org/drawingml/2006/picture">
                <pic:pic>
                  <pic:nvPicPr>
                    <pic:cNvPr descr="image/35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Кодирование AMI</w:t>
      </w:r>
    </w:p>
    <w:bookmarkEnd w:id="164"/>
    <w:bookmarkStart w:id="168" w:name="fig:036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36: Кодирование NRZ" title="" id="166" name="Picture"/>
            <a:graphic>
              <a:graphicData uri="http://schemas.openxmlformats.org/drawingml/2006/picture">
                <pic:pic>
                  <pic:nvPicPr>
                    <pic:cNvPr descr="image/36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Кодирование NRZ</w:t>
      </w:r>
    </w:p>
    <w:bookmarkEnd w:id="168"/>
    <w:bookmarkStart w:id="172" w:name="fig:037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37: Кодирование RZ" title="" id="170" name="Picture"/>
            <a:graphic>
              <a:graphicData uri="http://schemas.openxmlformats.org/drawingml/2006/picture">
                <pic:pic>
                  <pic:nvPicPr>
                    <pic:cNvPr descr="image/3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Кодирование RZ</w:t>
      </w:r>
    </w:p>
    <w:bookmarkEnd w:id="172"/>
    <w:bookmarkStart w:id="176" w:name="fig:38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38: Манчестерское кодирование" title="" id="174" name="Picture"/>
            <a:graphic>
              <a:graphicData uri="http://schemas.openxmlformats.org/drawingml/2006/picture">
                <pic:pic>
                  <pic:nvPicPr>
                    <pic:cNvPr descr="image/38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Манчестерское кодирование</w:t>
      </w:r>
    </w:p>
    <w:bookmarkEnd w:id="176"/>
    <w:bookmarkStart w:id="180" w:name="fig:039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39: Дифференциальное манчестерское кодирование" title="" id="178" name="Picture"/>
            <a:graphic>
              <a:graphicData uri="http://schemas.openxmlformats.org/drawingml/2006/picture">
                <pic:pic>
                  <pic:nvPicPr>
                    <pic:cNvPr descr="image/39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Дифференциальное манчестерское кодирование</w:t>
      </w:r>
    </w:p>
    <w:bookmarkEnd w:id="180"/>
    <w:bookmarkStart w:id="184" w:name="fig:040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0: Униполярное кодирование: нет самосинхронизации" title="" id="182" name="Picture"/>
            <a:graphic>
              <a:graphicData uri="http://schemas.openxmlformats.org/drawingml/2006/picture">
                <pic:pic>
                  <pic:nvPicPr>
                    <pic:cNvPr descr="image/40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Униполярное кодирование: нет самосинхронизации</w:t>
      </w:r>
    </w:p>
    <w:bookmarkEnd w:id="184"/>
    <w:bookmarkStart w:id="188" w:name="fig:041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1: Кодирование AMI: самосинхронизация при наличии сигнала" title="" id="186" name="Picture"/>
            <a:graphic>
              <a:graphicData uri="http://schemas.openxmlformats.org/drawingml/2006/picture">
                <pic:pic>
                  <pic:nvPicPr>
                    <pic:cNvPr descr="image/4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Кодирование AMI: самосинхронизация при наличии сигнала</w:t>
      </w:r>
    </w:p>
    <w:bookmarkEnd w:id="188"/>
    <w:bookmarkStart w:id="192" w:name="fig:042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2: Кодирование NRZ: нет самосинхронизации" title="" id="190" name="Picture"/>
            <a:graphic>
              <a:graphicData uri="http://schemas.openxmlformats.org/drawingml/2006/picture">
                <pic:pic>
                  <pic:nvPicPr>
                    <pic:cNvPr descr="image/42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Кодирование NRZ: нет самосинхронизации</w:t>
      </w:r>
    </w:p>
    <w:bookmarkEnd w:id="192"/>
    <w:bookmarkStart w:id="196" w:name="fig:043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3: Кодирование RZ: есть самосинхронизация" title="" id="194" name="Picture"/>
            <a:graphic>
              <a:graphicData uri="http://schemas.openxmlformats.org/drawingml/2006/picture">
                <pic:pic>
                  <pic:nvPicPr>
                    <pic:cNvPr descr="image/43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Кодирование RZ: есть самосинхронизация</w:t>
      </w:r>
    </w:p>
    <w:bookmarkEnd w:id="196"/>
    <w:bookmarkStart w:id="200" w:name="fig:044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4: Манчестерское кодирование: есть самосинхронизация" title="" id="198" name="Picture"/>
            <a:graphic>
              <a:graphicData uri="http://schemas.openxmlformats.org/drawingml/2006/picture">
                <pic:pic>
                  <pic:nvPicPr>
                    <pic:cNvPr descr="image/44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Манчестерское кодирование: есть самосинхронизация</w:t>
      </w:r>
    </w:p>
    <w:bookmarkEnd w:id="200"/>
    <w:bookmarkStart w:id="204" w:name="fig:045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5: Дифференциальное манчестерское кодирование: есть самосинхронизация" title="" id="202" name="Picture"/>
            <a:graphic>
              <a:graphicData uri="http://schemas.openxmlformats.org/drawingml/2006/picture">
                <pic:pic>
                  <pic:nvPicPr>
                    <pic:cNvPr descr="image/45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Дифференциальное манчестерское кодирование: есть самосинхронизация</w:t>
      </w:r>
    </w:p>
    <w:bookmarkEnd w:id="204"/>
    <w:bookmarkStart w:id="208" w:name="fig:046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6: Униполярное кодирование: спектр сигнала" title="" id="206" name="Picture"/>
            <a:graphic>
              <a:graphicData uri="http://schemas.openxmlformats.org/drawingml/2006/picture">
                <pic:pic>
                  <pic:nvPicPr>
                    <pic:cNvPr descr="image/46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Униполярное кодирование: спектр сигнала</w:t>
      </w:r>
    </w:p>
    <w:bookmarkEnd w:id="208"/>
    <w:bookmarkStart w:id="212" w:name="fig:047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7: Кодирование AMI: спектр сигнала" title="" id="210" name="Picture"/>
            <a:graphic>
              <a:graphicData uri="http://schemas.openxmlformats.org/drawingml/2006/picture">
                <pic:pic>
                  <pic:nvPicPr>
                    <pic:cNvPr descr="image/47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Кодирование AMI: спектр сигнала</w:t>
      </w:r>
    </w:p>
    <w:bookmarkEnd w:id="212"/>
    <w:bookmarkStart w:id="216" w:name="fig:048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8: Кодирование NRZ: спектр сигнала" title="" id="214" name="Picture"/>
            <a:graphic>
              <a:graphicData uri="http://schemas.openxmlformats.org/drawingml/2006/picture">
                <pic:pic>
                  <pic:nvPicPr>
                    <pic:cNvPr descr="image/48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Кодирование NRZ: спектр сигнала</w:t>
      </w:r>
    </w:p>
    <w:bookmarkEnd w:id="216"/>
    <w:bookmarkStart w:id="220" w:name="fig:049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49: Кодирование RZ: спектр сигнала" title="" id="218" name="Picture"/>
            <a:graphic>
              <a:graphicData uri="http://schemas.openxmlformats.org/drawingml/2006/picture">
                <pic:pic>
                  <pic:nvPicPr>
                    <pic:cNvPr descr="image/49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Кодирование RZ: спектр сигнала</w:t>
      </w:r>
    </w:p>
    <w:bookmarkEnd w:id="220"/>
    <w:bookmarkStart w:id="224" w:name="fig:050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50: Манчестерское кодирование: спектр сигнала" title="" id="222" name="Picture"/>
            <a:graphic>
              <a:graphicData uri="http://schemas.openxmlformats.org/drawingml/2006/picture">
                <pic:pic>
                  <pic:nvPicPr>
                    <pic:cNvPr descr="image/50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Манчестерское кодирование: спектр сигнала</w:t>
      </w:r>
    </w:p>
    <w:bookmarkEnd w:id="224"/>
    <w:bookmarkStart w:id="228" w:name="fig:051"/>
    <w:p>
      <w:pPr>
        <w:pStyle w:val="CaptionedFigure"/>
      </w:pPr>
      <w:r>
        <w:drawing>
          <wp:inline>
            <wp:extent cx="4267200" cy="3203642"/>
            <wp:effectExtent b="0" l="0" r="0" t="0"/>
            <wp:docPr descr="Рис. 51: Дифференциальное манчестерское кодирование: спектр сигнала" title="" id="226" name="Picture"/>
            <a:graphic>
              <a:graphicData uri="http://schemas.openxmlformats.org/drawingml/2006/picture">
                <pic:pic>
                  <pic:nvPicPr>
                    <pic:cNvPr descr="image/51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Дифференциальное манчестерское кодирование: спектр сигнала</w:t>
      </w:r>
    </w:p>
    <w:bookmarkEnd w:id="228"/>
    <w:bookmarkEnd w:id="229"/>
    <w:bookmarkEnd w:id="230"/>
    <w:bookmarkStart w:id="2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методы кодирования и модуляции сигналов с помощью высокоуровнего языка программирования Octave. Определила спектр и параметры сигнала. Продемонстрировала принципы модуляции сигнала на примере аналоговой амплитудной модуляции. Исследовала свойства самосинхронизации сигнала.</w:t>
      </w:r>
    </w:p>
    <w:bookmarkEnd w:id="2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29" Target="media/rId29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33" Target="media/rId33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37" Target="media/rId37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Мишина Анастасия Алексеевна</dc:creator>
  <dc:language>ru-RU</dc:language>
  <cp:keywords/>
  <dcterms:created xsi:type="dcterms:W3CDTF">2024-09-12T23:07:27Z</dcterms:created>
  <dcterms:modified xsi:type="dcterms:W3CDTF">2024-09-12T23:07:27Z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Сетевые технологии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