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4F" w:rsidRPr="00E00C4F" w:rsidRDefault="00E00C4F" w:rsidP="00E00C4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C000"/>
          <w:sz w:val="36"/>
          <w:szCs w:val="36"/>
        </w:rPr>
      </w:pPr>
      <w:r w:rsidRPr="00E00C4F">
        <w:rPr>
          <w:rFonts w:ascii="Segoe UI" w:eastAsia="Times New Roman" w:hAnsi="Segoe UI" w:cs="Segoe UI"/>
          <w:color w:val="FFC000"/>
          <w:sz w:val="36"/>
          <w:szCs w:val="36"/>
        </w:rPr>
        <w:t>Create an IoT hub</w:t>
      </w:r>
      <w:bookmarkStart w:id="0" w:name="_GoBack"/>
      <w:bookmarkEnd w:id="0"/>
    </w:p>
    <w:p w:rsidR="004033C0" w:rsidRDefault="00286C98"/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Create an IoT hub for your simulated device app to connect to. The following steps show you how to complete this task by using the Azure portal.</w:t>
      </w:r>
    </w:p>
    <w:p w:rsidR="00E00C4F" w:rsidRPr="00E00C4F" w:rsidRDefault="00E00C4F" w:rsidP="00E00C4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Sign in to the </w:t>
      </w:r>
      <w:hyperlink r:id="rId7" w:history="1">
        <w:r w:rsidRPr="00E00C4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Pr="00E00C4F" w:rsidRDefault="00E00C4F" w:rsidP="00E00C4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Select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New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&gt;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Internet of Things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&gt;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IoT Hub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3909230" cy="3856383"/>
            <wp:effectExtent l="0" t="0" r="0" b="0"/>
            <wp:docPr id="5" name="Picture 5" descr="Azure portal Jump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portal Jump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10" cy="38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In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IoT hub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pane, enter the following information for your IoT hub:</w:t>
      </w:r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Name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Create a name for your IoT hub. If the name you enter is valid, a green check mark appears.</w:t>
      </w:r>
    </w:p>
    <w:p w:rsidR="00E00C4F" w:rsidRPr="00E00C4F" w:rsidRDefault="00E00C4F" w:rsidP="00E00C4F">
      <w:pPr>
        <w:shd w:val="clear" w:color="auto" w:fill="EEE9F8"/>
        <w:spacing w:after="0" w:line="240" w:lineRule="auto"/>
        <w:ind w:left="570"/>
        <w:rPr>
          <w:rFonts w:ascii="Segoe UI Semibold" w:eastAsia="Times New Roman" w:hAnsi="Segoe UI Semibold" w:cs="Segoe UI"/>
          <w:color w:val="351E5E"/>
          <w:sz w:val="24"/>
          <w:szCs w:val="24"/>
        </w:rPr>
      </w:pPr>
      <w:r w:rsidRPr="00E00C4F">
        <w:rPr>
          <w:rFonts w:ascii="Segoe UI Semibold" w:eastAsia="Times New Roman" w:hAnsi="Segoe UI Semibold" w:cs="Segoe UI"/>
          <w:color w:val="351E5E"/>
          <w:sz w:val="24"/>
          <w:szCs w:val="24"/>
        </w:rPr>
        <w:t>Important</w:t>
      </w:r>
    </w:p>
    <w:p w:rsidR="00E00C4F" w:rsidRPr="00E00C4F" w:rsidRDefault="00E00C4F" w:rsidP="00E00C4F">
      <w:pPr>
        <w:shd w:val="clear" w:color="auto" w:fill="EEE9F8"/>
        <w:spacing w:before="12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The IoT hub will be publicly discoverable as a DNS endpoint, so make sure to avoid any sensitive information while naming it.</w:t>
      </w:r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Pricing and scale tier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For this tutorial, select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F1 - Free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tier. For more information, see the </w:t>
      </w:r>
      <w:hyperlink r:id="rId9" w:history="1">
        <w:r w:rsidRPr="00E00C4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Pricing and scale tier</w:t>
        </w:r>
      </w:hyperlink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Resource group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Create a resource group to host the IoT hub or use an existing one. For more information, see </w:t>
      </w:r>
      <w:hyperlink r:id="rId10" w:history="1">
        <w:r w:rsidRPr="00E00C4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Use resource groups to manage your Azure resources</w:t>
        </w:r>
      </w:hyperlink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Location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Select the closest location to you.</w:t>
      </w:r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Pin to dashboard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Check this option for easy access to your IoT hub from the dashboard.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2544418" cy="6672974"/>
            <wp:effectExtent l="0" t="0" r="8890" b="0"/>
            <wp:docPr id="4" name="Picture 4" descr="IoT hub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T hub win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44" cy="671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Click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Create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 Your IoT hub might take a few minutes to create. You can monitor the progress in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Notifications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pane.</w:t>
      </w:r>
    </w:p>
    <w:p w:rsidR="00E00C4F" w:rsidRPr="00E00C4F" w:rsidRDefault="00E00C4F" w:rsidP="00E00C4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 xml:space="preserve">When your new IoT hub is ready, click its tile in the Azure portal to open its properties window. Now that you have created an IoT hub, locate the </w:t>
      </w:r>
      <w:proofErr w:type="gramStart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important information</w:t>
      </w:r>
      <w:proofErr w:type="gramEnd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 xml:space="preserve"> that you use to connect devices and applications to your IoT hub. Make a note of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Hostname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, and then click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Shared access policies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495140" cy="3617843"/>
            <wp:effectExtent l="0" t="0" r="1270" b="1905"/>
            <wp:docPr id="3" name="Picture 3" descr="New IoT hub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oT hub 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77" cy="36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In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Shared access policies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, click the </w:t>
      </w:r>
      <w:proofErr w:type="spellStart"/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iothubowner</w:t>
      </w:r>
      <w:proofErr w:type="spellEnd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policy, and then make note of the IoT Hub connection string in the </w:t>
      </w:r>
      <w:proofErr w:type="spellStart"/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iothubowner</w:t>
      </w:r>
      <w:proofErr w:type="spellEnd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window. For more information, see </w:t>
      </w:r>
      <w:hyperlink r:id="rId13" w:history="1">
        <w:r w:rsidRPr="00E00C4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Access control</w:t>
        </w:r>
      </w:hyperlink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in the "IoT Hub developer guide."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71950" cy="2822160"/>
            <wp:effectExtent l="0" t="0" r="0" b="0"/>
            <wp:docPr id="2" name="Picture 2" descr="Shared access poli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d access polic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76" cy="283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 xml:space="preserve">As </w:t>
      </w:r>
      <w:proofErr w:type="gramStart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a final step</w:t>
      </w:r>
      <w:proofErr w:type="gramEnd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, make a note of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Primary key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value. Then click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Endpoints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and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Events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built-in endpoint. On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Properties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blade, make a note of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Event Hub-compatible name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and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Event Hub-compatible endpoint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address. You need these three values when you create your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read-d2c-messages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app.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848225" cy="2203814"/>
            <wp:effectExtent l="0" t="0" r="0" b="6350"/>
            <wp:docPr id="1" name="Picture 1" descr="Azure portal IoT Hub Messaging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portal IoT Hub Messaging bla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19" cy="22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 xml:space="preserve">You have now created your IoT hub. You have the IoT Hub host name, IoT Hub connection string, IoT Hub Primary Key, Event Hub-compatible name, and Event Hub-compatible endpoint you need to complete this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exercise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Default="00E00C4F"/>
    <w:sectPr w:rsidR="00E00C4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C98" w:rsidRDefault="00286C98" w:rsidP="00E00C4F">
      <w:pPr>
        <w:spacing w:after="0" w:line="240" w:lineRule="auto"/>
      </w:pPr>
      <w:r>
        <w:separator/>
      </w:r>
    </w:p>
  </w:endnote>
  <w:endnote w:type="continuationSeparator" w:id="0">
    <w:p w:rsidR="00286C98" w:rsidRDefault="00286C98" w:rsidP="00E0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C98" w:rsidRDefault="00286C98" w:rsidP="00E00C4F">
      <w:pPr>
        <w:spacing w:after="0" w:line="240" w:lineRule="auto"/>
      </w:pPr>
      <w:r>
        <w:separator/>
      </w:r>
    </w:p>
  </w:footnote>
  <w:footnote w:type="continuationSeparator" w:id="0">
    <w:p w:rsidR="00286C98" w:rsidRDefault="00286C98" w:rsidP="00E0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C4F" w:rsidRDefault="00E00C4F" w:rsidP="00E00C4F">
    <w:pPr>
      <w:pStyle w:val="Header"/>
      <w:jc w:val="center"/>
    </w:pPr>
    <w:r w:rsidRPr="00E00C4F">
      <w:rPr>
        <w:b/>
        <w:bCs/>
      </w:rPr>
      <w:t>Enterprise Information Management (EIM) Practice</w:t>
    </w:r>
    <w:r>
      <w:rPr>
        <w:b/>
        <w:bCs/>
      </w:rPr>
      <w:t xml:space="preserve">                                                            </w:t>
    </w:r>
    <w:r w:rsidRPr="00E00C4F">
      <w:rPr>
        <w:b/>
        <w:bCs/>
      </w:rPr>
      <w:drawing>
        <wp:inline distT="0" distB="0" distL="0" distR="0" wp14:anchorId="192574D8" wp14:editId="4D004FCC">
          <wp:extent cx="1066800" cy="38404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050" cy="3870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B20"/>
    <w:multiLevelType w:val="multilevel"/>
    <w:tmpl w:val="5A92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4F"/>
    <w:rsid w:val="00286C98"/>
    <w:rsid w:val="00391812"/>
    <w:rsid w:val="003A4C88"/>
    <w:rsid w:val="0045678D"/>
    <w:rsid w:val="0052652E"/>
    <w:rsid w:val="005C1698"/>
    <w:rsid w:val="007D32CE"/>
    <w:rsid w:val="007F0E43"/>
    <w:rsid w:val="0088006C"/>
    <w:rsid w:val="009A5B3E"/>
    <w:rsid w:val="00E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E9F"/>
  <w15:chartTrackingRefBased/>
  <w15:docId w15:val="{FB1DED3E-9C48-4B25-B3F4-DC9743E3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C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C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0C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4F"/>
  </w:style>
  <w:style w:type="paragraph" w:styleId="Footer">
    <w:name w:val="footer"/>
    <w:basedOn w:val="Normal"/>
    <w:link w:val="FooterChar"/>
    <w:uiPriority w:val="99"/>
    <w:unhideWhenUsed/>
    <w:rsid w:val="00E0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947">
          <w:marLeft w:val="0"/>
          <w:marRight w:val="0"/>
          <w:marTop w:val="240"/>
          <w:marBottom w:val="0"/>
          <w:divBdr>
            <w:top w:val="none" w:sz="0" w:space="12" w:color="DACEEF"/>
            <w:left w:val="none" w:sz="0" w:space="12" w:color="DACEEF"/>
            <w:bottom w:val="none" w:sz="0" w:space="12" w:color="DACEEF"/>
            <w:right w:val="none" w:sz="0" w:space="12" w:color="DACE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zure/iot-hub/iot-hub-devguide-secur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microsoft.com/en-us/azure/azure-resource-manager/resource-group-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pricing/details/iot-hub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Nasmi Ilam</dc:creator>
  <cp:keywords/>
  <dc:description/>
  <cp:lastModifiedBy>Nasmi Ilam</cp:lastModifiedBy>
  <cp:revision>2</cp:revision>
  <dcterms:created xsi:type="dcterms:W3CDTF">2018-02-27T12:53:00Z</dcterms:created>
  <dcterms:modified xsi:type="dcterms:W3CDTF">2018-02-27T13:14:00Z</dcterms:modified>
</cp:coreProperties>
</file>