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505A63"/>
          <w:sz w:val="16"/>
          <w:szCs w:val="16"/>
        </w:rPr>
        <w:t xml:space="preserve">SINGULARITY · DOCUMENT FACTORY · FIRST-PASS TEMPLATE</w:t>
      </w:r>
    </w:p>
    <w:p>
      <w:pPr>
        <w:spacing w:after="60" w:before="0"/>
      </w:pPr>
      <w:r>
        <w:rPr>
          <w:rFonts w:ascii="Arial" w:cs="Arial" w:eastAsia="Arial" w:hAnsi="Arial"/>
          <w:b/>
          <w:bCs/>
          <w:color w:val="1A1F24"/>
          <w:sz w:val="32"/>
          <w:szCs w:val="32"/>
        </w:rPr>
        <w:t xml:space="preserve">D13-C — Portfolio supplement: purchase of existing shares from unrelated sellers</w:t>
      </w:r>
    </w:p>
    <w:p>
      <w:pPr>
        <w:spacing w:after="200" w:before="0"/>
      </w:pPr>
      <w:r>
        <w:rPr>
          <w:rFonts w:ascii="Arial" w:cs="Arial" w:eastAsia="Arial" w:hAnsi="Arial"/>
          <w:b/>
          <w:bCs/>
          <w:color w:val="A63D2F"/>
          <w:sz w:val="19"/>
          <w:szCs w:val="19"/>
        </w:rPr>
        <w:t xml:space="preserve">Draft for review by BVI counsel. Not legal advice and not for use until approved by a named lawyer.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Template ID</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D13-C</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Document class</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D13 Portfolio supplement</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Variant</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C · Secondary purchase from one or more existing shareholders not related to the sponsor</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Use when</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The portfolio buys existing shares from employees, early investors or other shareholders who are not affiliated with the sponsor, usually subject to the issuer’s consent or right of first refusal.</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Scope</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Portfolio</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Signed by</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Not signed. Approved by directors (D12-A or D12-C) and cleared by counsel.</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AI-drafted zones</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Section 3 (the company) and the project-specific risk factors in section 9.</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Conditional sections</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Hurdle rate; partial completion; whether a placement fee is paid to an intermediary; private investment fund basis.</w:t>
            </w:r>
          </w:p>
        </w:tc>
      </w:tr>
    </w:tbl>
    <w:p>
      <w:pPr>
        <w:spacing w:after="100" w:before="240"/>
      </w:pPr>
      <w:r>
        <w:rPr>
          <w:rFonts w:ascii="Arial" w:cs="Arial" w:eastAsia="Arial" w:hAnsi="Arial"/>
          <w:b/>
          <w:bCs/>
          <w:sz w:val="20"/>
          <w:szCs w:val="20"/>
        </w:rPr>
        <w:t xml:space="preserve">How to read this template</w:t>
      </w:r>
    </w:p>
    <w:p>
      <w:pPr>
        <w:spacing w:after="80" w:before="0"/>
      </w:pPr>
      <w:r>
        <w:rPr>
          <w:rFonts w:ascii="Georgia" w:cs="Georgia" w:eastAsia="Georgia" w:hAnsi="Georgia"/>
          <w:sz w:val="19"/>
          <w:szCs w:val="19"/>
          <w:shd w:fill="FFF2CC" w:color="auto" w:val="clear"/>
        </w:rPr>
        <w:t xml:space="preserve">{{field.name}}</w:t>
      </w:r>
      <w:r>
        <w:rPr>
          <w:rFonts w:ascii="Arial" w:cs="Arial" w:eastAsia="Arial" w:hAnsi="Arial"/>
          <w:color w:val="505A63"/>
          <w:sz w:val="18"/>
          <w:szCs w:val="18"/>
        </w:rPr>
        <w:t xml:space="preserve">  filled by code from the umbrella, portfolio, asset or investor record. Never typed by hand.</w:t>
      </w:r>
    </w:p>
    <w:p>
      <w:pPr>
        <w:spacing w:after="80" w:before="0"/>
      </w:pPr>
      <w:r>
        <w:rPr>
          <w:rFonts w:ascii="Arial" w:cs="Arial" w:eastAsia="Arial" w:hAnsi="Arial"/>
          <w:b/>
          <w:bCs/>
          <w:color w:val="5B3F8C"/>
          <w:sz w:val="17"/>
          <w:szCs w:val="17"/>
          <w:shd w:fill="EFEAF6" w:color="auto" w:val="clear"/>
        </w:rPr>
        <w:t xml:space="preserve">[[IF condition]] … [[END IF]]</w:t>
      </w:r>
      <w:r>
        <w:rPr>
          <w:rFonts w:ascii="Arial" w:cs="Arial" w:eastAsia="Arial" w:hAnsi="Arial"/>
          <w:color w:val="505A63"/>
          <w:sz w:val="18"/>
          <w:szCs w:val="18"/>
        </w:rPr>
        <w:t xml:space="preserve">  included only when the condition is true. [[FOR EACH]] repeats for every item.</w:t>
      </w:r>
    </w:p>
    <w:p>
      <w:pPr>
        <w:spacing w:after="80" w:before="0"/>
      </w:pPr>
      <w:r>
        <w:rPr>
          <w:rFonts w:ascii="Arial" w:cs="Arial" w:eastAsia="Arial" w:hAnsi="Arial"/>
          <w:b/>
          <w:bCs/>
          <w:color w:val="1F4E8C"/>
          <w:sz w:val="18"/>
          <w:szCs w:val="18"/>
        </w:rPr>
        <w:t xml:space="preserve">Blue box</w:t>
      </w:r>
      <w:r>
        <w:rPr>
          <w:rFonts w:ascii="Arial" w:cs="Arial" w:eastAsia="Arial" w:hAnsi="Arial"/>
          <w:color w:val="505A63"/>
          <w:sz w:val="18"/>
          <w:szCs w:val="18"/>
        </w:rPr>
        <w:t xml:space="preserve">  a section the AI may draft from the sponsor’s facts. Everything else is fixed template text.</w:t>
      </w:r>
    </w:p>
    <w:p>
      <w:pPr>
        <w:spacing w:after="80" w:before="0"/>
      </w:pPr>
      <w:r>
        <w:rPr>
          <w:rFonts w:ascii="Arial" w:cs="Arial" w:eastAsia="Arial" w:hAnsi="Arial"/>
          <w:b/>
          <w:bCs/>
          <w:color w:val="1A1F24"/>
          <w:sz w:val="18"/>
          <w:szCs w:val="18"/>
        </w:rPr>
        <w:t xml:space="preserve">Dark box</w:t>
      </w:r>
      <w:r>
        <w:rPr>
          <w:rFonts w:ascii="Arial" w:cs="Arial" w:eastAsia="Arial" w:hAnsi="Arial"/>
          <w:color w:val="505A63"/>
          <w:sz w:val="18"/>
          <w:szCs w:val="18"/>
        </w:rPr>
        <w:t xml:space="preserve">  the contracting-party wording, generated from the registry and locked.</w:t>
      </w:r>
    </w:p>
    <w:p>
      <w:pPr>
        <w:spacing w:after="80" w:before="0"/>
      </w:pPr>
      <w:r>
        <w:rPr>
          <w:rFonts w:ascii="Arial" w:cs="Arial" w:eastAsia="Arial" w:hAnsi="Arial"/>
          <w:b/>
          <w:bCs/>
          <w:color w:val="7A4E0C"/>
          <w:sz w:val="18"/>
          <w:szCs w:val="18"/>
        </w:rPr>
        <w:t xml:space="preserve">Amber box</w:t>
      </w:r>
      <w:r>
        <w:rPr>
          <w:rFonts w:ascii="Arial" w:cs="Arial" w:eastAsia="Arial" w:hAnsi="Arial"/>
          <w:color w:val="505A63"/>
          <w:sz w:val="18"/>
          <w:szCs w:val="18"/>
        </w:rPr>
        <w:t xml:space="preserve">  a note or question for counsel. Removed when the document is assembled.</w:t>
      </w:r>
    </w:p>
    <w:p>
      <w:pPr>
        <w:spacing w:after="100" w:before="240"/>
      </w:pPr>
      <w:r>
        <w:rPr>
          <w:rFonts w:ascii="Arial" w:cs="Arial" w:eastAsia="Arial" w:hAnsi="Arial"/>
          <w:b/>
          <w:bCs/>
          <w:sz w:val="20"/>
          <w:szCs w:val="20"/>
        </w:rPr>
        <w:t xml:space="preserve">Questions for counsel</w:t>
      </w:r>
    </w:p>
    <w:p>
      <w:pPr>
        <w:pStyle w:val="ListParagraph"/>
        <w:numPr>
          <w:ilvl w:val="0"/>
          <w:numId w:val="2"/>
        </w:numPr>
        <w:spacing w:after="80"/>
      </w:pPr>
      <w:r>
        <w:rPr>
          <w:rFonts w:ascii="Arial" w:cs="Arial" w:eastAsia="Arial" w:hAnsi="Arial"/>
          <w:color w:val="1A1F24"/>
          <w:sz w:val="18"/>
          <w:szCs w:val="18"/>
        </w:rPr>
        <w:t xml:space="preserve">If only some sellers complete, is returning the uninvested amount to investors pro rata acceptable, or should the directors be able to hold it for a later purchase in the same issuer?</w:t>
      </w:r>
    </w:p>
    <w:p>
      <w:pPr>
        <w:pStyle w:val="ListParagraph"/>
        <w:numPr>
          <w:ilvl w:val="0"/>
          <w:numId w:val="2"/>
        </w:numPr>
        <w:spacing w:after="80"/>
      </w:pPr>
      <w:r>
        <w:rPr>
          <w:rFonts w:ascii="Arial" w:cs="Arial" w:eastAsia="Arial" w:hAnsi="Arial"/>
          <w:color w:val="1A1F24"/>
          <w:sz w:val="18"/>
          <w:szCs w:val="18"/>
        </w:rPr>
        <w:t xml:space="preserve">Should any fee paid to an intermediary or broker for sourcing the shares be disclosed as a figure or only as a basis?</w:t>
      </w:r>
    </w:p>
    <w:p>
      <w:pPr>
        <w:pStyle w:val="ListParagraph"/>
        <w:numPr>
          <w:ilvl w:val="0"/>
          <w:numId w:val="2"/>
        </w:numPr>
        <w:spacing w:after="80"/>
      </w:pPr>
      <w:r>
        <w:rPr>
          <w:rFonts w:ascii="Arial" w:cs="Arial" w:eastAsia="Arial" w:hAnsi="Arial"/>
          <w:color w:val="1A1F24"/>
          <w:sz w:val="18"/>
          <w:szCs w:val="18"/>
        </w:rPr>
        <w:t xml:space="preserve">Are the title and capacity warranties from sellers sufficient, and should the Portfolio seek an indemnity?</w:t>
      </w:r>
    </w:p>
    <w:p>
      <w:pPr>
        <w:pStyle w:val="ListParagraph"/>
        <w:numPr>
          <w:ilvl w:val="0"/>
          <w:numId w:val="2"/>
        </w:numPr>
        <w:spacing w:after="80"/>
      </w:pPr>
      <w:r>
        <w:rPr>
          <w:rFonts w:ascii="Arial" w:cs="Arial" w:eastAsia="Arial" w:hAnsi="Arial"/>
          <w:color w:val="1A1F24"/>
          <w:sz w:val="18"/>
          <w:szCs w:val="18"/>
        </w:rPr>
        <w:t xml:space="preserve">Which investor basis does the Company rely on: fewer than 50 investors, private invitation only, or professional and exempted investors only (which the sources reviewed tie to a US$100,000 minimum initial investment)? The minimum subscription and section 11 must match.</w:t>
      </w:r>
    </w:p>
    <w:p>
      <w:r>
        <w:br w:type="page"/>
      </w:r>
    </w:p>
    <w:p>
      <w:pPr>
        <w:spacing w:after="80" w:before="0"/>
        <w:jc w:val="center"/>
      </w:pPr>
      <w:r>
        <w:rPr>
          <w:rFonts w:ascii="Georgia" w:cs="Georgia" w:eastAsia="Georgia" w:hAnsi="Georgia"/>
          <w:b/>
          <w:bCs/>
          <w:color w:val="1A1F24"/>
          <w:sz w:val="28"/>
          <w:szCs w:val="28"/>
        </w:rPr>
        <w:t xml:space="preserve">SUPPLEMENT NO. </w:t>
      </w:r>
      <w:r>
        <w:rPr>
          <w:rFonts w:ascii="Georgia" w:cs="Georgia" w:eastAsia="Georgia" w:hAnsi="Georgia"/>
          <w:b/>
          <w:bCs/>
          <w:color w:val="1A1F24"/>
          <w:sz w:val="28"/>
          <w:szCs w:val="28"/>
          <w:shd w:fill="FFF2CC" w:color="auto" w:val="clear"/>
        </w:rPr>
        <w:t xml:space="preserve">{{portfolio.supplement_number}}</w:t>
      </w:r>
    </w:p>
    <w:p>
      <w:pPr>
        <w:spacing w:after="80" w:before="0"/>
        <w:jc w:val="center"/>
      </w:pPr>
      <w:r>
        <w:rPr>
          <w:rFonts w:ascii="Georgia" w:cs="Georgia" w:eastAsia="Georgia" w:hAnsi="Georgia"/>
          <w:color w:val="505A63"/>
          <w:sz w:val="20"/>
          <w:szCs w:val="20"/>
        </w:rPr>
        <w:t xml:space="preserve">dated </w:t>
      </w:r>
      <w:r>
        <w:rPr>
          <w:rFonts w:ascii="Georgia" w:cs="Georgia" w:eastAsia="Georgia" w:hAnsi="Georgia"/>
          <w:color w:val="1A1F24"/>
          <w:sz w:val="20"/>
          <w:szCs w:val="20"/>
          <w:shd w:fill="FFF2CC" w:color="auto" w:val="clear"/>
        </w:rPr>
        <w:t xml:space="preserve">{{supplement.date}}</w:t>
      </w:r>
    </w:p>
    <w:p>
      <w:pPr>
        <w:spacing w:after="80" w:before="0"/>
        <w:jc w:val="center"/>
      </w:pPr>
      <w:r>
        <w:rPr>
          <w:rFonts w:ascii="Georgia" w:cs="Georgia" w:eastAsia="Georgia" w:hAnsi="Georgia"/>
          <w:color w:val="505A63"/>
          <w:sz w:val="20"/>
          <w:szCs w:val="20"/>
        </w:rPr>
        <w:t xml:space="preserve">to the Offering Memorandum dated </w:t>
      </w:r>
      <w:r>
        <w:rPr>
          <w:rFonts w:ascii="Georgia" w:cs="Georgia" w:eastAsia="Georgia" w:hAnsi="Georgia"/>
          <w:color w:val="1A1F24"/>
          <w:sz w:val="20"/>
          <w:szCs w:val="20"/>
          <w:shd w:fill="FFF2CC" w:color="auto" w:val="clear"/>
        </w:rPr>
        <w:t xml:space="preserve">{{umbrella.om_date}}</w:t>
      </w:r>
      <w:r>
        <w:rPr>
          <w:rFonts w:ascii="Georgia" w:cs="Georgia" w:eastAsia="Georgia" w:hAnsi="Georgia"/>
          <w:color w:val="505A63"/>
          <w:sz w:val="20"/>
          <w:szCs w:val="20"/>
        </w:rPr>
        <w:t xml:space="preserve"> of</w:t>
      </w:r>
    </w:p>
    <w:p>
      <w:pPr>
        <w:spacing w:after="80" w:before="0"/>
        <w:jc w:val="center"/>
      </w:pPr>
      <w:r>
        <w:rPr>
          <w:rFonts w:ascii="Georgia" w:cs="Georgia" w:eastAsia="Georgia" w:hAnsi="Georgia"/>
          <w:b/>
          <w:bCs/>
          <w:color w:val="1A1F24"/>
          <w:sz w:val="28"/>
          <w:szCs w:val="28"/>
          <w:shd w:fill="FFF2CC" w:color="auto" w:val="clear"/>
        </w:rPr>
        <w:t xml:space="preserve">{{umbrella.legal_name}}</w:t>
      </w:r>
    </w:p>
    <w:p>
      <w:pPr>
        <w:spacing w:after="80" w:before="0"/>
        <w:jc w:val="center"/>
      </w:pPr>
      <w:r>
        <w:rPr>
          <w:rFonts w:ascii="Georgia" w:cs="Georgia" w:eastAsia="Georgia" w:hAnsi="Georgia"/>
          <w:color w:val="505A63"/>
          <w:sz w:val="20"/>
          <w:szCs w:val="20"/>
        </w:rPr>
        <w:t xml:space="preserve">a BVI business company registered as a segregated portfolio company</w:t>
      </w:r>
    </w:p>
    <w:p>
      <w:pPr>
        <w:spacing w:after="80" w:before="0"/>
        <w:jc w:val="center"/>
      </w:pPr>
      <w:r>
        <w:rPr>
          <w:rFonts w:ascii="Georgia" w:cs="Georgia" w:eastAsia="Georgia" w:hAnsi="Georgia"/>
          <w:color w:val="505A63"/>
          <w:sz w:val="20"/>
          <w:szCs w:val="20"/>
        </w:rPr>
        <w:t xml:space="preserve">relating to</w:t>
      </w:r>
    </w:p>
    <w:p>
      <w:pPr>
        <w:spacing w:after="80" w:before="0"/>
        <w:jc w:val="center"/>
      </w:pPr>
      <w:r>
        <w:rPr>
          <w:rFonts w:ascii="Georgia" w:cs="Georgia" w:eastAsia="Georgia" w:hAnsi="Georgia"/>
          <w:b/>
          <w:bCs/>
          <w:color w:val="1A1F24"/>
          <w:sz w:val="28"/>
          <w:szCs w:val="28"/>
          <w:shd w:fill="FFF2CC" w:color="auto" w:val="clear"/>
        </w:rPr>
        <w:t xml:space="preserve">{{portfolio.legal_name}}</w:t>
      </w:r>
    </w:p>
    <w:p>
      <w:pPr>
        <w:spacing w:after="80" w:before="0"/>
        <w:jc w:val="center"/>
      </w:pPr>
      <w:r>
        <w:rPr>
          <w:rFonts w:ascii="Georgia" w:cs="Georgia" w:eastAsia="Georgia" w:hAnsi="Georgia"/>
          <w:color w:val="505A63"/>
          <w:sz w:val="20"/>
          <w:szCs w:val="20"/>
        </w:rPr>
        <w:t xml:space="preserve">Purchase of existing </w:t>
      </w:r>
      <w:r>
        <w:rPr>
          <w:rFonts w:ascii="Georgia" w:cs="Georgia" w:eastAsia="Georgia" w:hAnsi="Georgia"/>
          <w:color w:val="1A1F24"/>
          <w:sz w:val="20"/>
          <w:szCs w:val="20"/>
          <w:shd w:fill="FFF2CC" w:color="auto" w:val="clear"/>
        </w:rPr>
        <w:t xml:space="preserve">{{asset.issuer_name}}</w:t>
      </w:r>
      <w:r>
        <w:rPr>
          <w:rFonts w:ascii="Georgia" w:cs="Georgia" w:eastAsia="Georgia" w:hAnsi="Georgia"/>
          <w:color w:val="505A63"/>
          <w:sz w:val="20"/>
          <w:szCs w:val="20"/>
        </w:rPr>
        <w:t xml:space="preserve"> shares from unrelated sellers</w:t>
      </w:r>
    </w:p>
    <w:p>
      <w:pPr>
        <w:spacing w:after="120" w:before="0"/>
      </w:pPr>
    </w:p>
    <w:p>
      <w:pPr>
        <w:spacing w:after="80" w:before="0"/>
        <w:jc w:val="center"/>
      </w:pPr>
      <w:r>
        <w:rPr>
          <w:rFonts w:ascii="Georgia" w:cs="Georgia" w:eastAsia="Georgia" w:hAnsi="Georgia"/>
          <w:color w:val="505A63"/>
          <w:sz w:val="20"/>
          <w:szCs w:val="20"/>
        </w:rPr>
        <w:t xml:space="preserve">Issuer</w:t>
      </w:r>
    </w:p>
    <w:p>
      <w:pPr>
        <w:pBdr>
          <w:top w:val="single" w:color="1A1F24" w:sz="12" w:space="6"/>
          <w:left w:val="single" w:color="1A1F24" w:sz="12" w:space="6"/>
          <w:bottom w:val="single" w:color="1A1F24" w:sz="12" w:space="6"/>
          <w:right w:val="single" w:color="1A1F24" w:sz="12" w:space="6"/>
        </w:pBdr>
        <w:shd w:fill="EEF0EC" w:color="auto" w:val="clear"/>
        <w:spacing w:after="160" w:before="120"/>
        <w:ind w:left="113" w:right="113"/>
      </w:pPr>
      <w:r>
        <w:rPr>
          <w:rFonts w:ascii="Arial" w:cs="Arial" w:eastAsia="Arial" w:hAnsi="Arial"/>
          <w:b/>
          <w:bCs/>
          <w:color w:val="505A63"/>
          <w:sz w:val="16"/>
          <w:szCs w:val="16"/>
        </w:rPr>
        <w:t xml:space="preserve">LOCKED · CONTRACTING PARTY · generated from the registry, cannot be edited</w:t>
      </w:r>
      <w:r>
        <w:br/>
      </w:r>
      <w:r>
        <w:rPr>
          <w:rFonts w:ascii="Georgia" w:cs="Georgia" w:eastAsia="Georgia" w:hAnsi="Georgia"/>
          <w:b/>
          <w:bCs/>
          <w:color w:val="1A1F24"/>
          <w:sz w:val="21"/>
          <w:szCs w:val="21"/>
          <w:shd w:fill="FFF2CC" w:color="auto" w:val="clear"/>
        </w:rPr>
        <w:t xml:space="preserve">{{umbrella.legal_name}}</w:t>
      </w:r>
      <w:r>
        <w:rPr>
          <w:rFonts w:ascii="Georgia" w:cs="Georgia" w:eastAsia="Georgia" w:hAnsi="Georgia"/>
          <w:b/>
          <w:bCs/>
          <w:color w:val="1A1F24"/>
          <w:sz w:val="21"/>
          <w:szCs w:val="21"/>
        </w:rPr>
        <w:t xml:space="preserve"> for and on behalf of </w:t>
      </w:r>
      <w:r>
        <w:rPr>
          <w:rFonts w:ascii="Georgia" w:cs="Georgia" w:eastAsia="Georgia" w:hAnsi="Georgia"/>
          <w:b/>
          <w:bCs/>
          <w:color w:val="1A1F24"/>
          <w:sz w:val="21"/>
          <w:szCs w:val="21"/>
          <w:shd w:fill="FFF2CC" w:color="auto" w:val="clear"/>
        </w:rPr>
        <w:t xml:space="preserve">{{portfolio.legal_name}}</w:t>
      </w:r>
    </w:p>
    <w:p>
      <w:pPr>
        <w:pStyle w:val="Heading1"/>
        <w:keepNext/>
        <w:spacing w:after="100" w:before="240"/>
      </w:pPr>
      <w:r>
        <w:rPr>
          <w:rFonts w:ascii="Georgia" w:cs="Georgia" w:eastAsia="Georgia" w:hAnsi="Georgia"/>
          <w:b/>
          <w:bCs/>
          <w:color w:val="1A1F24"/>
          <w:sz w:val="23"/>
          <w:szCs w:val="23"/>
        </w:rPr>
        <w:t xml:space="preserve">Important information</w:t>
      </w:r>
    </w:p>
    <w:p>
      <w:pPr>
        <w:spacing w:after="120" w:before="0" w:line="300"/>
      </w:pPr>
      <w:r>
        <w:rPr>
          <w:rFonts w:ascii="Georgia" w:cs="Georgia" w:eastAsia="Georgia" w:hAnsi="Georgia"/>
          <w:color w:val="1A1F24"/>
          <w:sz w:val="21"/>
          <w:szCs w:val="21"/>
        </w:rPr>
        <w:t xml:space="preserve">This Supplement forms part of, and must be read together with, the Offering Memorandum of the Company dated </w:t>
      </w:r>
      <w:r>
        <w:rPr>
          <w:rFonts w:ascii="Georgia" w:cs="Georgia" w:eastAsia="Georgia" w:hAnsi="Georgia"/>
          <w:color w:val="1A1F24"/>
          <w:sz w:val="21"/>
          <w:szCs w:val="21"/>
          <w:shd w:fill="FFF2CC" w:color="auto" w:val="clear"/>
        </w:rPr>
        <w:t xml:space="preserve">{{umbrella.om_date}}</w:t>
      </w:r>
      <w:r>
        <w:rPr>
          <w:rFonts w:ascii="Georgia" w:cs="Georgia" w:eastAsia="Georgia" w:hAnsi="Georgia"/>
          <w:color w:val="1A1F24"/>
          <w:sz w:val="21"/>
          <w:szCs w:val="21"/>
        </w:rPr>
        <w:t xml:space="preserve"> (the “Offering Memorandum”). Words defined in the Offering Memorandum have the same meaning in this Supplement unless this Supplement says otherwise. If this Supplement and the Offering Memorandum are inconsistent, this Supplement prevails in relation to the Portfolio.</w:t>
      </w:r>
    </w:p>
    <w:p>
      <w:pPr>
        <w:spacing w:after="120" w:before="0" w:line="300"/>
      </w:pPr>
      <w:r>
        <w:rPr>
          <w:rFonts w:ascii="Georgia" w:cs="Georgia" w:eastAsia="Georgia" w:hAnsi="Georgia"/>
          <w:color w:val="1A1F24"/>
          <w:sz w:val="21"/>
          <w:szCs w:val="21"/>
          <w:shd w:fill="FFF2CC" w:color="auto" w:val="clear"/>
        </w:rPr>
        <w:t xml:space="preserve">{{portfolio.legal_name}}</w:t>
      </w:r>
      <w:r>
        <w:rPr>
          <w:rFonts w:ascii="Georgia" w:cs="Georgia" w:eastAsia="Georgia" w:hAnsi="Georgia"/>
          <w:color w:val="1A1F24"/>
          <w:sz w:val="21"/>
          <w:szCs w:val="21"/>
        </w:rPr>
        <w:t xml:space="preserve"> (the “Portfolio”) is a segregated portfolio of the Company. The assets of the Portfolio are available only to meet liabilities attributable to the Portfolio. Investors in the Portfolio have no interest in, and no recourse to, the assets of any other segregated portfolio of the Company.</w:t>
      </w:r>
    </w:p>
    <w:p>
      <w:pPr>
        <w:spacing w:after="120" w:before="0" w:line="300"/>
      </w:pPr>
      <w:r>
        <w:rPr>
          <w:rFonts w:ascii="Georgia" w:cs="Georgia" w:eastAsia="Georgia" w:hAnsi="Georgia"/>
          <w:color w:val="1A1F24"/>
          <w:sz w:val="21"/>
          <w:szCs w:val="21"/>
        </w:rPr>
        <w:t xml:space="preserve">An investment in the Portfolio involves a high degree of risk, including the risk of losing all of the amount invested. Portfolio Shares cannot be redeemed at the investor’s request and there is no market for them. Investors should read section 9 (Risk factors) and take their own legal, tax and financial advice.</w:t>
      </w:r>
    </w:p>
    <w:p>
      <w:pPr>
        <w:pBdr>
          <w:top w:val="single" w:color="C9922E" w:sz="8" w:space="6"/>
          <w:left w:val="single" w:color="C9922E" w:sz="8" w:space="6"/>
          <w:bottom w:val="single" w:color="C9922E" w:sz="8" w:space="6"/>
          <w:right w:val="single" w:color="C9922E" w:sz="8" w:space="6"/>
        </w:pBdr>
        <w:shd w:fill="FBF3E3" w:color="auto" w:val="clear"/>
        <w:spacing w:after="160" w:before="120"/>
        <w:ind w:left="113" w:right="113"/>
      </w:pPr>
      <w:r>
        <w:rPr>
          <w:rFonts w:ascii="Arial" w:cs="Arial" w:eastAsia="Arial" w:hAnsi="Arial"/>
          <w:b/>
          <w:bCs/>
          <w:color w:val="7A4E0C"/>
          <w:sz w:val="16"/>
          <w:szCs w:val="16"/>
        </w:rPr>
        <w:t xml:space="preserve">COUNSEL NOTE (removed on assembly)</w:t>
      </w:r>
      <w:r>
        <w:br/>
      </w:r>
      <w:r>
        <w:rPr>
          <w:rFonts w:ascii="Arial" w:cs="Arial" w:eastAsia="Arial" w:hAnsi="Arial"/>
          <w:color w:val="7A4E0C"/>
          <w:sz w:val="19"/>
          <w:szCs w:val="19"/>
        </w:rPr>
        <w:t xml:space="preserve">Which selling restrictions and legends are needed for the jurisdictions where investors are located (for example Australia, Singapore, Hong Kong, the EU and the UK), and should US persons be excluded?</w:t>
      </w:r>
    </w:p>
    <w:p>
      <w:pPr>
        <w:pStyle w:val="Heading1"/>
        <w:keepNext/>
        <w:numPr>
          <w:ilvl w:val="0"/>
          <w:numId w:val="3"/>
        </w:numPr>
        <w:spacing w:after="100" w:before="240"/>
      </w:pPr>
      <w:r>
        <w:rPr>
          <w:rFonts w:ascii="Georgia" w:cs="Georgia" w:eastAsia="Georgia" w:hAnsi="Georgia"/>
          <w:b/>
          <w:bCs/>
          <w:color w:val="1A1F24"/>
          <w:sz w:val="23"/>
          <w:szCs w:val="23"/>
        </w:rPr>
        <w:t xml:space="preserve">Summary of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Portfolio</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{{portfolio.legal_name}}</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Shares offered</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{{portfolio.share_class_name}}</w:t>
            </w:r>
            <w:r>
              <w:rPr>
                <w:rFonts w:ascii="Georgia" w:cs="Georgia" w:eastAsia="Georgia" w:hAnsi="Georgia"/>
                <w:b w:val="false"/>
                <w:bCs w:val="false"/>
                <w:color w:val="1A1F24"/>
                <w:sz w:val="21"/>
                <w:szCs w:val="21"/>
              </w:rPr>
              <w:t xml:space="preserve">, par value </w:t>
            </w:r>
            <w:r>
              <w:rPr>
                <w:rFonts w:ascii="Georgia" w:cs="Georgia" w:eastAsia="Georgia" w:hAnsi="Georgia"/>
                <w:b w:val="false"/>
                <w:bCs w:val="false"/>
                <w:color w:val="1A1F24"/>
                <w:sz w:val="21"/>
                <w:szCs w:val="21"/>
                <w:shd w:fill="FFF2CC" w:color="auto" w:val="clear"/>
              </w:rPr>
              <w:t xml:space="preserve">{{portfolio.share_par_value}}</w:t>
            </w:r>
            <w:r>
              <w:rPr>
                <w:rFonts w:ascii="Georgia" w:cs="Georgia" w:eastAsia="Georgia" w:hAnsi="Georgia"/>
                <w:b w:val="false"/>
                <w:bCs w:val="false"/>
                <w:color w:val="1A1F24"/>
                <w:sz w:val="21"/>
                <w:szCs w:val="21"/>
              </w:rPr>
              <w:t xml:space="preserve"> (the “Portfolio Shares”)</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Subscription price</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{{portfolio.subscription_price}}</w:t>
            </w:r>
            <w:r>
              <w:rPr>
                <w:rFonts w:ascii="Georgia" w:cs="Georgia" w:eastAsia="Georgia" w:hAnsi="Georgia"/>
                <w:b w:val="false"/>
                <w:bCs w:val="false"/>
                <w:color w:val="1A1F24"/>
                <w:sz w:val="21"/>
                <w:szCs w:val="21"/>
              </w:rPr>
              <w:t xml:space="preserve"> per Portfolio Share</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Minimum subscription</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{{portfolio.min_subscription}}</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Maximum offer</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{{portfolio.max_offer}}</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Minimum to proceed</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{{portfolio.minimum_close_amount}}</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Offer period</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{{portfolio.offer_open_date}}</w:t>
            </w:r>
            <w:r>
              <w:rPr>
                <w:rFonts w:ascii="Georgia" w:cs="Georgia" w:eastAsia="Georgia" w:hAnsi="Georgia"/>
                <w:b w:val="false"/>
                <w:bCs w:val="false"/>
                <w:color w:val="1A1F24"/>
                <w:sz w:val="21"/>
                <w:szCs w:val="21"/>
              </w:rPr>
              <w:t xml:space="preserve"> to </w:t>
            </w:r>
            <w:r>
              <w:rPr>
                <w:rFonts w:ascii="Georgia" w:cs="Georgia" w:eastAsia="Georgia" w:hAnsi="Georgia"/>
                <w:b w:val="false"/>
                <w:bCs w:val="false"/>
                <w:color w:val="1A1F24"/>
                <w:sz w:val="21"/>
                <w:szCs w:val="21"/>
                <w:shd w:fill="FFF2CC" w:color="auto" w:val="clear"/>
              </w:rPr>
              <w:t xml:space="preserve">{{portfolio.offer_close_date}}</w:t>
            </w:r>
            <w:r>
              <w:rPr>
                <w:rFonts w:ascii="Georgia" w:cs="Georgia" w:eastAsia="Georgia" w:hAnsi="Georgia"/>
                <w:b w:val="false"/>
                <w:bCs w:val="false"/>
                <w:color w:val="1A1F24"/>
                <w:sz w:val="21"/>
                <w:szCs w:val="21"/>
              </w:rPr>
              <w:t xml:space="preserve">, unless extended or closed early by the directors</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Investment</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rPr>
              <w:t xml:space="preserve">Up to </w:t>
            </w:r>
            <w:r>
              <w:rPr>
                <w:rFonts w:ascii="Georgia" w:cs="Georgia" w:eastAsia="Georgia" w:hAnsi="Georgia"/>
                <w:b w:val="false"/>
                <w:bCs w:val="false"/>
                <w:color w:val="1A1F24"/>
                <w:sz w:val="21"/>
                <w:szCs w:val="21"/>
                <w:shd w:fill="FFF2CC" w:color="auto" w:val="clear"/>
              </w:rPr>
              <w:t xml:space="preserve">{{asset.max_quantity}}</w:t>
            </w:r>
            <w:r>
              <w:rPr>
                <w:rFonts w:ascii="Georgia" w:cs="Georgia" w:eastAsia="Georgia" w:hAnsi="Georgia"/>
                <w:b w:val="false"/>
                <w:bCs w:val="false"/>
                <w:color w:val="1A1F24"/>
                <w:sz w:val="21"/>
                <w:szCs w:val="21"/>
              </w:rPr>
              <w:t xml:space="preserve"> </w:t>
            </w:r>
            <w:r>
              <w:rPr>
                <w:rFonts w:ascii="Georgia" w:cs="Georgia" w:eastAsia="Georgia" w:hAnsi="Georgia"/>
                <w:b w:val="false"/>
                <w:bCs w:val="false"/>
                <w:color w:val="1A1F24"/>
                <w:sz w:val="21"/>
                <w:szCs w:val="21"/>
                <w:shd w:fill="FFF2CC" w:color="auto" w:val="clear"/>
              </w:rPr>
              <w:t xml:space="preserve">{{asset.instrument}}</w:t>
            </w:r>
            <w:r>
              <w:rPr>
                <w:rFonts w:ascii="Georgia" w:cs="Georgia" w:eastAsia="Georgia" w:hAnsi="Georgia"/>
                <w:b w:val="false"/>
                <w:bCs w:val="false"/>
                <w:color w:val="1A1F24"/>
                <w:sz w:val="21"/>
                <w:szCs w:val="21"/>
              </w:rPr>
              <w:t xml:space="preserve"> of </w:t>
            </w:r>
            <w:r>
              <w:rPr>
                <w:rFonts w:ascii="Georgia" w:cs="Georgia" w:eastAsia="Georgia" w:hAnsi="Georgia"/>
                <w:b w:val="false"/>
                <w:bCs w:val="false"/>
                <w:color w:val="1A1F24"/>
                <w:sz w:val="21"/>
                <w:szCs w:val="21"/>
                <w:shd w:fill="FFF2CC" w:color="auto" w:val="clear"/>
              </w:rPr>
              <w:t xml:space="preserve">{{asset.issuer_name}}</w:t>
            </w:r>
            <w:r>
              <w:rPr>
                <w:rFonts w:ascii="Georgia" w:cs="Georgia" w:eastAsia="Georgia" w:hAnsi="Georgia"/>
                <w:b w:val="false"/>
                <w:bCs w:val="false"/>
                <w:color w:val="1A1F24"/>
                <w:sz w:val="21"/>
                <w:szCs w:val="21"/>
              </w:rPr>
              <w:t xml:space="preserve">, bought from one or more existing shareholders not related to the Sponsor</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Purchase price</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rPr>
              <w:t xml:space="preserve">Up to </w:t>
            </w:r>
            <w:r>
              <w:rPr>
                <w:rFonts w:ascii="Georgia" w:cs="Georgia" w:eastAsia="Georgia" w:hAnsi="Georgia"/>
                <w:b w:val="false"/>
                <w:bCs w:val="false"/>
                <w:color w:val="1A1F24"/>
                <w:sz w:val="21"/>
                <w:szCs w:val="21"/>
                <w:shd w:fill="FFF2CC" w:color="auto" w:val="clear"/>
              </w:rPr>
              <w:t xml:space="preserve">{{asset.price_per_share}}</w:t>
            </w:r>
            <w:r>
              <w:rPr>
                <w:rFonts w:ascii="Georgia" w:cs="Georgia" w:eastAsia="Georgia" w:hAnsi="Georgia"/>
                <w:b w:val="false"/>
                <w:bCs w:val="false"/>
                <w:color w:val="1A1F24"/>
                <w:sz w:val="21"/>
                <w:szCs w:val="21"/>
              </w:rPr>
              <w:t xml:space="preserve"> per share, total up to </w:t>
            </w:r>
            <w:r>
              <w:rPr>
                <w:rFonts w:ascii="Georgia" w:cs="Georgia" w:eastAsia="Georgia" w:hAnsi="Georgia"/>
                <w:b w:val="false"/>
                <w:bCs w:val="false"/>
                <w:color w:val="1A1F24"/>
                <w:sz w:val="21"/>
                <w:szCs w:val="21"/>
                <w:shd w:fill="FFF2CC" w:color="auto" w:val="clear"/>
              </w:rPr>
              <w:t xml:space="preserve">{{asset.total_consideration}}</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Issuer approval</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{{asset.transfer_restrictions}}</w:t>
            </w:r>
            <w:r>
              <w:rPr>
                <w:rFonts w:ascii="Georgia" w:cs="Georgia" w:eastAsia="Georgia" w:hAnsi="Georgia"/>
                <w:b w:val="false"/>
                <w:bCs w:val="false"/>
                <w:color w:val="1A1F24"/>
                <w:sz w:val="21"/>
                <w:szCs w:val="21"/>
              </w:rPr>
              <w:t xml:space="preserve">: </w:t>
            </w:r>
            <w:r>
              <w:rPr>
                <w:rFonts w:ascii="Georgia" w:cs="Georgia" w:eastAsia="Georgia" w:hAnsi="Georgia"/>
                <w:b w:val="false"/>
                <w:bCs w:val="false"/>
                <w:color w:val="1A1F24"/>
                <w:sz w:val="21"/>
                <w:szCs w:val="21"/>
                <w:shd w:fill="FFF2CC" w:color="auto" w:val="clear"/>
              </w:rPr>
              <w:t xml:space="preserve">{{asset.consent_status}}</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Term</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{{portfolio.term_years}}</w:t>
            </w:r>
            <w:r>
              <w:rPr>
                <w:rFonts w:ascii="Georgia" w:cs="Georgia" w:eastAsia="Georgia" w:hAnsi="Georgia"/>
                <w:b w:val="false"/>
                <w:bCs w:val="false"/>
                <w:color w:val="1A1F24"/>
                <w:sz w:val="21"/>
                <w:szCs w:val="21"/>
              </w:rPr>
              <w:t xml:space="preserve"> years from the first issue of Portfolio Shares, extendable by the directors by up to </w:t>
            </w:r>
            <w:r>
              <w:rPr>
                <w:rFonts w:ascii="Georgia" w:cs="Georgia" w:eastAsia="Georgia" w:hAnsi="Georgia"/>
                <w:b w:val="false"/>
                <w:bCs w:val="false"/>
                <w:color w:val="1A1F24"/>
                <w:sz w:val="21"/>
                <w:szCs w:val="21"/>
                <w:shd w:fill="FFF2CC" w:color="auto" w:val="clear"/>
              </w:rPr>
              <w:t xml:space="preserve">{{portfolio.extension_years}}</w:t>
            </w:r>
            <w:r>
              <w:rPr>
                <w:rFonts w:ascii="Georgia" w:cs="Georgia" w:eastAsia="Georgia" w:hAnsi="Georgia"/>
                <w:b w:val="false"/>
                <w:bCs w:val="false"/>
                <w:color w:val="1A1F24"/>
                <w:sz w:val="21"/>
                <w:szCs w:val="21"/>
              </w:rPr>
              <w:t xml:space="preserve"> years</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Management fee</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{{portfolio.mgmt_fee_rate}}</w:t>
            </w:r>
            <w:r>
              <w:rPr>
                <w:rFonts w:ascii="Georgia" w:cs="Georgia" w:eastAsia="Georgia" w:hAnsi="Georgia"/>
                <w:b w:val="false"/>
                <w:bCs w:val="false"/>
                <w:color w:val="1A1F24"/>
                <w:sz w:val="21"/>
                <w:szCs w:val="21"/>
              </w:rPr>
              <w:t xml:space="preserve"> a year on </w:t>
            </w:r>
            <w:r>
              <w:rPr>
                <w:rFonts w:ascii="Georgia" w:cs="Georgia" w:eastAsia="Georgia" w:hAnsi="Georgia"/>
                <w:b w:val="false"/>
                <w:bCs w:val="false"/>
                <w:color w:val="1A1F24"/>
                <w:sz w:val="21"/>
                <w:szCs w:val="21"/>
                <w:shd w:fill="FFF2CC" w:color="auto" w:val="clear"/>
              </w:rPr>
              <w:t xml:space="preserve">{{portfolio.fee_basis}}</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Performance fee</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{{portfolio.perf_fee_rate}}</w:t>
            </w:r>
            <w:r>
              <w:rPr>
                <w:rFonts w:ascii="Georgia" w:cs="Georgia" w:eastAsia="Georgia" w:hAnsi="Georgia"/>
                <w:b w:val="false"/>
                <w:bCs w:val="false"/>
                <w:color w:val="1A1F24"/>
                <w:sz w:val="21"/>
                <w:szCs w:val="21"/>
              </w:rPr>
              <w:t xml:space="preserve"> of profits after investors have received back their subscribed capital</w:t>
            </w:r>
            <w:r>
              <w:rPr>
                <w:rFonts w:ascii="Arial" w:cs="Arial" w:eastAsia="Arial" w:hAnsi="Arial"/>
                <w:b/>
                <w:bCs/>
                <w:color w:val="5B3F8C"/>
                <w:sz w:val="17"/>
                <w:szCs w:val="17"/>
                <w:shd w:fill="EFEAF6" w:color="auto" w:val="clear"/>
              </w:rPr>
              <w:t xml:space="preserve">[[IF portfolio.has_hurdle]]</w:t>
            </w:r>
            <w:r>
              <w:rPr>
                <w:rFonts w:ascii="Georgia" w:cs="Georgia" w:eastAsia="Georgia" w:hAnsi="Georgia"/>
                <w:b w:val="false"/>
                <w:bCs w:val="false"/>
                <w:color w:val="1A1F24"/>
                <w:sz w:val="21"/>
                <w:szCs w:val="21"/>
              </w:rPr>
              <w:t xml:space="preserve"> and a return of </w:t>
            </w:r>
            <w:r>
              <w:rPr>
                <w:rFonts w:ascii="Georgia" w:cs="Georgia" w:eastAsia="Georgia" w:hAnsi="Georgia"/>
                <w:b w:val="false"/>
                <w:bCs w:val="false"/>
                <w:color w:val="1A1F24"/>
                <w:sz w:val="21"/>
                <w:szCs w:val="21"/>
                <w:shd w:fill="FFF2CC" w:color="auto" w:val="clear"/>
              </w:rPr>
              <w:t xml:space="preserve">{{portfolio.hurdle_rate}}</w:t>
            </w:r>
            <w:r>
              <w:rPr>
                <w:rFonts w:ascii="Georgia" w:cs="Georgia" w:eastAsia="Georgia" w:hAnsi="Georgia"/>
                <w:b w:val="false"/>
                <w:bCs w:val="false"/>
                <w:color w:val="1A1F24"/>
                <w:sz w:val="21"/>
                <w:szCs w:val="21"/>
              </w:rPr>
              <w:t xml:space="preserve"> a year</w:t>
            </w:r>
            <w:r>
              <w:rPr>
                <w:rFonts w:ascii="Arial" w:cs="Arial" w:eastAsia="Arial" w:hAnsi="Arial"/>
                <w:b/>
                <w:bCs/>
                <w:color w:val="5B3F8C"/>
                <w:sz w:val="17"/>
                <w:szCs w:val="17"/>
                <w:shd w:fill="EFEAF6" w:color="auto" w:val="clear"/>
              </w:rPr>
              <w:t xml:space="preserve">[[END IF]]</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Organisational expenses</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rPr>
              <w:t xml:space="preserve">Borne by the Portfolio up to </w:t>
            </w:r>
            <w:r>
              <w:rPr>
                <w:rFonts w:ascii="Georgia" w:cs="Georgia" w:eastAsia="Georgia" w:hAnsi="Georgia"/>
                <w:b w:val="false"/>
                <w:bCs w:val="false"/>
                <w:color w:val="1A1F24"/>
                <w:sz w:val="21"/>
                <w:szCs w:val="21"/>
                <w:shd w:fill="FFF2CC" w:color="auto" w:val="clear"/>
              </w:rPr>
              <w:t xml:space="preserve">{{portfolio.org_expense_cap}}</w:t>
            </w:r>
            <w:r>
              <w:rPr>
                <w:rFonts w:ascii="Georgia" w:cs="Georgia" w:eastAsia="Georgia" w:hAnsi="Georgia"/>
                <w:b w:val="false"/>
                <w:bCs w:val="false"/>
                <w:color w:val="1A1F24"/>
                <w:sz w:val="21"/>
                <w:szCs w:val="21"/>
              </w:rPr>
              <w:t xml:space="preserve">; any excess borne by the Sponsor</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Umbrella costs</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rPr>
              <w:t xml:space="preserve">Allocated to the Portfolio under the Company’s cost-allocation rule </w:t>
            </w:r>
            <w:r>
              <w:rPr>
                <w:rFonts w:ascii="Georgia" w:cs="Georgia" w:eastAsia="Georgia" w:hAnsi="Georgia"/>
                <w:b w:val="false"/>
                <w:bCs w:val="false"/>
                <w:color w:val="1A1F24"/>
                <w:sz w:val="21"/>
                <w:szCs w:val="21"/>
                <w:shd w:fill="FFF2CC" w:color="auto" w:val="clear"/>
              </w:rPr>
              <w:t xml:space="preserve">{{umbrella.cost_rule_ref}}</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Base currency</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{{portfolio.base_currency}}</w:t>
            </w:r>
          </w:p>
        </w:tc>
      </w:tr>
      <w:tr>
        <w:tc>
          <w:tcPr>
            <w:tcW w:type="dxa" w:w="26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Administrator</w:t>
            </w:r>
          </w:p>
        </w:tc>
        <w:tc>
          <w:tcPr>
            <w:tcW w:type="dxa" w:w="64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b w:val="false"/>
                <w:bCs w:val="false"/>
                <w:color w:val="1A1F24"/>
                <w:sz w:val="21"/>
                <w:szCs w:val="21"/>
                <w:shd w:fill="FFF2CC" w:color="auto" w:val="clear"/>
              </w:rPr>
              <w:t xml:space="preserve">{{umbrella.administrator_name}}</w:t>
            </w:r>
          </w:p>
        </w:tc>
      </w:tr>
    </w:tbl>
    <w:p>
      <w:pPr>
        <w:pBdr>
          <w:top w:val="single" w:color="C9922E" w:sz="8" w:space="6"/>
          <w:left w:val="single" w:color="C9922E" w:sz="8" w:space="6"/>
          <w:bottom w:val="single" w:color="C9922E" w:sz="8" w:space="6"/>
          <w:right w:val="single" w:color="C9922E" w:sz="8" w:space="6"/>
        </w:pBdr>
        <w:shd w:fill="FBF3E3" w:color="auto" w:val="clear"/>
        <w:spacing w:after="160" w:before="120"/>
        <w:ind w:left="113" w:right="113"/>
      </w:pPr>
      <w:r>
        <w:rPr>
          <w:rFonts w:ascii="Arial" w:cs="Arial" w:eastAsia="Arial" w:hAnsi="Arial"/>
          <w:b/>
          <w:bCs/>
          <w:color w:val="7A4E0C"/>
          <w:sz w:val="16"/>
          <w:szCs w:val="16"/>
        </w:rPr>
        <w:t xml:space="preserve">COUNSEL NOTE (removed on assembly)</w:t>
      </w:r>
      <w:r>
        <w:br/>
      </w:r>
      <w:r>
        <w:rPr>
          <w:rFonts w:ascii="Arial" w:cs="Arial" w:eastAsia="Arial" w:hAnsi="Arial"/>
          <w:color w:val="7A4E0C"/>
          <w:sz w:val="19"/>
          <w:szCs w:val="19"/>
        </w:rPr>
        <w:t xml:space="preserve">Every figure in this table is filled from the portfolio record. The management and performance fee basis should be confirmed against the Offering Memorandum’s general fee terms.</w:t>
      </w:r>
    </w:p>
    <w:p>
      <w:pPr>
        <w:pStyle w:val="Heading1"/>
        <w:keepNext/>
        <w:numPr>
          <w:ilvl w:val="0"/>
          <w:numId w:val="3"/>
        </w:numPr>
        <w:spacing w:after="100" w:before="240"/>
      </w:pPr>
      <w:r>
        <w:rPr>
          <w:rFonts w:ascii="Georgia" w:cs="Georgia" w:eastAsia="Georgia" w:hAnsi="Georgia"/>
          <w:b/>
          <w:bCs/>
          <w:color w:val="1A1F24"/>
          <w:sz w:val="23"/>
          <w:szCs w:val="23"/>
        </w:rPr>
        <w:t xml:space="preserve">The Portfolio</w:t>
      </w:r>
    </w:p>
    <w:p>
      <w:pPr>
        <w:pStyle w:val="ListParagraph"/>
        <w:numPr>
          <w:ilvl w:val="1"/>
          <w:numId w:val="3"/>
        </w:numPr>
        <w:spacing w:after="120" w:before="0" w:line="300"/>
      </w:pPr>
      <w:r>
        <w:rPr>
          <w:rFonts w:ascii="Georgia" w:cs="Georgia" w:eastAsia="Georgia" w:hAnsi="Georgia"/>
          <w:color w:val="1A1F24"/>
          <w:sz w:val="21"/>
          <w:szCs w:val="21"/>
        </w:rPr>
        <w:t xml:space="preserve">The sole purpose of the Portfolio is to acquire and hold </w:t>
      </w:r>
      <w:r>
        <w:rPr>
          <w:rFonts w:ascii="Georgia" w:cs="Georgia" w:eastAsia="Georgia" w:hAnsi="Georgia"/>
          <w:color w:val="1A1F24"/>
          <w:sz w:val="21"/>
          <w:szCs w:val="21"/>
          <w:shd w:fill="FFF2CC" w:color="auto" w:val="clear"/>
        </w:rPr>
        <w:t xml:space="preserve">{{asset.instrument}}</w:t>
      </w:r>
      <w:r>
        <w:rPr>
          <w:rFonts w:ascii="Georgia" w:cs="Georgia" w:eastAsia="Georgia" w:hAnsi="Georgia"/>
          <w:color w:val="1A1F24"/>
          <w:sz w:val="21"/>
          <w:szCs w:val="21"/>
        </w:rPr>
        <w:t xml:space="preserve"> of </w:t>
      </w:r>
      <w:r>
        <w:rPr>
          <w:rFonts w:ascii="Georgia" w:cs="Georgia" w:eastAsia="Georgia" w:hAnsi="Georgia"/>
          <w:color w:val="1A1F24"/>
          <w:sz w:val="21"/>
          <w:szCs w:val="21"/>
          <w:shd w:fill="FFF2CC" w:color="auto" w:val="clear"/>
        </w:rPr>
        <w:t xml:space="preserve">{{asset.issuer_name}}</w:t>
      </w:r>
      <w:r>
        <w:rPr>
          <w:rFonts w:ascii="Georgia" w:cs="Georgia" w:eastAsia="Georgia" w:hAnsi="Georgia"/>
          <w:color w:val="1A1F24"/>
          <w:sz w:val="21"/>
          <w:szCs w:val="21"/>
        </w:rPr>
        <w:t xml:space="preserve"> (the “Company Shares”) and to distribute the proceeds when the investment is realised.</w:t>
      </w:r>
    </w:p>
    <w:p>
      <w:pPr>
        <w:pStyle w:val="Heading1"/>
        <w:keepNext/>
        <w:numPr>
          <w:ilvl w:val="0"/>
          <w:numId w:val="3"/>
        </w:numPr>
        <w:spacing w:after="100" w:before="240"/>
      </w:pPr>
      <w:r>
        <w:rPr>
          <w:rFonts w:ascii="Georgia" w:cs="Georgia" w:eastAsia="Georgia" w:hAnsi="Georgia"/>
          <w:b/>
          <w:bCs/>
          <w:color w:val="1A1F24"/>
          <w:sz w:val="23"/>
          <w:szCs w:val="23"/>
        </w:rPr>
        <w:t xml:space="preserve">The company</w:t>
      </w:r>
    </w:p>
    <w:p>
      <w:pPr>
        <w:pStyle w:val="ListParagraph"/>
        <w:numPr>
          <w:ilvl w:val="1"/>
          <w:numId w:val="3"/>
        </w:numPr>
        <w:spacing w:after="120" w:before="0" w:line="300"/>
      </w:pPr>
      <w:r>
        <w:rPr>
          <w:rFonts w:ascii="Georgia" w:cs="Georgia" w:eastAsia="Georgia" w:hAnsi="Georgia"/>
          <w:color w:val="1A1F24"/>
          <w:sz w:val="21"/>
          <w:szCs w:val="21"/>
          <w:shd w:fill="FFF2CC" w:color="auto" w:val="clear"/>
        </w:rPr>
        <w:t xml:space="preserve">{{asset.issuer_name}}</w:t>
      </w:r>
      <w:r>
        <w:rPr>
          <w:rFonts w:ascii="Georgia" w:cs="Georgia" w:eastAsia="Georgia" w:hAnsi="Georgia"/>
          <w:color w:val="1A1F24"/>
          <w:sz w:val="21"/>
          <w:szCs w:val="21"/>
        </w:rPr>
        <w:t xml:space="preserve"> (the “Issuer”) is a company incorporated in </w:t>
      </w:r>
      <w:r>
        <w:rPr>
          <w:rFonts w:ascii="Georgia" w:cs="Georgia" w:eastAsia="Georgia" w:hAnsi="Georgia"/>
          <w:color w:val="1A1F24"/>
          <w:sz w:val="21"/>
          <w:szCs w:val="21"/>
          <w:shd w:fill="FFF2CC" w:color="auto" w:val="clear"/>
        </w:rPr>
        <w:t xml:space="preserve">{{asset.issuer_jurisdiction}}</w:t>
      </w:r>
      <w:r>
        <w:rPr>
          <w:rFonts w:ascii="Georgia" w:cs="Georgia" w:eastAsia="Georgia" w:hAnsi="Georgia"/>
          <w:color w:val="1A1F24"/>
          <w:sz w:val="21"/>
          <w:szCs w:val="21"/>
        </w:rPr>
        <w:t xml:space="preserve">.</w:t>
      </w:r>
    </w:p>
    <w:p>
      <w:pPr>
        <w:pBdr>
          <w:top w:val="single" w:color="2F5D9E" w:sz="8" w:space="6"/>
          <w:left w:val="single" w:color="2F5D9E" w:sz="8" w:space="6"/>
          <w:bottom w:val="single" w:color="2F5D9E" w:sz="8" w:space="6"/>
          <w:right w:val="single" w:color="2F5D9E" w:sz="8" w:space="6"/>
        </w:pBdr>
        <w:shd w:fill="E3ECF7" w:color="auto" w:val="clear"/>
        <w:spacing w:after="160" w:before="120"/>
        <w:ind w:left="113" w:right="113"/>
      </w:pPr>
      <w:r>
        <w:rPr>
          <w:rFonts w:ascii="Arial" w:cs="Arial" w:eastAsia="Arial" w:hAnsi="Arial"/>
          <w:b/>
          <w:bCs/>
          <w:color w:val="1F4E8C"/>
          <w:sz w:val="16"/>
          <w:szCs w:val="16"/>
        </w:rPr>
        <w:t xml:space="preserve">AI-DRAFTED ZONE · issuer_description</w:t>
      </w:r>
      <w:r>
        <w:br/>
      </w:r>
      <w:r>
        <w:rPr>
          <w:rFonts w:ascii="Arial" w:cs="Arial" w:eastAsia="Arial" w:hAnsi="Arial"/>
          <w:color w:val="1F4E8C"/>
          <w:sz w:val="19"/>
          <w:szCs w:val="19"/>
        </w:rPr>
        <w:t xml:space="preserve">A factual description of the Issuer’s business, products and stage, drafted from the sponsor’s facts and publicly available or Issuer-provided materials uploaded for this portfolio. Every statement must be supported by an uploaded source. No projections, valuations or statements about future performance. Maximum 200 words.</w:t>
      </w:r>
    </w:p>
    <w:p>
      <w:pPr>
        <w:pStyle w:val="Heading1"/>
        <w:keepNext/>
        <w:numPr>
          <w:ilvl w:val="0"/>
          <w:numId w:val="3"/>
        </w:numPr>
        <w:spacing w:after="100" w:before="240"/>
      </w:pPr>
      <w:r>
        <w:rPr>
          <w:rFonts w:ascii="Georgia" w:cs="Georgia" w:eastAsia="Georgia" w:hAnsi="Georgia"/>
          <w:b/>
          <w:bCs/>
          <w:color w:val="1A1F24"/>
          <w:sz w:val="23"/>
          <w:szCs w:val="23"/>
        </w:rPr>
        <w:t xml:space="preserve">The investment</w:t>
      </w:r>
    </w:p>
    <w:p>
      <w:pPr>
        <w:pStyle w:val="ListParagraph"/>
        <w:numPr>
          <w:ilvl w:val="1"/>
          <w:numId w:val="3"/>
        </w:numPr>
        <w:spacing w:after="120" w:before="0" w:line="300"/>
      </w:pPr>
      <w:r>
        <w:rPr>
          <w:rFonts w:ascii="Georgia" w:cs="Georgia" w:eastAsia="Georgia" w:hAnsi="Georgia"/>
          <w:color w:val="1A1F24"/>
          <w:sz w:val="21"/>
          <w:szCs w:val="21"/>
        </w:rPr>
        <w:t xml:space="preserve">The Company, for and on behalf of the Portfolio, will buy Company Shares from one or more existing shareholders of the Issuer (the “Sellers”), none of whom is an affiliate of the Sponsor, at a price of no more than </w:t>
      </w:r>
      <w:r>
        <w:rPr>
          <w:rFonts w:ascii="Georgia" w:cs="Georgia" w:eastAsia="Georgia" w:hAnsi="Georgia"/>
          <w:color w:val="1A1F24"/>
          <w:sz w:val="21"/>
          <w:szCs w:val="21"/>
          <w:shd w:fill="FFF2CC" w:color="auto" w:val="clear"/>
        </w:rPr>
        <w:t xml:space="preserve">{{asset.price_per_share}}</w:t>
      </w:r>
      <w:r>
        <w:rPr>
          <w:rFonts w:ascii="Georgia" w:cs="Georgia" w:eastAsia="Georgia" w:hAnsi="Georgia"/>
          <w:color w:val="1A1F24"/>
          <w:sz w:val="21"/>
          <w:szCs w:val="21"/>
        </w:rPr>
        <w:t xml:space="preserve"> per share, under share purchase agreements between each Seller and the Company acting for the Portfolio.</w:t>
      </w:r>
    </w:p>
    <w:p>
      <w:pPr>
        <w:pStyle w:val="ListParagraph"/>
        <w:numPr>
          <w:ilvl w:val="1"/>
          <w:numId w:val="3"/>
        </w:numPr>
        <w:spacing w:after="120" w:before="0" w:line="300"/>
      </w:pPr>
      <w:r>
        <w:rPr>
          <w:rFonts w:ascii="Georgia" w:cs="Georgia" w:eastAsia="Georgia" w:hAnsi="Georgia"/>
          <w:color w:val="1A1F24"/>
          <w:sz w:val="21"/>
          <w:szCs w:val="21"/>
        </w:rPr>
        <w:t xml:space="preserve">Each purchase is conditional on the Issuer’s consent to the transfer and on any right of first refusal or co-sale right of the Issuer or its other shareholders having been waived or having lapsed.</w:t>
      </w:r>
    </w:p>
    <w:p>
      <w:pPr>
        <w:pStyle w:val="ListParagraph"/>
        <w:numPr>
          <w:ilvl w:val="1"/>
          <w:numId w:val="3"/>
        </w:numPr>
        <w:spacing w:after="120" w:before="0" w:line="300"/>
      </w:pPr>
      <w:r>
        <w:rPr>
          <w:rFonts w:ascii="Georgia" w:cs="Georgia" w:eastAsia="Georgia" w:hAnsi="Georgia"/>
          <w:color w:val="1A1F24"/>
          <w:sz w:val="21"/>
          <w:szCs w:val="21"/>
        </w:rPr>
        <w:t xml:space="preserve">If some purchases do not complete within </w:t>
      </w:r>
      <w:r>
        <w:rPr>
          <w:rFonts w:ascii="Georgia" w:cs="Georgia" w:eastAsia="Georgia" w:hAnsi="Georgia"/>
          <w:color w:val="1A1F24"/>
          <w:sz w:val="21"/>
          <w:szCs w:val="21"/>
          <w:shd w:fill="FFF2CC" w:color="auto" w:val="clear"/>
        </w:rPr>
        <w:t xml:space="preserve">{{asset.completion_window_days}}</w:t>
      </w:r>
      <w:r>
        <w:rPr>
          <w:rFonts w:ascii="Georgia" w:cs="Georgia" w:eastAsia="Georgia" w:hAnsi="Georgia"/>
          <w:color w:val="1A1F24"/>
          <w:sz w:val="21"/>
          <w:szCs w:val="21"/>
        </w:rPr>
        <w:t xml:space="preserve"> days after the offer closes, the Portfolio completes the purchases that can proceed, and the amount that cannot be invested is returned to investors pro rata to their subscriptions, without interest, after deducting the Portfolio’s share of expenses.</w:t>
      </w:r>
    </w:p>
    <w:p>
      <w:pPr>
        <w:spacing w:after="60" w:before="60"/>
      </w:pPr>
      <w:r>
        <w:rPr>
          <w:rFonts w:ascii="Arial" w:cs="Arial" w:eastAsia="Arial" w:hAnsi="Arial"/>
          <w:b/>
          <w:bCs/>
          <w:color w:val="5B3F8C"/>
          <w:sz w:val="17"/>
          <w:szCs w:val="17"/>
          <w:shd w:fill="EFEAF6" w:color="auto" w:val="clear"/>
        </w:rPr>
        <w:t xml:space="preserve">[[IF asset.has_placement_fee]]</w:t>
      </w:r>
    </w:p>
    <w:p>
      <w:pPr>
        <w:pStyle w:val="ListParagraph"/>
        <w:numPr>
          <w:ilvl w:val="1"/>
          <w:numId w:val="3"/>
        </w:numPr>
        <w:spacing w:after="120" w:before="0" w:line="300"/>
      </w:pPr>
      <w:r>
        <w:rPr>
          <w:rFonts w:ascii="Georgia" w:cs="Georgia" w:eastAsia="Georgia" w:hAnsi="Georgia"/>
          <w:color w:val="1A1F24"/>
          <w:sz w:val="21"/>
          <w:szCs w:val="21"/>
        </w:rPr>
        <w:t xml:space="preserve">A fee of </w:t>
      </w:r>
      <w:r>
        <w:rPr>
          <w:rFonts w:ascii="Georgia" w:cs="Georgia" w:eastAsia="Georgia" w:hAnsi="Georgia"/>
          <w:color w:val="1A1F24"/>
          <w:sz w:val="21"/>
          <w:szCs w:val="21"/>
          <w:shd w:fill="FFF2CC" w:color="auto" w:val="clear"/>
        </w:rPr>
        <w:t xml:space="preserve">{{asset.placement_fee_description}}</w:t>
      </w:r>
      <w:r>
        <w:rPr>
          <w:rFonts w:ascii="Georgia" w:cs="Georgia" w:eastAsia="Georgia" w:hAnsi="Georgia"/>
          <w:color w:val="1A1F24"/>
          <w:sz w:val="21"/>
          <w:szCs w:val="21"/>
        </w:rPr>
        <w:t xml:space="preserve"> is payable to </w:t>
      </w:r>
      <w:r>
        <w:rPr>
          <w:rFonts w:ascii="Georgia" w:cs="Georgia" w:eastAsia="Georgia" w:hAnsi="Georgia"/>
          <w:color w:val="1A1F24"/>
          <w:sz w:val="21"/>
          <w:szCs w:val="21"/>
          <w:shd w:fill="FFF2CC" w:color="auto" w:val="clear"/>
        </w:rPr>
        <w:t xml:space="preserve">{{asset.placement_agent_name}}</w:t>
      </w:r>
      <w:r>
        <w:rPr>
          <w:rFonts w:ascii="Georgia" w:cs="Georgia" w:eastAsia="Georgia" w:hAnsi="Georgia"/>
          <w:color w:val="1A1F24"/>
          <w:sz w:val="21"/>
          <w:szCs w:val="21"/>
        </w:rPr>
        <w:t xml:space="preserve"> for arranging the purchases. It is paid from the assets of the Portfolio and is in addition to the fees in section 5.</w:t>
      </w:r>
    </w:p>
    <w:p>
      <w:pPr>
        <w:spacing w:after="60" w:before="60"/>
      </w:pPr>
      <w:r>
        <w:rPr>
          <w:rFonts w:ascii="Arial" w:cs="Arial" w:eastAsia="Arial" w:hAnsi="Arial"/>
          <w:b/>
          <w:bCs/>
          <w:color w:val="5B3F8C"/>
          <w:sz w:val="17"/>
          <w:szCs w:val="17"/>
          <w:shd w:fill="EFEAF6" w:color="auto" w:val="clear"/>
        </w:rPr>
        <w:t xml:space="preserve">[[END IF]]</w:t>
      </w:r>
    </w:p>
    <w:p>
      <w:pPr>
        <w:pStyle w:val="Heading1"/>
        <w:keepNext/>
        <w:numPr>
          <w:ilvl w:val="0"/>
          <w:numId w:val="3"/>
        </w:numPr>
        <w:spacing w:after="100" w:before="240"/>
      </w:pPr>
      <w:r>
        <w:rPr>
          <w:rFonts w:ascii="Georgia" w:cs="Georgia" w:eastAsia="Georgia" w:hAnsi="Georgia"/>
          <w:b/>
          <w:bCs/>
          <w:color w:val="1A1F24"/>
          <w:sz w:val="23"/>
          <w:szCs w:val="23"/>
        </w:rPr>
        <w:t xml:space="preserve">Fees and expenses</w:t>
      </w:r>
    </w:p>
    <w:p>
      <w:pPr>
        <w:pStyle w:val="ListParagraph"/>
        <w:numPr>
          <w:ilvl w:val="1"/>
          <w:numId w:val="3"/>
        </w:numPr>
        <w:spacing w:after="120" w:before="0" w:line="300"/>
      </w:pPr>
      <w:r>
        <w:rPr>
          <w:rFonts w:ascii="Georgia" w:cs="Georgia" w:eastAsia="Georgia" w:hAnsi="Georgia"/>
          <w:color w:val="1A1F24"/>
          <w:sz w:val="21"/>
          <w:szCs w:val="21"/>
        </w:rPr>
        <w:t xml:space="preserve">Management fee. The Sponsor is entitled to a management fee of </w:t>
      </w:r>
      <w:r>
        <w:rPr>
          <w:rFonts w:ascii="Georgia" w:cs="Georgia" w:eastAsia="Georgia" w:hAnsi="Georgia"/>
          <w:color w:val="1A1F24"/>
          <w:sz w:val="21"/>
          <w:szCs w:val="21"/>
          <w:shd w:fill="FFF2CC" w:color="auto" w:val="clear"/>
        </w:rPr>
        <w:t xml:space="preserve">{{portfolio.mgmt_fee_rate}}</w:t>
      </w:r>
      <w:r>
        <w:rPr>
          <w:rFonts w:ascii="Georgia" w:cs="Georgia" w:eastAsia="Georgia" w:hAnsi="Georgia"/>
          <w:color w:val="1A1F24"/>
          <w:sz w:val="21"/>
          <w:szCs w:val="21"/>
        </w:rPr>
        <w:t xml:space="preserve"> a year on </w:t>
      </w:r>
      <w:r>
        <w:rPr>
          <w:rFonts w:ascii="Georgia" w:cs="Georgia" w:eastAsia="Georgia" w:hAnsi="Georgia"/>
          <w:color w:val="1A1F24"/>
          <w:sz w:val="21"/>
          <w:szCs w:val="21"/>
          <w:shd w:fill="FFF2CC" w:color="auto" w:val="clear"/>
        </w:rPr>
        <w:t xml:space="preserve">{{portfolio.fee_basis}}</w:t>
      </w:r>
      <w:r>
        <w:rPr>
          <w:rFonts w:ascii="Georgia" w:cs="Georgia" w:eastAsia="Georgia" w:hAnsi="Georgia"/>
          <w:color w:val="1A1F24"/>
          <w:sz w:val="21"/>
          <w:szCs w:val="21"/>
        </w:rPr>
        <w:t xml:space="preserve">, calculated and paid </w:t>
      </w:r>
      <w:r>
        <w:rPr>
          <w:rFonts w:ascii="Georgia" w:cs="Georgia" w:eastAsia="Georgia" w:hAnsi="Georgia"/>
          <w:color w:val="1A1F24"/>
          <w:sz w:val="21"/>
          <w:szCs w:val="21"/>
          <w:shd w:fill="FFF2CC" w:color="auto" w:val="clear"/>
        </w:rPr>
        <w:t xml:space="preserve">{{portfolio.fee_frequency}}</w:t>
      </w:r>
      <w:r>
        <w:rPr>
          <w:rFonts w:ascii="Georgia" w:cs="Georgia" w:eastAsia="Georgia" w:hAnsi="Georgia"/>
          <w:color w:val="1A1F24"/>
          <w:sz w:val="21"/>
          <w:szCs w:val="21"/>
        </w:rPr>
        <w:t xml:space="preserve"> in arrears from the assets of the Portfolio.</w:t>
      </w:r>
    </w:p>
    <w:p>
      <w:pPr>
        <w:pStyle w:val="ListParagraph"/>
        <w:numPr>
          <w:ilvl w:val="1"/>
          <w:numId w:val="3"/>
        </w:numPr>
        <w:spacing w:after="120" w:before="0" w:line="300"/>
      </w:pPr>
      <w:r>
        <w:rPr>
          <w:rFonts w:ascii="Georgia" w:cs="Georgia" w:eastAsia="Georgia" w:hAnsi="Georgia"/>
          <w:color w:val="1A1F24"/>
          <w:sz w:val="21"/>
          <w:szCs w:val="21"/>
        </w:rPr>
        <w:t xml:space="preserve">Performance fee. On each distribution, the Sponsor is entitled to </w:t>
      </w:r>
      <w:r>
        <w:rPr>
          <w:rFonts w:ascii="Georgia" w:cs="Georgia" w:eastAsia="Georgia" w:hAnsi="Georgia"/>
          <w:color w:val="1A1F24"/>
          <w:sz w:val="21"/>
          <w:szCs w:val="21"/>
          <w:shd w:fill="FFF2CC" w:color="auto" w:val="clear"/>
        </w:rPr>
        <w:t xml:space="preserve">{{portfolio.perf_fee_rate}}</w:t>
      </w:r>
      <w:r>
        <w:rPr>
          <w:rFonts w:ascii="Georgia" w:cs="Georgia" w:eastAsia="Georgia" w:hAnsi="Georgia"/>
          <w:color w:val="1A1F24"/>
          <w:sz w:val="21"/>
          <w:szCs w:val="21"/>
        </w:rPr>
        <w:t xml:space="preserve"> of the amount by which cumulative distributions exceed investors’ subscribed capital</w:t>
      </w:r>
      <w:r>
        <w:rPr>
          <w:rFonts w:ascii="Arial" w:cs="Arial" w:eastAsia="Arial" w:hAnsi="Arial"/>
          <w:b/>
          <w:bCs/>
          <w:color w:val="5B3F8C"/>
          <w:sz w:val="17"/>
          <w:szCs w:val="17"/>
          <w:shd w:fill="EFEAF6" w:color="auto" w:val="clear"/>
        </w:rPr>
        <w:t xml:space="preserve">[[IF portfolio.has_hurdle]]</w:t>
      </w:r>
      <w:r>
        <w:rPr>
          <w:rFonts w:ascii="Georgia" w:cs="Georgia" w:eastAsia="Georgia" w:hAnsi="Georgia"/>
          <w:color w:val="1A1F24"/>
          <w:sz w:val="21"/>
          <w:szCs w:val="21"/>
        </w:rPr>
        <w:t xml:space="preserve"> plus a return of </w:t>
      </w:r>
      <w:r>
        <w:rPr>
          <w:rFonts w:ascii="Georgia" w:cs="Georgia" w:eastAsia="Georgia" w:hAnsi="Georgia"/>
          <w:color w:val="1A1F24"/>
          <w:sz w:val="21"/>
          <w:szCs w:val="21"/>
          <w:shd w:fill="FFF2CC" w:color="auto" w:val="clear"/>
        </w:rPr>
        <w:t xml:space="preserve">{{portfolio.hurdle_rate}}</w:t>
      </w:r>
      <w:r>
        <w:rPr>
          <w:rFonts w:ascii="Georgia" w:cs="Georgia" w:eastAsia="Georgia" w:hAnsi="Georgia"/>
          <w:color w:val="1A1F24"/>
          <w:sz w:val="21"/>
          <w:szCs w:val="21"/>
        </w:rPr>
        <w:t xml:space="preserve"> a year</w:t>
      </w:r>
      <w:r>
        <w:rPr>
          <w:rFonts w:ascii="Arial" w:cs="Arial" w:eastAsia="Arial" w:hAnsi="Arial"/>
          <w:b/>
          <w:bCs/>
          <w:color w:val="5B3F8C"/>
          <w:sz w:val="17"/>
          <w:szCs w:val="17"/>
          <w:shd w:fill="EFEAF6" w:color="auto" w:val="clear"/>
        </w:rPr>
        <w:t xml:space="preserve">[[END IF]]</w:t>
      </w:r>
      <w:r>
        <w:rPr>
          <w:rFonts w:ascii="Georgia" w:cs="Georgia" w:eastAsia="Georgia" w:hAnsi="Georgia"/>
          <w:color w:val="1A1F24"/>
          <w:sz w:val="21"/>
          <w:szCs w:val="21"/>
        </w:rPr>
        <w:t xml:space="preserve">. The calculation is made by the Company’s calculation service and shown on each distribution notice.</w:t>
      </w:r>
    </w:p>
    <w:p>
      <w:pPr>
        <w:pStyle w:val="ListParagraph"/>
        <w:numPr>
          <w:ilvl w:val="1"/>
          <w:numId w:val="3"/>
        </w:numPr>
        <w:spacing w:after="120" w:before="0" w:line="300"/>
      </w:pPr>
      <w:r>
        <w:rPr>
          <w:rFonts w:ascii="Georgia" w:cs="Georgia" w:eastAsia="Georgia" w:hAnsi="Georgia"/>
          <w:color w:val="1A1F24"/>
          <w:sz w:val="21"/>
          <w:szCs w:val="21"/>
        </w:rPr>
        <w:t xml:space="preserve">Organisational expenses. The costs of establishing the Portfolio and offering the Portfolio Shares are borne by the Portfolio up to </w:t>
      </w:r>
      <w:r>
        <w:rPr>
          <w:rFonts w:ascii="Georgia" w:cs="Georgia" w:eastAsia="Georgia" w:hAnsi="Georgia"/>
          <w:color w:val="1A1F24"/>
          <w:sz w:val="21"/>
          <w:szCs w:val="21"/>
          <w:shd w:fill="FFF2CC" w:color="auto" w:val="clear"/>
        </w:rPr>
        <w:t xml:space="preserve">{{portfolio.org_expense_cap}}</w:t>
      </w:r>
      <w:r>
        <w:rPr>
          <w:rFonts w:ascii="Georgia" w:cs="Georgia" w:eastAsia="Georgia" w:hAnsi="Georgia"/>
          <w:color w:val="1A1F24"/>
          <w:sz w:val="21"/>
          <w:szCs w:val="21"/>
        </w:rPr>
        <w:t xml:space="preserve">. Any excess is borne by the Sponsor.</w:t>
      </w:r>
    </w:p>
    <w:p>
      <w:pPr>
        <w:pStyle w:val="ListParagraph"/>
        <w:numPr>
          <w:ilvl w:val="1"/>
          <w:numId w:val="3"/>
        </w:numPr>
        <w:spacing w:after="120" w:before="0" w:line="300"/>
      </w:pPr>
      <w:r>
        <w:rPr>
          <w:rFonts w:ascii="Georgia" w:cs="Georgia" w:eastAsia="Georgia" w:hAnsi="Georgia"/>
          <w:color w:val="1A1F24"/>
          <w:sz w:val="21"/>
          <w:szCs w:val="21"/>
        </w:rPr>
        <w:t xml:space="preserve">Umbrella costs. Costs of the Company that do not relate to a particular segregated portfolio are allocated to the Portfolio under the Company’s cost-allocation rule </w:t>
      </w:r>
      <w:r>
        <w:rPr>
          <w:rFonts w:ascii="Georgia" w:cs="Georgia" w:eastAsia="Georgia" w:hAnsi="Georgia"/>
          <w:color w:val="1A1F24"/>
          <w:sz w:val="21"/>
          <w:szCs w:val="21"/>
          <w:shd w:fill="FFF2CC" w:color="auto" w:val="clear"/>
        </w:rPr>
        <w:t xml:space="preserve">{{umbrella.cost_rule_ref}}</w:t>
      </w:r>
      <w:r>
        <w:rPr>
          <w:rFonts w:ascii="Georgia" w:cs="Georgia" w:eastAsia="Georgia" w:hAnsi="Georgia"/>
          <w:color w:val="1A1F24"/>
          <w:sz w:val="21"/>
          <w:szCs w:val="21"/>
        </w:rPr>
        <w:t xml:space="preserve">. No cost of any other segregated portfolio is charged to the Portfolio.</w:t>
      </w:r>
    </w:p>
    <w:p>
      <w:pPr>
        <w:pStyle w:val="Heading1"/>
        <w:keepNext/>
        <w:numPr>
          <w:ilvl w:val="0"/>
          <w:numId w:val="3"/>
        </w:numPr>
        <w:spacing w:after="100" w:before="240"/>
      </w:pPr>
      <w:r>
        <w:rPr>
          <w:rFonts w:ascii="Georgia" w:cs="Georgia" w:eastAsia="Georgia" w:hAnsi="Georgia"/>
          <w:b/>
          <w:bCs/>
          <w:color w:val="1A1F24"/>
          <w:sz w:val="23"/>
          <w:szCs w:val="23"/>
        </w:rPr>
        <w:t xml:space="preserve">Subscriptions and allocation</w:t>
      </w:r>
    </w:p>
    <w:p>
      <w:pPr>
        <w:pStyle w:val="ListParagraph"/>
        <w:numPr>
          <w:ilvl w:val="1"/>
          <w:numId w:val="3"/>
        </w:numPr>
        <w:spacing w:after="120" w:before="0" w:line="300"/>
      </w:pPr>
      <w:r>
        <w:rPr>
          <w:rFonts w:ascii="Georgia" w:cs="Georgia" w:eastAsia="Georgia" w:hAnsi="Georgia"/>
          <w:color w:val="1A1F24"/>
          <w:sz w:val="21"/>
          <w:szCs w:val="21"/>
        </w:rPr>
        <w:t xml:space="preserve">Investors apply by completing a subscription agreement for the Portfolio and giving the information required for anti-money laundering and tax purposes.</w:t>
      </w:r>
    </w:p>
    <w:p>
      <w:pPr>
        <w:pStyle w:val="ListParagraph"/>
        <w:numPr>
          <w:ilvl w:val="1"/>
          <w:numId w:val="3"/>
        </w:numPr>
        <w:spacing w:after="120" w:before="0" w:line="300"/>
      </w:pPr>
      <w:r>
        <w:rPr>
          <w:rFonts w:ascii="Georgia" w:cs="Georgia" w:eastAsia="Georgia" w:hAnsi="Georgia"/>
          <w:color w:val="1A1F24"/>
          <w:sz w:val="21"/>
          <w:szCs w:val="21"/>
        </w:rPr>
        <w:t xml:space="preserve">If applications exceed the maximum offer, the directors allocate Portfolio Shares </w:t>
      </w:r>
      <w:r>
        <w:rPr>
          <w:rFonts w:ascii="Georgia" w:cs="Georgia" w:eastAsia="Georgia" w:hAnsi="Georgia"/>
          <w:color w:val="1A1F24"/>
          <w:sz w:val="21"/>
          <w:szCs w:val="21"/>
          <w:shd w:fill="FFF2CC" w:color="auto" w:val="clear"/>
        </w:rPr>
        <w:t xml:space="preserve">{{portfolio.allocation_method_description}}</w:t>
      </w:r>
      <w:r>
        <w:rPr>
          <w:rFonts w:ascii="Georgia" w:cs="Georgia" w:eastAsia="Georgia" w:hAnsi="Georgia"/>
          <w:color w:val="1A1F24"/>
          <w:sz w:val="21"/>
          <w:szCs w:val="21"/>
        </w:rPr>
        <w:t xml:space="preserve">. Each investor is notified of their allocation, which may be less than the amount applied for.</w:t>
      </w:r>
    </w:p>
    <w:p>
      <w:pPr>
        <w:pStyle w:val="ListParagraph"/>
        <w:numPr>
          <w:ilvl w:val="1"/>
          <w:numId w:val="3"/>
        </w:numPr>
        <w:spacing w:after="120" w:before="0" w:line="300"/>
      </w:pPr>
      <w:r>
        <w:rPr>
          <w:rFonts w:ascii="Georgia" w:cs="Georgia" w:eastAsia="Georgia" w:hAnsi="Georgia"/>
          <w:color w:val="1A1F24"/>
          <w:sz w:val="21"/>
          <w:szCs w:val="21"/>
        </w:rPr>
        <w:t xml:space="preserve">Allocated amounts must be received in cleared funds by </w:t>
      </w:r>
      <w:r>
        <w:rPr>
          <w:rFonts w:ascii="Georgia" w:cs="Georgia" w:eastAsia="Georgia" w:hAnsi="Georgia"/>
          <w:color w:val="1A1F24"/>
          <w:sz w:val="21"/>
          <w:szCs w:val="21"/>
          <w:shd w:fill="FFF2CC" w:color="auto" w:val="clear"/>
        </w:rPr>
        <w:t xml:space="preserve">{{portfolio.funding_deadline}}</w:t>
      </w:r>
      <w:r>
        <w:rPr>
          <w:rFonts w:ascii="Georgia" w:cs="Georgia" w:eastAsia="Georgia" w:hAnsi="Georgia"/>
          <w:color w:val="1A1F24"/>
          <w:sz w:val="21"/>
          <w:szCs w:val="21"/>
        </w:rPr>
        <w:t xml:space="preserve">. Portfolio Shares are issued at the subscription price once cleared funds are received and the offer has closed. Fractions of Portfolio Shares are not issued; allocations are rounded down to a whole share.</w:t>
      </w:r>
    </w:p>
    <w:p>
      <w:pPr>
        <w:pStyle w:val="ListParagraph"/>
        <w:numPr>
          <w:ilvl w:val="1"/>
          <w:numId w:val="3"/>
        </w:numPr>
        <w:spacing w:after="120" w:before="0" w:line="300"/>
      </w:pPr>
      <w:r>
        <w:rPr>
          <w:rFonts w:ascii="Georgia" w:cs="Georgia" w:eastAsia="Georgia" w:hAnsi="Georgia"/>
          <w:color w:val="1A1F24"/>
          <w:sz w:val="21"/>
          <w:szCs w:val="21"/>
        </w:rPr>
        <w:t xml:space="preserve">If cleared subscription monies of at least </w:t>
      </w:r>
      <w:r>
        <w:rPr>
          <w:rFonts w:ascii="Georgia" w:cs="Georgia" w:eastAsia="Georgia" w:hAnsi="Georgia"/>
          <w:color w:val="1A1F24"/>
          <w:sz w:val="21"/>
          <w:szCs w:val="21"/>
          <w:shd w:fill="FFF2CC" w:color="auto" w:val="clear"/>
        </w:rPr>
        <w:t xml:space="preserve">{{portfolio.minimum_close_amount}}</w:t>
      </w:r>
      <w:r>
        <w:rPr>
          <w:rFonts w:ascii="Georgia" w:cs="Georgia" w:eastAsia="Georgia" w:hAnsi="Georgia"/>
          <w:color w:val="1A1F24"/>
          <w:sz w:val="21"/>
          <w:szCs w:val="21"/>
        </w:rPr>
        <w:t xml:space="preserve"> are not received by the end of the offer period, the offer lapses and all subscription monies are returned without interest.</w:t>
      </w:r>
    </w:p>
    <w:p>
      <w:pPr>
        <w:pStyle w:val="Heading1"/>
        <w:keepNext/>
        <w:numPr>
          <w:ilvl w:val="0"/>
          <w:numId w:val="3"/>
        </w:numPr>
        <w:spacing w:after="100" w:before="240"/>
      </w:pPr>
      <w:r>
        <w:rPr>
          <w:rFonts w:ascii="Georgia" w:cs="Georgia" w:eastAsia="Georgia" w:hAnsi="Georgia"/>
          <w:b/>
          <w:bCs/>
          <w:color w:val="1A1F24"/>
          <w:sz w:val="23"/>
          <w:szCs w:val="23"/>
        </w:rPr>
        <w:t xml:space="preserve">Distributions and termination</w:t>
      </w:r>
    </w:p>
    <w:p>
      <w:pPr>
        <w:pStyle w:val="ListParagraph"/>
        <w:numPr>
          <w:ilvl w:val="1"/>
          <w:numId w:val="3"/>
        </w:numPr>
        <w:spacing w:after="120" w:before="0" w:line="300"/>
      </w:pPr>
      <w:r>
        <w:rPr>
          <w:rFonts w:ascii="Georgia" w:cs="Georgia" w:eastAsia="Georgia" w:hAnsi="Georgia"/>
          <w:color w:val="1A1F24"/>
          <w:sz w:val="21"/>
          <w:szCs w:val="21"/>
        </w:rPr>
        <w:t xml:space="preserve">Distributions are paid only from the assets of the Portfolio, after the Portfolio’s liabilities and fees. The directors may distribute proceeds from a sale or other realisation of the Portfolio’s investment, or distribute securities in kind where the directors consider it in investors’ interests and permitted by the issuer’s transfer restrictions.</w:t>
      </w:r>
    </w:p>
    <w:p>
      <w:pPr>
        <w:pStyle w:val="ListParagraph"/>
        <w:numPr>
          <w:ilvl w:val="1"/>
          <w:numId w:val="3"/>
        </w:numPr>
        <w:spacing w:after="120" w:before="0" w:line="300"/>
      </w:pPr>
      <w:r>
        <w:rPr>
          <w:rFonts w:ascii="Georgia" w:cs="Georgia" w:eastAsia="Georgia" w:hAnsi="Georgia"/>
          <w:color w:val="1A1F24"/>
          <w:sz w:val="21"/>
          <w:szCs w:val="21"/>
        </w:rPr>
        <w:t xml:space="preserve">After the Portfolio’s investment has been fully realised, or at the end of the term, the directors will wind up the Portfolio, make a final distribution and compulsorily redeem the Portfolio Shares.</w:t>
      </w:r>
    </w:p>
    <w:p>
      <w:pPr>
        <w:pStyle w:val="Heading1"/>
        <w:keepNext/>
        <w:numPr>
          <w:ilvl w:val="0"/>
          <w:numId w:val="3"/>
        </w:numPr>
        <w:spacing w:after="100" w:before="240"/>
      </w:pPr>
      <w:r>
        <w:rPr>
          <w:rFonts w:ascii="Georgia" w:cs="Georgia" w:eastAsia="Georgia" w:hAnsi="Georgia"/>
          <w:b/>
          <w:bCs/>
          <w:color w:val="1A1F24"/>
          <w:sz w:val="23"/>
          <w:szCs w:val="23"/>
        </w:rPr>
        <w:t xml:space="preserve">Transfers</w:t>
      </w:r>
    </w:p>
    <w:p>
      <w:pPr>
        <w:pStyle w:val="ListParagraph"/>
        <w:numPr>
          <w:ilvl w:val="1"/>
          <w:numId w:val="3"/>
        </w:numPr>
        <w:spacing w:after="120" w:before="0" w:line="300"/>
      </w:pPr>
      <w:r>
        <w:rPr>
          <w:rFonts w:ascii="Georgia" w:cs="Georgia" w:eastAsia="Georgia" w:hAnsi="Georgia"/>
          <w:color w:val="1A1F24"/>
          <w:sz w:val="21"/>
          <w:szCs w:val="21"/>
        </w:rPr>
        <w:t xml:space="preserve">Portfolio Shares may be transferred only with the prior written consent of the directors, to a person who is eligible to invest under section 11 and who has completed the Company’s onboarding. Any transfer restrictions affecting the Portfolio’s investment may also apply.</w:t>
      </w:r>
    </w:p>
    <w:p>
      <w:pPr>
        <w:pStyle w:val="Heading1"/>
        <w:keepNext/>
        <w:numPr>
          <w:ilvl w:val="0"/>
          <w:numId w:val="3"/>
        </w:numPr>
        <w:spacing w:after="100" w:before="240"/>
      </w:pPr>
      <w:r>
        <w:rPr>
          <w:rFonts w:ascii="Georgia" w:cs="Georgia" w:eastAsia="Georgia" w:hAnsi="Georgia"/>
          <w:b/>
          <w:bCs/>
          <w:color w:val="1A1F24"/>
          <w:sz w:val="23"/>
          <w:szCs w:val="23"/>
        </w:rPr>
        <w:t xml:space="preserve">Risk factors</w:t>
      </w:r>
    </w:p>
    <w:p>
      <w:pPr>
        <w:spacing w:after="120" w:before="0" w:line="300"/>
      </w:pPr>
      <w:r>
        <w:rPr>
          <w:rFonts w:ascii="Georgia" w:cs="Georgia" w:eastAsia="Georgia" w:hAnsi="Georgia"/>
          <w:color w:val="1A1F24"/>
          <w:sz w:val="21"/>
          <w:szCs w:val="21"/>
        </w:rPr>
        <w:t xml:space="preserve">In addition to the risks described in the Offering Memorandum, investors should consider the following.</w:t>
      </w:r>
    </w:p>
    <w:p>
      <w:pPr>
        <w:pStyle w:val="ListParagraph"/>
        <w:numPr>
          <w:ilvl w:val="0"/>
          <w:numId w:val="4"/>
        </w:numPr>
        <w:spacing w:after="80" w:line="290"/>
      </w:pPr>
      <w:r>
        <w:rPr>
          <w:rFonts w:ascii="Georgia" w:cs="Georgia" w:eastAsia="Georgia" w:hAnsi="Georgia"/>
          <w:color w:val="1A1F24"/>
          <w:sz w:val="21"/>
          <w:szCs w:val="21"/>
        </w:rPr>
        <w:t xml:space="preserve">Concentration: the Portfolio holds a single investment. Its value depends entirely on the performance of that investment.</w:t>
      </w:r>
    </w:p>
    <w:p>
      <w:pPr>
        <w:pStyle w:val="ListParagraph"/>
        <w:numPr>
          <w:ilvl w:val="0"/>
          <w:numId w:val="4"/>
        </w:numPr>
        <w:spacing w:after="80" w:line="290"/>
      </w:pPr>
      <w:r>
        <w:rPr>
          <w:rFonts w:ascii="Georgia" w:cs="Georgia" w:eastAsia="Georgia" w:hAnsi="Georgia"/>
          <w:color w:val="1A1F24"/>
          <w:sz w:val="21"/>
          <w:szCs w:val="21"/>
        </w:rPr>
        <w:t xml:space="preserve">Illiquidity: Portfolio Shares cannot be redeemed at the investor’s request, and there is no market for them. Investors may not receive any return until the investment is realised, which may take longer than the term.</w:t>
      </w:r>
    </w:p>
    <w:p>
      <w:pPr>
        <w:pStyle w:val="ListParagraph"/>
        <w:numPr>
          <w:ilvl w:val="0"/>
          <w:numId w:val="4"/>
        </w:numPr>
        <w:spacing w:after="80" w:line="290"/>
      </w:pPr>
      <w:r>
        <w:rPr>
          <w:rFonts w:ascii="Georgia" w:cs="Georgia" w:eastAsia="Georgia" w:hAnsi="Georgia"/>
          <w:color w:val="1A1F24"/>
          <w:sz w:val="21"/>
          <w:szCs w:val="21"/>
        </w:rPr>
        <w:t xml:space="preserve">Valuation: the investment is not listed. Any valuation is an estimate and may not reflect the price achievable on a sale.</w:t>
      </w:r>
    </w:p>
    <w:p>
      <w:pPr>
        <w:pStyle w:val="ListParagraph"/>
        <w:numPr>
          <w:ilvl w:val="0"/>
          <w:numId w:val="4"/>
        </w:numPr>
        <w:spacing w:after="80" w:line="290"/>
      </w:pPr>
      <w:r>
        <w:rPr>
          <w:rFonts w:ascii="Georgia" w:cs="Georgia" w:eastAsia="Georgia" w:hAnsi="Georgia"/>
          <w:color w:val="1A1F24"/>
          <w:sz w:val="21"/>
          <w:szCs w:val="21"/>
        </w:rPr>
        <w:t xml:space="preserve">Loss of capital: investors may lose all of the amount invested.</w:t>
      </w:r>
    </w:p>
    <w:p>
      <w:pPr>
        <w:pStyle w:val="ListParagraph"/>
        <w:numPr>
          <w:ilvl w:val="0"/>
          <w:numId w:val="4"/>
        </w:numPr>
        <w:spacing w:after="80" w:line="290"/>
      </w:pPr>
      <w:r>
        <w:rPr>
          <w:rFonts w:ascii="Georgia" w:cs="Georgia" w:eastAsia="Georgia" w:hAnsi="Georgia"/>
          <w:color w:val="1A1F24"/>
          <w:sz w:val="21"/>
          <w:szCs w:val="21"/>
        </w:rPr>
        <w:t xml:space="preserve">Limited information and control: the Portfolio is a minority holder and relies on information provided by the issuer.</w:t>
      </w:r>
    </w:p>
    <w:p>
      <w:pPr>
        <w:pStyle w:val="ListParagraph"/>
        <w:numPr>
          <w:ilvl w:val="0"/>
          <w:numId w:val="4"/>
        </w:numPr>
        <w:spacing w:after="80" w:line="290"/>
      </w:pPr>
      <w:r>
        <w:rPr>
          <w:rFonts w:ascii="Georgia" w:cs="Georgia" w:eastAsia="Georgia" w:hAnsi="Georgia"/>
          <w:color w:val="1A1F24"/>
          <w:sz w:val="21"/>
          <w:szCs w:val="21"/>
        </w:rPr>
        <w:t xml:space="preserve">Fees and expenses reduce returns, including the Portfolio’s share of umbrella costs.</w:t>
      </w:r>
    </w:p>
    <w:p>
      <w:pPr>
        <w:pStyle w:val="ListParagraph"/>
        <w:numPr>
          <w:ilvl w:val="0"/>
          <w:numId w:val="4"/>
        </w:numPr>
        <w:spacing w:after="80" w:line="290"/>
      </w:pPr>
      <w:r>
        <w:rPr>
          <w:rFonts w:ascii="Georgia" w:cs="Georgia" w:eastAsia="Georgia" w:hAnsi="Georgia"/>
          <w:color w:val="1A1F24"/>
          <w:sz w:val="21"/>
          <w:szCs w:val="21"/>
        </w:rPr>
        <w:t xml:space="preserve">Currency: where the investment is valued or realised in a currency other than </w:t>
      </w:r>
      <w:r>
        <w:rPr>
          <w:rFonts w:ascii="Georgia" w:cs="Georgia" w:eastAsia="Georgia" w:hAnsi="Georgia"/>
          <w:color w:val="1A1F24"/>
          <w:sz w:val="21"/>
          <w:szCs w:val="21"/>
          <w:shd w:fill="FFF2CC" w:color="auto" w:val="clear"/>
        </w:rPr>
        <w:t xml:space="preserve">{{portfolio.base_currency}}</w:t>
      </w:r>
      <w:r>
        <w:rPr>
          <w:rFonts w:ascii="Georgia" w:cs="Georgia" w:eastAsia="Georgia" w:hAnsi="Georgia"/>
          <w:color w:val="1A1F24"/>
          <w:sz w:val="21"/>
          <w:szCs w:val="21"/>
        </w:rPr>
        <w:t xml:space="preserve">, exchange rates will affect returns.</w:t>
      </w:r>
    </w:p>
    <w:p>
      <w:pPr>
        <w:pStyle w:val="ListParagraph"/>
        <w:numPr>
          <w:ilvl w:val="0"/>
          <w:numId w:val="4"/>
        </w:numPr>
        <w:spacing w:after="80" w:line="290"/>
      </w:pPr>
      <w:r>
        <w:rPr>
          <w:rFonts w:ascii="Georgia" w:cs="Georgia" w:eastAsia="Georgia" w:hAnsi="Georgia"/>
          <w:color w:val="1A1F24"/>
          <w:sz w:val="21"/>
          <w:szCs w:val="21"/>
        </w:rPr>
        <w:t xml:space="preserve">Information asymmetry: the Sellers and the Issuer may have information about the Issuer that the Portfolio does not have.</w:t>
      </w:r>
    </w:p>
    <w:p>
      <w:pPr>
        <w:pStyle w:val="ListParagraph"/>
        <w:numPr>
          <w:ilvl w:val="0"/>
          <w:numId w:val="4"/>
        </w:numPr>
        <w:spacing w:after="80" w:line="290"/>
      </w:pPr>
      <w:r>
        <w:rPr>
          <w:rFonts w:ascii="Georgia" w:cs="Georgia" w:eastAsia="Georgia" w:hAnsi="Georgia"/>
          <w:color w:val="1A1F24"/>
          <w:sz w:val="21"/>
          <w:szCs w:val="21"/>
        </w:rPr>
        <w:t xml:space="preserve">Limited warranties: Sellers give warranties about title and capacity only.</w:t>
      </w:r>
    </w:p>
    <w:p>
      <w:pPr>
        <w:pStyle w:val="ListParagraph"/>
        <w:numPr>
          <w:ilvl w:val="0"/>
          <w:numId w:val="4"/>
        </w:numPr>
        <w:spacing w:after="80" w:line="290"/>
      </w:pPr>
      <w:r>
        <w:rPr>
          <w:rFonts w:ascii="Georgia" w:cs="Georgia" w:eastAsia="Georgia" w:hAnsi="Georgia"/>
          <w:color w:val="1A1F24"/>
          <w:sz w:val="21"/>
          <w:szCs w:val="21"/>
        </w:rPr>
        <w:t xml:space="preserve">Completion risk: the Issuer may refuse consent, or another shareholder may exercise a right of first refusal, so the Portfolio may acquire fewer Company Shares than intended.</w:t>
      </w:r>
    </w:p>
    <w:p>
      <w:pPr>
        <w:pStyle w:val="ListParagraph"/>
        <w:numPr>
          <w:ilvl w:val="0"/>
          <w:numId w:val="4"/>
        </w:numPr>
        <w:spacing w:after="80" w:line="290"/>
      </w:pPr>
      <w:r>
        <w:rPr>
          <w:rFonts w:ascii="Georgia" w:cs="Georgia" w:eastAsia="Georgia" w:hAnsi="Georgia"/>
          <w:color w:val="1A1F24"/>
          <w:sz w:val="21"/>
          <w:szCs w:val="21"/>
        </w:rPr>
        <w:t xml:space="preserve">Rights attached: shares bought from existing holders may be a class with fewer rights or a lower priority on a sale than shares issued in later financings.</w:t>
      </w:r>
    </w:p>
    <w:p>
      <w:pPr>
        <w:pBdr>
          <w:top w:val="single" w:color="2F5D9E" w:sz="8" w:space="6"/>
          <w:left w:val="single" w:color="2F5D9E" w:sz="8" w:space="6"/>
          <w:bottom w:val="single" w:color="2F5D9E" w:sz="8" w:space="6"/>
          <w:right w:val="single" w:color="2F5D9E" w:sz="8" w:space="6"/>
        </w:pBdr>
        <w:shd w:fill="E3ECF7" w:color="auto" w:val="clear"/>
        <w:spacing w:after="160" w:before="120"/>
        <w:ind w:left="113" w:right="113"/>
      </w:pPr>
      <w:r>
        <w:rPr>
          <w:rFonts w:ascii="Arial" w:cs="Arial" w:eastAsia="Arial" w:hAnsi="Arial"/>
          <w:b/>
          <w:bCs/>
          <w:color w:val="1F4E8C"/>
          <w:sz w:val="16"/>
          <w:szCs w:val="16"/>
        </w:rPr>
        <w:t xml:space="preserve">AI-DRAFTED ZONE · project_risk_factors</w:t>
      </w:r>
      <w:r>
        <w:br/>
      </w:r>
      <w:r>
        <w:rPr>
          <w:rFonts w:ascii="Arial" w:cs="Arial" w:eastAsia="Arial" w:hAnsi="Arial"/>
          <w:color w:val="1F4E8C"/>
          <w:sz w:val="19"/>
          <w:szCs w:val="19"/>
        </w:rPr>
        <w:t xml:space="preserve">Risks specific to this investment and this issuer, drafted only from the sponsor’s facts and the issuer’s materials uploaded for this portfolio. Each statement must be supported by an uploaded source. No statements about expected returns, liquidity or the likelihood of an exit. Maximum 250 words.</w:t>
      </w:r>
    </w:p>
    <w:p>
      <w:pPr>
        <w:pStyle w:val="Heading1"/>
        <w:keepNext/>
        <w:numPr>
          <w:ilvl w:val="0"/>
          <w:numId w:val="3"/>
        </w:numPr>
        <w:spacing w:after="100" w:before="240"/>
      </w:pPr>
      <w:r>
        <w:rPr>
          <w:rFonts w:ascii="Georgia" w:cs="Georgia" w:eastAsia="Georgia" w:hAnsi="Georgia"/>
          <w:b/>
          <w:bCs/>
          <w:color w:val="1A1F24"/>
          <w:sz w:val="23"/>
          <w:szCs w:val="23"/>
        </w:rPr>
        <w:t xml:space="preserve">Conflicts of interest</w:t>
      </w:r>
    </w:p>
    <w:p>
      <w:pPr>
        <w:pStyle w:val="ListParagraph"/>
        <w:numPr>
          <w:ilvl w:val="1"/>
          <w:numId w:val="3"/>
        </w:numPr>
        <w:spacing w:after="120" w:before="0" w:line="300"/>
      </w:pPr>
      <w:r>
        <w:rPr>
          <w:rFonts w:ascii="Georgia" w:cs="Georgia" w:eastAsia="Georgia" w:hAnsi="Georgia"/>
          <w:color w:val="1A1F24"/>
          <w:sz w:val="21"/>
          <w:szCs w:val="21"/>
        </w:rPr>
        <w:t xml:space="preserve">The Sponsor and its affiliates act for other segregated portfolios of the Company and other clients, and may have interests that conflict with those of the Portfolio, including in allocating investment opportunities and time. The Offering Memorandum describes how the Sponsor manages these conflicts.</w:t>
      </w:r>
    </w:p>
    <w:p>
      <w:pPr>
        <w:pStyle w:val="ListParagraph"/>
        <w:numPr>
          <w:ilvl w:val="1"/>
          <w:numId w:val="3"/>
        </w:numPr>
        <w:spacing w:after="120" w:before="0" w:line="300"/>
      </w:pPr>
      <w:r>
        <w:rPr>
          <w:rFonts w:ascii="Georgia" w:cs="Georgia" w:eastAsia="Georgia" w:hAnsi="Georgia"/>
          <w:color w:val="1A1F24"/>
          <w:sz w:val="21"/>
          <w:szCs w:val="21"/>
        </w:rPr>
        <w:t xml:space="preserve">None of the Sellers is an affiliate of the Sponsor.</w:t>
      </w:r>
      <w:r>
        <w:rPr>
          <w:rFonts w:ascii="Arial" w:cs="Arial" w:eastAsia="Arial" w:hAnsi="Arial"/>
          <w:b/>
          <w:bCs/>
          <w:color w:val="5B3F8C"/>
          <w:sz w:val="17"/>
          <w:szCs w:val="17"/>
          <w:shd w:fill="EFEAF6" w:color="auto" w:val="clear"/>
        </w:rPr>
        <w:t xml:space="preserve">[[IF asset.has_placement_fee]]</w:t>
      </w:r>
      <w:r>
        <w:rPr>
          <w:rFonts w:ascii="Georgia" w:cs="Georgia" w:eastAsia="Georgia" w:hAnsi="Georgia"/>
          <w:color w:val="1A1F24"/>
          <w:sz w:val="21"/>
          <w:szCs w:val="21"/>
        </w:rPr>
        <w:t xml:space="preserve"> The Sponsor has no interest in the placement fee described in section 4.4.</w:t>
      </w:r>
      <w:r>
        <w:rPr>
          <w:rFonts w:ascii="Arial" w:cs="Arial" w:eastAsia="Arial" w:hAnsi="Arial"/>
          <w:b/>
          <w:bCs/>
          <w:color w:val="5B3F8C"/>
          <w:sz w:val="17"/>
          <w:szCs w:val="17"/>
          <w:shd w:fill="EFEAF6" w:color="auto" w:val="clear"/>
        </w:rPr>
        <w:t xml:space="preserve">[[END IF]]</w:t>
      </w:r>
    </w:p>
    <w:p>
      <w:pPr>
        <w:pStyle w:val="Heading1"/>
        <w:keepNext/>
        <w:numPr>
          <w:ilvl w:val="0"/>
          <w:numId w:val="3"/>
        </w:numPr>
        <w:spacing w:after="100" w:before="240"/>
      </w:pPr>
      <w:r>
        <w:rPr>
          <w:rFonts w:ascii="Georgia" w:cs="Georgia" w:eastAsia="Georgia" w:hAnsi="Georgia"/>
          <w:b/>
          <w:bCs/>
          <w:color w:val="1A1F24"/>
          <w:sz w:val="23"/>
          <w:szCs w:val="23"/>
        </w:rPr>
        <w:t xml:space="preserve">Eligible investors</w:t>
      </w:r>
    </w:p>
    <w:p>
      <w:pPr>
        <w:spacing w:after="60" w:before="60"/>
      </w:pPr>
      <w:r>
        <w:rPr>
          <w:rFonts w:ascii="Arial" w:cs="Arial" w:eastAsia="Arial" w:hAnsi="Arial"/>
          <w:b/>
          <w:bCs/>
          <w:color w:val="5B3F8C"/>
          <w:sz w:val="17"/>
          <w:szCs w:val="17"/>
          <w:shd w:fill="EFEAF6" w:color="auto" w:val="clear"/>
        </w:rPr>
        <w:t xml:space="preserve">[[IF umbrella.fund_category = private_investment_fund]]</w:t>
      </w:r>
    </w:p>
    <w:p>
      <w:pPr>
        <w:pStyle w:val="ListParagraph"/>
        <w:numPr>
          <w:ilvl w:val="1"/>
          <w:numId w:val="3"/>
        </w:numPr>
        <w:spacing w:after="120" w:before="0" w:line="300"/>
      </w:pPr>
      <w:r>
        <w:rPr>
          <w:rFonts w:ascii="Georgia" w:cs="Georgia" w:eastAsia="Georgia" w:hAnsi="Georgia"/>
          <w:color w:val="1A1F24"/>
          <w:sz w:val="21"/>
          <w:szCs w:val="21"/>
        </w:rPr>
        <w:t xml:space="preserve">Portfolio Shares may be issued only to investors who meet the basis on which the Company operates as a private investment fund: </w:t>
      </w:r>
      <w:r>
        <w:rPr>
          <w:rFonts w:ascii="Georgia" w:cs="Georgia" w:eastAsia="Georgia" w:hAnsi="Georgia"/>
          <w:color w:val="1A1F24"/>
          <w:sz w:val="21"/>
          <w:szCs w:val="21"/>
          <w:shd w:fill="FFF2CC" w:color="auto" w:val="clear"/>
        </w:rPr>
        <w:t xml:space="preserve">{{umbrella.investor_basis_description}}</w:t>
      </w:r>
      <w:r>
        <w:rPr>
          <w:rFonts w:ascii="Georgia" w:cs="Georgia" w:eastAsia="Georgia" w:hAnsi="Georgia"/>
          <w:color w:val="1A1F24"/>
          <w:sz w:val="21"/>
          <w:szCs w:val="21"/>
        </w:rPr>
        <w:t xml:space="preserve">.</w:t>
      </w:r>
    </w:p>
    <w:p>
      <w:pPr>
        <w:spacing w:after="60" w:before="60"/>
      </w:pPr>
      <w:r>
        <w:rPr>
          <w:rFonts w:ascii="Arial" w:cs="Arial" w:eastAsia="Arial" w:hAnsi="Arial"/>
          <w:b/>
          <w:bCs/>
          <w:color w:val="5B3F8C"/>
          <w:sz w:val="17"/>
          <w:szCs w:val="17"/>
          <w:shd w:fill="EFEAF6" w:color="auto" w:val="clear"/>
        </w:rPr>
        <w:t xml:space="preserve">[[END IF]]</w:t>
      </w:r>
    </w:p>
    <w:p>
      <w:pPr>
        <w:pStyle w:val="ListParagraph"/>
        <w:numPr>
          <w:ilvl w:val="1"/>
          <w:numId w:val="3"/>
        </w:numPr>
        <w:spacing w:after="120" w:before="0" w:line="300"/>
      </w:pPr>
      <w:r>
        <w:rPr>
          <w:rFonts w:ascii="Georgia" w:cs="Georgia" w:eastAsia="Georgia" w:hAnsi="Georgia"/>
          <w:color w:val="1A1F24"/>
          <w:sz w:val="21"/>
          <w:szCs w:val="21"/>
        </w:rPr>
        <w:t xml:space="preserve">Each investor must meet the eligibility requirements in the Offering Memorandum and the subscription agreement, including the requirements of their own jurisdiction.</w:t>
      </w:r>
    </w:p>
    <w:p>
      <w:pPr>
        <w:pBdr>
          <w:top w:val="single" w:color="C9922E" w:sz="8" w:space="6"/>
          <w:left w:val="single" w:color="C9922E" w:sz="8" w:space="6"/>
          <w:bottom w:val="single" w:color="C9922E" w:sz="8" w:space="6"/>
          <w:right w:val="single" w:color="C9922E" w:sz="8" w:space="6"/>
        </w:pBdr>
        <w:shd w:fill="FBF3E3" w:color="auto" w:val="clear"/>
        <w:spacing w:after="160" w:before="120"/>
        <w:ind w:left="113" w:right="113"/>
      </w:pPr>
      <w:r>
        <w:rPr>
          <w:rFonts w:ascii="Arial" w:cs="Arial" w:eastAsia="Arial" w:hAnsi="Arial"/>
          <w:b/>
          <w:bCs/>
          <w:color w:val="7A4E0C"/>
          <w:sz w:val="16"/>
          <w:szCs w:val="16"/>
        </w:rPr>
        <w:t xml:space="preserve">COUNSEL NOTE (removed on assembly)</w:t>
      </w:r>
      <w:r>
        <w:br/>
      </w:r>
      <w:r>
        <w:rPr>
          <w:rFonts w:ascii="Arial" w:cs="Arial" w:eastAsia="Arial" w:hAnsi="Arial"/>
          <w:color w:val="7A4E0C"/>
          <w:sz w:val="19"/>
          <w:szCs w:val="19"/>
        </w:rPr>
        <w:t xml:space="preserve">Which investor basis does the Company rely on: fewer than 50 investors, private invitation only, or professional and exempted investors only (which the sources reviewed tie to a US$100,000 minimum initial investment)? The minimum subscription and section 11 must match.</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05A63"/>
        <w:sz w:val="15"/>
        <w:szCs w:val="15"/>
      </w:rPr>
      <w:t xml:space="preserve">Page </w:t>
    </w:r>
    <w:r>
      <w:rPr>
        <w:rFonts w:ascii="Arial" w:cs="Arial" w:eastAsia="Arial" w:hAnsi="Arial"/>
        <w:color w:val="505A63"/>
        <w:sz w:val="15"/>
        <w:szCs w:val="15"/>
      </w:rPr>
      <w:fldChar w:fldCharType="begin"/>
      <w:instrText xml:space="preserve">PAGE</w:instrText>
      <w:fldChar w:fldCharType="separate"/>
      <w:fldChar w:fldCharType="end"/>
    </w:r>
    <w:r>
      <w:rPr>
        <w:rFonts w:ascii="Arial" w:cs="Arial" w:eastAsia="Arial" w:hAnsi="Arial"/>
        <w:color w:val="505A63"/>
        <w:sz w:val="15"/>
        <w:szCs w:val="15"/>
      </w:rPr>
      <w:t xml:space="preserve"> of </w:t>
    </w:r>
    <w:r>
      <w:rPr>
        <w:rFonts w:ascii="Arial" w:cs="Arial" w:eastAsia="Arial" w:hAnsi="Arial"/>
        <w:color w:val="505A6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05A63"/>
        <w:sz w:val="15"/>
        <w:szCs w:val="15"/>
      </w:rPr>
      <w:t xml:space="preserve">D13-C · first-pass template · draft for counsel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abstractNum w:abstractNumId="3" w15:restartNumberingAfterBreak="0">
    <w:multiLevelType w:val="hybridMultilevel"/>
    <w:lvl w:ilvl="0" w:tentative="1">
      <w:start w:val="1"/>
      <w:numFmt w:val="decimal"/>
      <w:lvlText w:val="%1."/>
      <w:lvlJc w:val="left"/>
      <w:pPr>
        <w:ind w:left="425" w:hanging="340"/>
      </w:pPr>
    </w:lvl>
  </w:abstractNum>
  <w:abstractNum w:abstractNumId="4" w15:restartNumberingAfterBreak="0">
    <w:multiLevelType w:val="hybridMultilevel"/>
    <w:lvl w:ilvl="0" w:tentative="1">
      <w:start w:val="1"/>
      <w:numFmt w:val="decimal"/>
      <w:lvlText w:val="%1"/>
      <w:lvlJc w:val="left"/>
      <w:pPr>
        <w:ind w:left="709" w:hanging="709"/>
      </w:pPr>
      <w:rPr>
        <w:rFonts w:ascii="Georgia" w:cs="Georgia" w:eastAsia="Georgia" w:hAnsi="Georgia"/>
        <w:b/>
        <w:bCs/>
        <w:sz w:val="23"/>
        <w:szCs w:val="23"/>
      </w:rPr>
    </w:lvl>
    <w:lvl w:ilvl="1" w:tentative="1">
      <w:start w:val="1"/>
      <w:numFmt w:val="decimal"/>
      <w:lvlText w:val="%1.%2"/>
      <w:lvlJc w:val="left"/>
      <w:pPr>
        <w:ind w:left="709" w:hanging="709"/>
      </w:pPr>
      <w:rPr>
        <w:rFonts w:ascii="Georgia" w:cs="Georgia" w:eastAsia="Georgia" w:hAnsi="Georgia"/>
        <w:sz w:val="21"/>
        <w:szCs w:val="21"/>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D13-C Portfolio supplement: purchase of existing shares from unrelated sellers</dc:title>
  <dc:creator>Singularity Document Factory</dc:creator>
  <cp:lastModifiedBy>Un-named</cp:lastModifiedBy>
  <cp:revision>1</cp:revision>
  <dcterms:created xsi:type="dcterms:W3CDTF">2026-10-02T01:27:14.362Z</dcterms:created>
  <dcterms:modified xsi:type="dcterms:W3CDTF">2026-10-02T01:27:14.362Z</dcterms:modified>
</cp:coreProperties>
</file>

<file path=docProps/custom.xml><?xml version="1.0" encoding="utf-8"?>
<Properties xmlns="http://schemas.openxmlformats.org/officeDocument/2006/custom-properties" xmlns:vt="http://schemas.openxmlformats.org/officeDocument/2006/docPropsVTypes"/>
</file>