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05A63"/>
          <w:sz w:val="16"/>
          <w:szCs w:val="16"/>
        </w:rPr>
        <w:t xml:space="preserve">SINGULARITY · DOCUMENT FACTORY · FIRST-PASS TEMPLATE</w:t>
      </w:r>
    </w:p>
    <w:p>
      <w:pPr>
        <w:spacing w:after="60" w:before="0"/>
      </w:pPr>
      <w:r>
        <w:rPr>
          <w:rFonts w:ascii="Arial" w:cs="Arial" w:eastAsia="Arial" w:hAnsi="Arial"/>
          <w:b/>
          <w:bCs/>
          <w:color w:val="1A1F24"/>
          <w:sz w:val="32"/>
          <w:szCs w:val="32"/>
        </w:rPr>
        <w:t xml:space="preserve">D12-B — Creation of a segregated portfolio and approval of an acquisition from a sponsor affiliate: directors’ written resolutions</w:t>
      </w:r>
    </w:p>
    <w:p>
      <w:pPr>
        <w:spacing w:after="200" w:before="0"/>
      </w:pPr>
      <w:r>
        <w:rPr>
          <w:rFonts w:ascii="Arial" w:cs="Arial" w:eastAsia="Arial" w:hAnsi="Arial"/>
          <w:b/>
          <w:bCs/>
          <w:color w:val="A63D2F"/>
          <w:sz w:val="19"/>
          <w:szCs w:val="19"/>
        </w:rPr>
        <w:t xml:space="preserve">Draft for review by BVI counsel. Not legal advice and not for use until approved by a named lawyer.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Template ID</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D12-B</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Document class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D12 Creation resolution and share-class designation</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Variant</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B · Written resolutions, asset supplied by the sponsor or an affiliate</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Use when</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The portfolio will buy an asset the sponsor or an affiliate already owns, so the sponsor is on both sides. Records the conflict, the sponsor’s cost, the independent valuation and approval by the directors who are not interested.</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Scope</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Signed by</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All directors, with interested directors identified</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AI-drafted zones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None. Every value is filled from records.</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Conditional sections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Regulated fund or unregulated; whether the offering memorandum requires investor or advisory-committee consent to related-party acquisitions; whether an interested director may count in the quorum or vote.</w:t>
            </w:r>
          </w:p>
        </w:tc>
      </w:tr>
    </w:tbl>
    <w:p>
      <w:pPr>
        <w:spacing w:after="100" w:before="240"/>
      </w:pPr>
      <w:r>
        <w:rPr>
          <w:rFonts w:ascii="Arial" w:cs="Arial" w:eastAsia="Arial" w:hAnsi="Arial"/>
          <w:b/>
          <w:bCs/>
          <w:sz w:val="20"/>
          <w:szCs w:val="20"/>
        </w:rPr>
        <w:t xml:space="preserve">How to read this template</w:t>
      </w:r>
    </w:p>
    <w:p>
      <w:pPr>
        <w:spacing w:after="80" w:before="0"/>
      </w:pPr>
      <w:r>
        <w:rPr>
          <w:rFonts w:ascii="Georgia" w:cs="Georgia" w:eastAsia="Georgia" w:hAnsi="Georgia"/>
          <w:sz w:val="19"/>
          <w:szCs w:val="19"/>
          <w:shd w:fill="FFF2CC" w:color="auto" w:val="clear"/>
        </w:rPr>
        <w:t xml:space="preserve">{{field.name}}</w:t>
      </w:r>
      <w:r>
        <w:rPr>
          <w:rFonts w:ascii="Arial" w:cs="Arial" w:eastAsia="Arial" w:hAnsi="Arial"/>
          <w:color w:val="505A63"/>
          <w:sz w:val="18"/>
          <w:szCs w:val="18"/>
        </w:rPr>
        <w:t xml:space="preserve">  filled by code from the umbrella, portfolio, asset or investor record. Never typed by hand.</w:t>
      </w:r>
    </w:p>
    <w:p>
      <w:pPr>
        <w:spacing w:after="80" w:before="0"/>
      </w:pPr>
      <w:r>
        <w:rPr>
          <w:rFonts w:ascii="Arial" w:cs="Arial" w:eastAsia="Arial" w:hAnsi="Arial"/>
          <w:b/>
          <w:bCs/>
          <w:color w:val="5B3F8C"/>
          <w:sz w:val="17"/>
          <w:szCs w:val="17"/>
          <w:shd w:fill="EFEAF6" w:color="auto" w:val="clear"/>
        </w:rPr>
        <w:t xml:space="preserve">[[IF condition]] … [[END IF]]</w:t>
      </w:r>
      <w:r>
        <w:rPr>
          <w:rFonts w:ascii="Arial" w:cs="Arial" w:eastAsia="Arial" w:hAnsi="Arial"/>
          <w:color w:val="505A63"/>
          <w:sz w:val="18"/>
          <w:szCs w:val="18"/>
        </w:rPr>
        <w:t xml:space="preserve">  included only when the condition is true. [[FOR EACH]] repeats for every item.</w:t>
      </w:r>
    </w:p>
    <w:p>
      <w:pPr>
        <w:spacing w:after="80" w:before="0"/>
      </w:pPr>
      <w:r>
        <w:rPr>
          <w:rFonts w:ascii="Arial" w:cs="Arial" w:eastAsia="Arial" w:hAnsi="Arial"/>
          <w:b/>
          <w:bCs/>
          <w:color w:val="1F4E8C"/>
          <w:sz w:val="18"/>
          <w:szCs w:val="18"/>
        </w:rPr>
        <w:t xml:space="preserve">Blue box</w:t>
      </w:r>
      <w:r>
        <w:rPr>
          <w:rFonts w:ascii="Arial" w:cs="Arial" w:eastAsia="Arial" w:hAnsi="Arial"/>
          <w:color w:val="505A63"/>
          <w:sz w:val="18"/>
          <w:szCs w:val="18"/>
        </w:rPr>
        <w:t xml:space="preserve">  a section the AI may draft from the sponsor’s facts. Everything else is fixed template text.</w:t>
      </w:r>
    </w:p>
    <w:p>
      <w:pPr>
        <w:spacing w:after="80" w:before="0"/>
      </w:pPr>
      <w:r>
        <w:rPr>
          <w:rFonts w:ascii="Arial" w:cs="Arial" w:eastAsia="Arial" w:hAnsi="Arial"/>
          <w:b/>
          <w:bCs/>
          <w:color w:val="1A1F24"/>
          <w:sz w:val="18"/>
          <w:szCs w:val="18"/>
        </w:rPr>
        <w:t xml:space="preserve">Dark box</w:t>
      </w:r>
      <w:r>
        <w:rPr>
          <w:rFonts w:ascii="Arial" w:cs="Arial" w:eastAsia="Arial" w:hAnsi="Arial"/>
          <w:color w:val="505A63"/>
          <w:sz w:val="18"/>
          <w:szCs w:val="18"/>
        </w:rPr>
        <w:t xml:space="preserve">  the contracting-party wording, generated from the registry and locked.</w:t>
      </w:r>
    </w:p>
    <w:p>
      <w:pPr>
        <w:spacing w:after="80" w:before="0"/>
      </w:pPr>
      <w:r>
        <w:rPr>
          <w:rFonts w:ascii="Arial" w:cs="Arial" w:eastAsia="Arial" w:hAnsi="Arial"/>
          <w:b/>
          <w:bCs/>
          <w:color w:val="7A4E0C"/>
          <w:sz w:val="18"/>
          <w:szCs w:val="18"/>
        </w:rPr>
        <w:t xml:space="preserve">Amber box</w:t>
      </w:r>
      <w:r>
        <w:rPr>
          <w:rFonts w:ascii="Arial" w:cs="Arial" w:eastAsia="Arial" w:hAnsi="Arial"/>
          <w:color w:val="505A63"/>
          <w:sz w:val="18"/>
          <w:szCs w:val="18"/>
        </w:rPr>
        <w:t xml:space="preserve">  a note or question for counsel. Removed when the document is assembled.</w:t>
      </w:r>
    </w:p>
    <w:p>
      <w:pPr>
        <w:spacing w:after="100" w:before="240"/>
      </w:pPr>
      <w:r>
        <w:rPr>
          <w:rFonts w:ascii="Arial" w:cs="Arial" w:eastAsia="Arial" w:hAnsi="Arial"/>
          <w:b/>
          <w:bCs/>
          <w:sz w:val="20"/>
          <w:szCs w:val="20"/>
        </w:rPr>
        <w:t xml:space="preserve">Questions for counsel</w:t>
      </w:r>
    </w:p>
    <w:p>
      <w:pPr>
        <w:pStyle w:val="ListParagraph"/>
        <w:numPr>
          <w:ilvl w:val="0"/>
          <w:numId w:val="2"/>
        </w:numPr>
        <w:spacing w:after="80"/>
      </w:pPr>
      <w:r>
        <w:rPr>
          <w:rFonts w:ascii="Arial" w:cs="Arial" w:eastAsia="Arial" w:hAnsi="Arial"/>
          <w:color w:val="1A1F24"/>
          <w:sz w:val="18"/>
          <w:szCs w:val="18"/>
        </w:rPr>
        <w:t xml:space="preserve">Do the articles allow an interested director to sign written resolutions approving a transaction in which they are interested, once the interest is declared? If not, use variant C (minutes of a meeting) with the interested director abstaining.</w:t>
      </w:r>
    </w:p>
    <w:p>
      <w:pPr>
        <w:pStyle w:val="ListParagraph"/>
        <w:numPr>
          <w:ilvl w:val="0"/>
          <w:numId w:val="2"/>
        </w:numPr>
        <w:spacing w:after="80"/>
      </w:pPr>
      <w:r>
        <w:rPr>
          <w:rFonts w:ascii="Arial" w:cs="Arial" w:eastAsia="Arial" w:hAnsi="Arial"/>
          <w:color w:val="1A1F24"/>
          <w:sz w:val="18"/>
          <w:szCs w:val="18"/>
        </w:rPr>
        <w:t xml:space="preserve">Is an independent valuation required for every sponsor-supplied asset, or only above a threshold? Who may act as valuer?</w:t>
      </w:r>
    </w:p>
    <w:p>
      <w:pPr>
        <w:pStyle w:val="ListParagraph"/>
        <w:numPr>
          <w:ilvl w:val="0"/>
          <w:numId w:val="2"/>
        </w:numPr>
        <w:spacing w:after="80"/>
      </w:pPr>
      <w:r>
        <w:rPr>
          <w:rFonts w:ascii="Arial" w:cs="Arial" w:eastAsia="Arial" w:hAnsi="Arial"/>
          <w:color w:val="1A1F24"/>
          <w:sz w:val="18"/>
          <w:szCs w:val="18"/>
        </w:rPr>
        <w:t xml:space="preserve">Does the offering memorandum require consent from investors or an advisory committee for related-party acquisitions?</w:t>
      </w:r>
    </w:p>
    <w:p>
      <w:pPr>
        <w:pStyle w:val="ListParagraph"/>
        <w:numPr>
          <w:ilvl w:val="0"/>
          <w:numId w:val="2"/>
        </w:numPr>
        <w:spacing w:after="80"/>
      </w:pPr>
      <w:r>
        <w:rPr>
          <w:rFonts w:ascii="Arial" w:cs="Arial" w:eastAsia="Arial" w:hAnsi="Arial"/>
          <w:color w:val="1A1F24"/>
          <w:sz w:val="18"/>
          <w:szCs w:val="18"/>
        </w:rPr>
        <w:t xml:space="preserve">Is the Company a regulated fund (for example a private investment fund recognised under SIBA) or unregulated? The source reviewed says a regulated fund needs the FSC’s prior approval to create a new portfolio, while an unregulated SPC notifies the FSC in writing within 14 days (Segregated Portfolio Companies (BVI Business Company) Regulations, reg. 7). Please confirm which applies and the current form.</w:t>
      </w:r>
    </w:p>
    <w:p>
      <w:r>
        <w:br w:type="page"/>
      </w:r>
    </w:p>
    <w:p>
      <w:pPr>
        <w:spacing w:after="80" w:before="0"/>
        <w:jc w:val="center"/>
      </w:pPr>
      <w:r>
        <w:rPr>
          <w:rFonts w:ascii="Georgia" w:cs="Georgia" w:eastAsia="Georgia" w:hAnsi="Georgia"/>
          <w:b/>
          <w:bCs/>
          <w:color w:val="1A1F24"/>
          <w:sz w:val="28"/>
          <w:szCs w:val="28"/>
        </w:rPr>
        <w:t xml:space="preserve">WRITTEN RESOLUTIONS OF THE DIRECTORS</w:t>
      </w:r>
    </w:p>
    <w:p>
      <w:pPr>
        <w:spacing w:after="80" w:before="0"/>
        <w:jc w:val="center"/>
      </w:pPr>
      <w:r>
        <w:rPr>
          <w:rFonts w:ascii="Georgia" w:cs="Georgia" w:eastAsia="Georgia" w:hAnsi="Georgia"/>
          <w:b/>
          <w:bCs/>
          <w:color w:val="1A1F24"/>
          <w:sz w:val="28"/>
          <w:szCs w:val="28"/>
        </w:rPr>
        <w:t xml:space="preserve">OF </w:t>
      </w:r>
      <w:r>
        <w:rPr>
          <w:rFonts w:ascii="Georgia" w:cs="Georgia" w:eastAsia="Georgia" w:hAnsi="Georgia"/>
          <w:b/>
          <w:bCs/>
          <w:color w:val="1A1F24"/>
          <w:sz w:val="28"/>
          <w:szCs w:val="28"/>
          <w:shd w:fill="FFF2CC" w:color="auto" w:val="clear"/>
        </w:rPr>
        <w:t xml:space="preserve">{{umbrella.legal_name}}</w:t>
      </w:r>
    </w:p>
    <w:p>
      <w:pPr>
        <w:spacing w:after="80" w:before="0"/>
        <w:jc w:val="center"/>
      </w:pPr>
      <w:r>
        <w:rPr>
          <w:rFonts w:ascii="Georgia" w:cs="Georgia" w:eastAsia="Georgia" w:hAnsi="Georgia"/>
          <w:color w:val="505A63"/>
          <w:sz w:val="20"/>
          <w:szCs w:val="20"/>
        </w:rPr>
        <w:t xml:space="preserve">(the “Company”), a BVI business company registered as a segregated portfolio company, company number </w:t>
      </w:r>
      <w:r>
        <w:rPr>
          <w:rFonts w:ascii="Georgia" w:cs="Georgia" w:eastAsia="Georgia" w:hAnsi="Georgia"/>
          <w:color w:val="1A1F24"/>
          <w:sz w:val="20"/>
          <w:szCs w:val="20"/>
          <w:shd w:fill="FFF2CC" w:color="auto" w:val="clear"/>
        </w:rPr>
        <w:t xml:space="preserve">{{umbrella.company_number}}</w:t>
      </w:r>
    </w:p>
    <w:p>
      <w:pPr>
        <w:spacing w:after="120" w:before="0"/>
      </w:pPr>
    </w:p>
    <w:p>
      <w:pPr>
        <w:spacing w:after="120" w:before="0" w:line="300"/>
      </w:pPr>
      <w:r>
        <w:rPr>
          <w:rFonts w:ascii="Georgia" w:cs="Georgia" w:eastAsia="Georgia" w:hAnsi="Georgia"/>
          <w:color w:val="1A1F24"/>
          <w:sz w:val="21"/>
          <w:szCs w:val="21"/>
        </w:rPr>
        <w:t xml:space="preserve">Passed in writing on </w:t>
      </w:r>
      <w:r>
        <w:rPr>
          <w:rFonts w:ascii="Georgia" w:cs="Georgia" w:eastAsia="Georgia" w:hAnsi="Georgia"/>
          <w:color w:val="1A1F24"/>
          <w:sz w:val="21"/>
          <w:szCs w:val="21"/>
          <w:shd w:fill="FFF2CC" w:color="auto" w:val="clear"/>
        </w:rPr>
        <w:t xml:space="preserve">{{resolution.date}}</w:t>
      </w:r>
      <w:r>
        <w:rPr>
          <w:rFonts w:ascii="Georgia" w:cs="Georgia" w:eastAsia="Georgia" w:hAnsi="Georgia"/>
          <w:color w:val="1A1F24"/>
          <w:sz w:val="21"/>
          <w:szCs w:val="21"/>
        </w:rPr>
        <w:t xml:space="preserve"> in accordance with the Company’s articles of association and the BVI Business Companies Act (Revised Edition 2020) (the “Act”).</w:t>
      </w:r>
    </w:p>
    <w:p>
      <w:pPr>
        <w:keepNext/>
        <w:spacing w:after="100" w:before="240"/>
      </w:pPr>
      <w:r>
        <w:rPr>
          <w:rFonts w:ascii="Georgia" w:cs="Georgia" w:eastAsia="Georgia" w:hAnsi="Georgia"/>
          <w:b/>
          <w:bCs/>
          <w:color w:val="1A1F24"/>
          <w:sz w:val="23"/>
          <w:szCs w:val="23"/>
        </w:rPr>
        <w:t xml:space="preserve">1 Background</w:t>
      </w:r>
    </w:p>
    <w:p>
      <w:pPr>
        <w:tabs>
          <w:tab w:val="left" w:pos="709"/>
        </w:tabs>
        <w:spacing w:after="120" w:before="0" w:line="300"/>
        <w:ind w:left="709" w:hanging="709"/>
      </w:pPr>
      <w:r>
        <w:rPr>
          <w:rFonts w:ascii="Georgia" w:cs="Georgia" w:eastAsia="Georgia" w:hAnsi="Georgia"/>
          <w:color w:val="1A1F24"/>
          <w:sz w:val="21"/>
          <w:szCs w:val="21"/>
        </w:rPr>
        <w:t xml:space="preserve">1.1</w:t>
      </w:r>
      <w:r>
        <w:rPr>
          <w:rFonts w:ascii="Georgia" w:cs="Georgia" w:eastAsia="Georgia" w:hAnsi="Georgia"/>
          <w:sz w:val="21"/>
          <w:szCs w:val="21"/>
        </w:rPr>
        <w:t xml:space="preserve">	</w:t>
      </w:r>
      <w:r>
        <w:rPr>
          <w:rFonts w:ascii="Georgia" w:cs="Georgia" w:eastAsia="Georgia" w:hAnsi="Georgia"/>
          <w:color w:val="1A1F24"/>
          <w:sz w:val="21"/>
          <w:szCs w:val="21"/>
        </w:rPr>
        <w:t xml:space="preserve">The Company is a segregated portfolio company </w:t>
      </w:r>
      <w:r>
        <w:rPr>
          <w:rFonts w:ascii="Arial" w:cs="Arial" w:eastAsia="Arial" w:hAnsi="Arial"/>
          <w:b/>
          <w:bCs/>
          <w:color w:val="5B3F8C"/>
          <w:sz w:val="17"/>
          <w:szCs w:val="17"/>
          <w:shd w:fill="EFEAF6" w:color="auto" w:val="clear"/>
        </w:rPr>
        <w:t xml:space="preserve">[[IF umbrella.is_regulated_fund]]</w:t>
      </w:r>
      <w:r>
        <w:rPr>
          <w:rFonts w:ascii="Georgia" w:cs="Georgia" w:eastAsia="Georgia" w:hAnsi="Georgia"/>
          <w:color w:val="1A1F24"/>
          <w:sz w:val="21"/>
          <w:szCs w:val="21"/>
        </w:rPr>
        <w:t xml:space="preserve"> and is recognised as a </w:t>
      </w:r>
      <w:r>
        <w:rPr>
          <w:rFonts w:ascii="Georgia" w:cs="Georgia" w:eastAsia="Georgia" w:hAnsi="Georgia"/>
          <w:color w:val="1A1F24"/>
          <w:sz w:val="21"/>
          <w:szCs w:val="21"/>
          <w:shd w:fill="FFF2CC" w:color="auto" w:val="clear"/>
        </w:rPr>
        <w:t xml:space="preserve">{{umbrella.fund_category}}</w:t>
      </w:r>
      <w:r>
        <w:rPr>
          <w:rFonts w:ascii="Georgia" w:cs="Georgia" w:eastAsia="Georgia" w:hAnsi="Georgia"/>
          <w:color w:val="1A1F24"/>
          <w:sz w:val="21"/>
          <w:szCs w:val="21"/>
        </w:rPr>
        <w:t xml:space="preserve"> under the Securities and Investment Business Act (Revised Edition 2020) </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w:t>
      </w:r>
    </w:p>
    <w:p>
      <w:pPr>
        <w:tabs>
          <w:tab w:val="left" w:pos="709"/>
        </w:tabs>
        <w:spacing w:after="120" w:before="0" w:line="300"/>
        <w:ind w:left="709" w:hanging="709"/>
      </w:pPr>
      <w:r>
        <w:rPr>
          <w:rFonts w:ascii="Georgia" w:cs="Georgia" w:eastAsia="Georgia" w:hAnsi="Georgia"/>
          <w:color w:val="1A1F24"/>
          <w:sz w:val="21"/>
          <w:szCs w:val="21"/>
        </w:rPr>
        <w:t xml:space="preserve">1.2</w:t>
      </w:r>
      <w:r>
        <w:rPr>
          <w:rFonts w:ascii="Georgia" w:cs="Georgia" w:eastAsia="Georgia" w:hAnsi="Georgia"/>
          <w:sz w:val="21"/>
          <w:szCs w:val="21"/>
        </w:rPr>
        <w:t xml:space="preserve">	</w:t>
      </w:r>
      <w:r>
        <w:rPr>
          <w:rFonts w:ascii="Georgia" w:cs="Georgia" w:eastAsia="Georgia" w:hAnsi="Georgia"/>
          <w:color w:val="1A1F24"/>
          <w:sz w:val="21"/>
          <w:szCs w:val="21"/>
        </w:rPr>
        <w:t xml:space="preserve">The directors propose to create a new segregated portfolio to acquire </w:t>
      </w:r>
      <w:r>
        <w:rPr>
          <w:rFonts w:ascii="Georgia" w:cs="Georgia" w:eastAsia="Georgia" w:hAnsi="Georgia"/>
          <w:color w:val="1A1F24"/>
          <w:sz w:val="21"/>
          <w:szCs w:val="21"/>
          <w:shd w:fill="FFF2CC" w:color="auto" w:val="clear"/>
        </w:rPr>
        <w:t xml:space="preserve">{{asset.instrument}}</w:t>
      </w:r>
      <w:r>
        <w:rPr>
          <w:rFonts w:ascii="Georgia" w:cs="Georgia" w:eastAsia="Georgia" w:hAnsi="Georgia"/>
          <w:color w:val="1A1F24"/>
          <w:sz w:val="21"/>
          <w:szCs w:val="21"/>
        </w:rPr>
        <w:t xml:space="preserve"> of </w:t>
      </w: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 (the “Project Shares”) from </w:t>
      </w:r>
      <w:r>
        <w:rPr>
          <w:rFonts w:ascii="Georgia" w:cs="Georgia" w:eastAsia="Georgia" w:hAnsi="Georgia"/>
          <w:color w:val="1A1F24"/>
          <w:sz w:val="21"/>
          <w:szCs w:val="21"/>
          <w:shd w:fill="FFF2CC" w:color="auto" w:val="clear"/>
        </w:rPr>
        <w:t xml:space="preserve">{{asset.seller_name}}</w:t>
      </w:r>
      <w:r>
        <w:rPr>
          <w:rFonts w:ascii="Georgia" w:cs="Georgia" w:eastAsia="Georgia" w:hAnsi="Georgia"/>
          <w:color w:val="1A1F24"/>
          <w:sz w:val="21"/>
          <w:szCs w:val="21"/>
        </w:rPr>
        <w:t xml:space="preserve"> (the “Seller”), which is an affiliate of </w:t>
      </w:r>
      <w:r>
        <w:rPr>
          <w:rFonts w:ascii="Georgia" w:cs="Georgia" w:eastAsia="Georgia" w:hAnsi="Georgia"/>
          <w:color w:val="1A1F24"/>
          <w:sz w:val="21"/>
          <w:szCs w:val="21"/>
          <w:shd w:fill="FFF2CC" w:color="auto" w:val="clear"/>
        </w:rPr>
        <w:t xml:space="preserve">{{sponsor.legal_name}}</w:t>
      </w:r>
      <w:r>
        <w:rPr>
          <w:rFonts w:ascii="Georgia" w:cs="Georgia" w:eastAsia="Georgia" w:hAnsi="Georgia"/>
          <w:color w:val="1A1F24"/>
          <w:sz w:val="21"/>
          <w:szCs w:val="21"/>
        </w:rPr>
        <w:t xml:space="preserve"> (the “Sponsor”).</w:t>
      </w:r>
    </w:p>
    <w:p>
      <w:pPr>
        <w:tabs>
          <w:tab w:val="left" w:pos="709"/>
        </w:tabs>
        <w:spacing w:after="120" w:before="0" w:line="300"/>
        <w:ind w:left="709" w:hanging="709"/>
      </w:pPr>
      <w:r>
        <w:rPr>
          <w:rFonts w:ascii="Georgia" w:cs="Georgia" w:eastAsia="Georgia" w:hAnsi="Georgia"/>
          <w:color w:val="1A1F24"/>
          <w:sz w:val="21"/>
          <w:szCs w:val="21"/>
        </w:rPr>
        <w:t xml:space="preserve">1.3</w:t>
      </w:r>
      <w:r>
        <w:rPr>
          <w:rFonts w:ascii="Georgia" w:cs="Georgia" w:eastAsia="Georgia" w:hAnsi="Georgia"/>
          <w:sz w:val="21"/>
          <w:szCs w:val="21"/>
        </w:rPr>
        <w:t xml:space="preserve">	</w:t>
      </w:r>
      <w:r>
        <w:rPr>
          <w:rFonts w:ascii="Georgia" w:cs="Georgia" w:eastAsia="Georgia" w:hAnsi="Georgia"/>
          <w:color w:val="1A1F24"/>
          <w:sz w:val="21"/>
          <w:szCs w:val="21"/>
        </w:rPr>
        <w:t xml:space="preserve">The Seller acquired the Project Shares on </w:t>
      </w:r>
      <w:r>
        <w:rPr>
          <w:rFonts w:ascii="Georgia" w:cs="Georgia" w:eastAsia="Georgia" w:hAnsi="Georgia"/>
          <w:color w:val="1A1F24"/>
          <w:sz w:val="21"/>
          <w:szCs w:val="21"/>
          <w:shd w:fill="FFF2CC" w:color="auto" w:val="clear"/>
        </w:rPr>
        <w:t xml:space="preserve">{{asset.sponsor_acquisition_date}}</w:t>
      </w:r>
      <w:r>
        <w:rPr>
          <w:rFonts w:ascii="Georgia" w:cs="Georgia" w:eastAsia="Georgia" w:hAnsi="Georgia"/>
          <w:color w:val="1A1F24"/>
          <w:sz w:val="21"/>
          <w:szCs w:val="21"/>
        </w:rPr>
        <w:t xml:space="preserve"> at </w:t>
      </w:r>
      <w:r>
        <w:rPr>
          <w:rFonts w:ascii="Georgia" w:cs="Georgia" w:eastAsia="Georgia" w:hAnsi="Georgia"/>
          <w:color w:val="1A1F24"/>
          <w:sz w:val="21"/>
          <w:szCs w:val="21"/>
          <w:shd w:fill="FFF2CC" w:color="auto" w:val="clear"/>
        </w:rPr>
        <w:t xml:space="preserve">{{asset.sponsor_cost_per_share}}</w:t>
      </w:r>
      <w:r>
        <w:rPr>
          <w:rFonts w:ascii="Georgia" w:cs="Georgia" w:eastAsia="Georgia" w:hAnsi="Georgia"/>
          <w:color w:val="1A1F24"/>
          <w:sz w:val="21"/>
          <w:szCs w:val="21"/>
        </w:rPr>
        <w:t xml:space="preserve"> per share. The proposed transfer price is </w:t>
      </w:r>
      <w:r>
        <w:rPr>
          <w:rFonts w:ascii="Georgia" w:cs="Georgia" w:eastAsia="Georgia" w:hAnsi="Georgia"/>
          <w:color w:val="1A1F24"/>
          <w:sz w:val="21"/>
          <w:szCs w:val="21"/>
          <w:shd w:fill="FFF2CC" w:color="auto" w:val="clear"/>
        </w:rPr>
        <w:t xml:space="preserve">{{asset.price_per_share}}</w:t>
      </w:r>
      <w:r>
        <w:rPr>
          <w:rFonts w:ascii="Georgia" w:cs="Georgia" w:eastAsia="Georgia" w:hAnsi="Georgia"/>
          <w:color w:val="1A1F24"/>
          <w:sz w:val="21"/>
          <w:szCs w:val="21"/>
        </w:rPr>
        <w:t xml:space="preserve"> per share (the “Transfer Price”), a markup of </w:t>
      </w:r>
      <w:r>
        <w:rPr>
          <w:rFonts w:ascii="Georgia" w:cs="Georgia" w:eastAsia="Georgia" w:hAnsi="Georgia"/>
          <w:color w:val="1A1F24"/>
          <w:sz w:val="21"/>
          <w:szCs w:val="21"/>
          <w:shd w:fill="FFF2CC" w:color="auto" w:val="clear"/>
        </w:rPr>
        <w:t xml:space="preserve">{{asset.markup_pct}}</w:t>
      </w:r>
      <w:r>
        <w:rPr>
          <w:rFonts w:ascii="Georgia" w:cs="Georgia" w:eastAsia="Georgia" w:hAnsi="Georgia"/>
          <w:color w:val="1A1F24"/>
          <w:sz w:val="21"/>
          <w:szCs w:val="21"/>
        </w:rPr>
        <w:t xml:space="preserve"> on the Seller’s cost.</w:t>
      </w:r>
    </w:p>
    <w:p>
      <w:pPr>
        <w:tabs>
          <w:tab w:val="left" w:pos="709"/>
        </w:tabs>
        <w:spacing w:after="120" w:before="0" w:line="300"/>
        <w:ind w:left="709" w:hanging="709"/>
      </w:pPr>
      <w:r>
        <w:rPr>
          <w:rFonts w:ascii="Georgia" w:cs="Georgia" w:eastAsia="Georgia" w:hAnsi="Georgia"/>
          <w:color w:val="1A1F24"/>
          <w:sz w:val="21"/>
          <w:szCs w:val="21"/>
        </w:rPr>
        <w:t xml:space="preserve">1.4</w:t>
      </w:r>
      <w:r>
        <w:rPr>
          <w:rFonts w:ascii="Georgia" w:cs="Georgia" w:eastAsia="Georgia" w:hAnsi="Georgia"/>
          <w:sz w:val="21"/>
          <w:szCs w:val="21"/>
        </w:rPr>
        <w:t xml:space="preserve">	</w:t>
      </w:r>
      <w:r>
        <w:rPr>
          <w:rFonts w:ascii="Georgia" w:cs="Georgia" w:eastAsia="Georgia" w:hAnsi="Georgia"/>
          <w:color w:val="1A1F24"/>
          <w:sz w:val="21"/>
          <w:szCs w:val="21"/>
          <w:shd w:fill="FFF2CC" w:color="auto" w:val="clear"/>
        </w:rPr>
        <w:t xml:space="preserve">{{asset.valuer_name}}</w:t>
      </w:r>
      <w:r>
        <w:rPr>
          <w:rFonts w:ascii="Georgia" w:cs="Georgia" w:eastAsia="Georgia" w:hAnsi="Georgia"/>
          <w:color w:val="1A1F24"/>
          <w:sz w:val="21"/>
          <w:szCs w:val="21"/>
        </w:rPr>
        <w:t xml:space="preserve"> has provided an independent valuation of the Project Shares dated </w:t>
      </w:r>
      <w:r>
        <w:rPr>
          <w:rFonts w:ascii="Georgia" w:cs="Georgia" w:eastAsia="Georgia" w:hAnsi="Georgia"/>
          <w:color w:val="1A1F24"/>
          <w:sz w:val="21"/>
          <w:szCs w:val="21"/>
          <w:shd w:fill="FFF2CC" w:color="auto" w:val="clear"/>
        </w:rPr>
        <w:t xml:space="preserve">{{asset.valuation_date}}</w:t>
      </w:r>
      <w:r>
        <w:rPr>
          <w:rFonts w:ascii="Georgia" w:cs="Georgia" w:eastAsia="Georgia" w:hAnsi="Georgia"/>
          <w:color w:val="1A1F24"/>
          <w:sz w:val="21"/>
          <w:szCs w:val="21"/>
        </w:rPr>
        <w:t xml:space="preserve"> (the “Valuation”), which was tabled with these resolutions.</w:t>
      </w:r>
    </w:p>
    <w:p>
      <w:pPr>
        <w:keepNext/>
        <w:spacing w:after="100" w:before="240"/>
      </w:pPr>
      <w:r>
        <w:rPr>
          <w:rFonts w:ascii="Georgia" w:cs="Georgia" w:eastAsia="Georgia" w:hAnsi="Georgia"/>
          <w:b/>
          <w:bCs/>
          <w:color w:val="1A1F24"/>
          <w:sz w:val="23"/>
          <w:szCs w:val="23"/>
        </w:rPr>
        <w:t xml:space="preserve">Declarations of interest</w:t>
      </w:r>
    </w:p>
    <w:p>
      <w:pPr>
        <w:spacing w:after="60" w:before="60"/>
      </w:pPr>
      <w:r>
        <w:rPr>
          <w:rFonts w:ascii="Arial" w:cs="Arial" w:eastAsia="Arial" w:hAnsi="Arial"/>
          <w:b/>
          <w:bCs/>
          <w:color w:val="5B3F8C"/>
          <w:sz w:val="17"/>
          <w:szCs w:val="17"/>
          <w:shd w:fill="EFEAF6" w:color="auto" w:val="clear"/>
        </w:rPr>
        <w:t xml:space="preserve">[[FOR EACH director IN umbrella.directors WHERE director.is_interested]]</w:t>
      </w:r>
    </w:p>
    <w:p>
      <w:pPr>
        <w:spacing w:after="120" w:before="0" w:line="300"/>
        <w:ind w:left="709"/>
      </w:pPr>
      <w:r>
        <w:rPr>
          <w:rFonts w:ascii="Georgia" w:cs="Georgia" w:eastAsia="Georgia" w:hAnsi="Georgia"/>
          <w:color w:val="1A1F24"/>
          <w:sz w:val="21"/>
          <w:szCs w:val="21"/>
          <w:shd w:fill="FFF2CC" w:color="auto" w:val="clear"/>
        </w:rPr>
        <w:t xml:space="preserve">{{director.name}}</w:t>
      </w:r>
      <w:r>
        <w:rPr>
          <w:rFonts w:ascii="Georgia" w:cs="Georgia" w:eastAsia="Georgia" w:hAnsi="Georgia"/>
          <w:color w:val="1A1F24"/>
          <w:sz w:val="21"/>
          <w:szCs w:val="21"/>
        </w:rPr>
        <w:t xml:space="preserve"> has declared to the other directors that they are interested in the acquisition as </w:t>
      </w:r>
      <w:r>
        <w:rPr>
          <w:rFonts w:ascii="Georgia" w:cs="Georgia" w:eastAsia="Georgia" w:hAnsi="Georgia"/>
          <w:color w:val="1A1F24"/>
          <w:sz w:val="21"/>
          <w:szCs w:val="21"/>
          <w:shd w:fill="FFF2CC" w:color="auto" w:val="clear"/>
        </w:rPr>
        <w:t xml:space="preserve">{{director.interest_description}}</w:t>
      </w:r>
      <w:r>
        <w:rPr>
          <w:rFonts w:ascii="Georgia" w:cs="Georgia" w:eastAsia="Georgia" w:hAnsi="Georgia"/>
          <w:color w:val="1A1F24"/>
          <w:sz w:val="21"/>
          <w:szCs w:val="21"/>
        </w:rPr>
        <w:t xml:space="preserve">.</w:t>
      </w:r>
    </w:p>
    <w:p>
      <w:pPr>
        <w:spacing w:after="60" w:before="60"/>
      </w:pPr>
      <w:r>
        <w:rPr>
          <w:rFonts w:ascii="Arial" w:cs="Arial" w:eastAsia="Arial" w:hAnsi="Arial"/>
          <w:b/>
          <w:bCs/>
          <w:color w:val="5B3F8C"/>
          <w:sz w:val="17"/>
          <w:szCs w:val="17"/>
          <w:shd w:fill="EFEAF6" w:color="auto" w:val="clear"/>
        </w:rPr>
        <w:t xml:space="preserve">[[END FOR EACH]]</w:t>
      </w:r>
    </w:p>
    <w:p>
      <w:pPr>
        <w:spacing w:after="120" w:before="0" w:line="300"/>
        <w:ind w:left="709"/>
      </w:pPr>
      <w:r>
        <w:rPr>
          <w:rFonts w:ascii="Georgia" w:cs="Georgia" w:eastAsia="Georgia" w:hAnsi="Georgia"/>
          <w:color w:val="1A1F24"/>
          <w:sz w:val="21"/>
          <w:szCs w:val="21"/>
        </w:rPr>
        <w:t xml:space="preserve">The directors who have not declared an interest (the “Independent Directors”) have considered the Valuation, the Transfer Price and the Seller’s cost before passing the resolutions in section 5.</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The markup is calculated by the platform from the recorded cost and Transfer Price, not typed in. Please confirm the declaration wording and whether the Independent Directors alone must pass section 5.</w:t>
      </w:r>
    </w:p>
    <w:p>
      <w:pPr>
        <w:spacing w:after="120" w:before="0" w:line="300"/>
      </w:pPr>
      <w:r>
        <w:rPr>
          <w:rFonts w:ascii="Georgia" w:cs="Georgia" w:eastAsia="Georgia" w:hAnsi="Georgia"/>
          <w:color w:val="1A1F24"/>
          <w:sz w:val="21"/>
          <w:szCs w:val="21"/>
        </w:rPr>
        <w:t xml:space="preserve">IT IS RESOLVED THAT:</w:t>
      </w:r>
    </w:p>
    <w:p>
      <w:pPr>
        <w:keepNext/>
        <w:spacing w:after="100" w:before="240"/>
      </w:pPr>
      <w:r>
        <w:rPr>
          <w:rFonts w:ascii="Georgia" w:cs="Georgia" w:eastAsia="Georgia" w:hAnsi="Georgia"/>
          <w:b/>
          <w:bCs/>
          <w:color w:val="1A1F24"/>
          <w:sz w:val="23"/>
          <w:szCs w:val="23"/>
        </w:rPr>
        <w:t xml:space="preserve">2 Creation of the Portfolio</w:t>
      </w:r>
    </w:p>
    <w:p>
      <w:pPr>
        <w:tabs>
          <w:tab w:val="left" w:pos="709"/>
        </w:tabs>
        <w:spacing w:after="120" w:before="0" w:line="300"/>
        <w:ind w:left="709" w:hanging="709"/>
      </w:pPr>
      <w:r>
        <w:rPr>
          <w:rFonts w:ascii="Georgia" w:cs="Georgia" w:eastAsia="Georgia" w:hAnsi="Georgia"/>
          <w:color w:val="1A1F24"/>
          <w:sz w:val="21"/>
          <w:szCs w:val="21"/>
        </w:rPr>
        <w:t xml:space="preserve">2.1</w:t>
      </w:r>
      <w:r>
        <w:rPr>
          <w:rFonts w:ascii="Georgia" w:cs="Georgia" w:eastAsia="Georgia" w:hAnsi="Georgia"/>
          <w:sz w:val="21"/>
          <w:szCs w:val="21"/>
        </w:rPr>
        <w:t xml:space="preserve">	</w:t>
      </w:r>
      <w:r>
        <w:rPr>
          <w:rFonts w:ascii="Georgia" w:cs="Georgia" w:eastAsia="Georgia" w:hAnsi="Georgia"/>
          <w:color w:val="1A1F24"/>
          <w:sz w:val="21"/>
          <w:szCs w:val="21"/>
        </w:rPr>
        <w:t xml:space="preserve">A segregated portfolio of the Company be created and named </w:t>
      </w:r>
      <w:r>
        <w:rPr>
          <w:rFonts w:ascii="Georgia" w:cs="Georgia" w:eastAsia="Georgia" w:hAnsi="Georgia"/>
          <w:color w:val="1A1F24"/>
          <w:sz w:val="21"/>
          <w:szCs w:val="21"/>
          <w:shd w:fill="FFF2CC" w:color="auto" w:val="clear"/>
        </w:rPr>
        <w:t xml:space="preserve">{{portfolio.legal_name}}</w:t>
      </w:r>
      <w:r>
        <w:rPr>
          <w:rFonts w:ascii="Georgia" w:cs="Georgia" w:eastAsia="Georgia" w:hAnsi="Georgia"/>
          <w:color w:val="1A1F24"/>
          <w:sz w:val="21"/>
          <w:szCs w:val="21"/>
        </w:rPr>
        <w:t xml:space="preserve"> (the “Portfolio”), with effect from </w:t>
      </w:r>
      <w:r>
        <w:rPr>
          <w:rFonts w:ascii="Georgia" w:cs="Georgia" w:eastAsia="Georgia" w:hAnsi="Georgia"/>
          <w:color w:val="1A1F24"/>
          <w:sz w:val="21"/>
          <w:szCs w:val="21"/>
          <w:shd w:fill="FFF2CC" w:color="auto" w:val="clear"/>
        </w:rPr>
        <w:t xml:space="preserve">{{resolution.effective_date}}</w:t>
      </w:r>
      <w:r>
        <w:rPr>
          <w:rFonts w:ascii="Georgia" w:cs="Georgia" w:eastAsia="Georgia" w:hAnsi="Georgia"/>
          <w:color w:val="1A1F24"/>
          <w:sz w:val="21"/>
          <w:szCs w:val="21"/>
        </w:rPr>
        <w:t xml:space="preserve"> </w:t>
      </w:r>
      <w:r>
        <w:rPr>
          <w:rFonts w:ascii="Arial" w:cs="Arial" w:eastAsia="Arial" w:hAnsi="Arial"/>
          <w:b/>
          <w:bCs/>
          <w:color w:val="5B3F8C"/>
          <w:sz w:val="17"/>
          <w:szCs w:val="17"/>
          <w:shd w:fill="EFEAF6" w:color="auto" w:val="clear"/>
        </w:rPr>
        <w:t xml:space="preserve">[[IF umbrella.is_regulated_fund]]</w:t>
      </w:r>
      <w:r>
        <w:rPr>
          <w:rFonts w:ascii="Georgia" w:cs="Georgia" w:eastAsia="Georgia" w:hAnsi="Georgia"/>
          <w:color w:val="1A1F24"/>
          <w:sz w:val="21"/>
          <w:szCs w:val="21"/>
        </w:rPr>
        <w:t xml:space="preserve"> or, if later, the date on which the Financial Services Commission approves the creation of the Portfolio </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w:t>
      </w:r>
    </w:p>
    <w:p>
      <w:pPr>
        <w:tabs>
          <w:tab w:val="left" w:pos="709"/>
        </w:tabs>
        <w:spacing w:after="120" w:before="0" w:line="300"/>
        <w:ind w:left="709" w:hanging="709"/>
      </w:pPr>
      <w:r>
        <w:rPr>
          <w:rFonts w:ascii="Georgia" w:cs="Georgia" w:eastAsia="Georgia" w:hAnsi="Georgia"/>
          <w:color w:val="1A1F24"/>
          <w:sz w:val="21"/>
          <w:szCs w:val="21"/>
        </w:rPr>
        <w:t xml:space="preserve">2.2</w:t>
      </w:r>
      <w:r>
        <w:rPr>
          <w:rFonts w:ascii="Georgia" w:cs="Georgia" w:eastAsia="Georgia" w:hAnsi="Georgia"/>
          <w:sz w:val="21"/>
          <w:szCs w:val="21"/>
        </w:rPr>
        <w:t xml:space="preserve">	</w:t>
      </w:r>
      <w:r>
        <w:rPr>
          <w:rFonts w:ascii="Georgia" w:cs="Georgia" w:eastAsia="Georgia" w:hAnsi="Georgia"/>
          <w:color w:val="1A1F24"/>
          <w:sz w:val="21"/>
          <w:szCs w:val="21"/>
        </w:rPr>
        <w:t xml:space="preserve">The assets and liabilities attributable to the Portfolio be held and recorded separately from the general assets of the Company and from the assets of every other segregated portfolio of the Company, and the directors establish and maintain procedures for that purpose.</w:t>
      </w:r>
    </w:p>
    <w:p>
      <w:pPr>
        <w:tabs>
          <w:tab w:val="left" w:pos="709"/>
        </w:tabs>
        <w:spacing w:after="120" w:before="0" w:line="300"/>
        <w:ind w:left="709" w:hanging="709"/>
      </w:pPr>
      <w:r>
        <w:rPr>
          <w:rFonts w:ascii="Georgia" w:cs="Georgia" w:eastAsia="Georgia" w:hAnsi="Georgia"/>
          <w:color w:val="1A1F24"/>
          <w:sz w:val="21"/>
          <w:szCs w:val="21"/>
        </w:rPr>
        <w:t xml:space="preserve">2.3</w:t>
      </w:r>
      <w:r>
        <w:rPr>
          <w:rFonts w:ascii="Georgia" w:cs="Georgia" w:eastAsia="Georgia" w:hAnsi="Georgia"/>
          <w:sz w:val="21"/>
          <w:szCs w:val="21"/>
        </w:rPr>
        <w:t xml:space="preserve">	</w:t>
      </w:r>
      <w:r>
        <w:rPr>
          <w:rFonts w:ascii="Georgia" w:cs="Georgia" w:eastAsia="Georgia" w:hAnsi="Georgia"/>
          <w:color w:val="1A1F24"/>
          <w:sz w:val="21"/>
          <w:szCs w:val="21"/>
        </w:rPr>
        <w:t xml:space="preserve">A class of shares linked to the Portfolio be designated as </w:t>
      </w:r>
      <w:r>
        <w:rPr>
          <w:rFonts w:ascii="Georgia" w:cs="Georgia" w:eastAsia="Georgia" w:hAnsi="Georgia"/>
          <w:color w:val="1A1F24"/>
          <w:sz w:val="21"/>
          <w:szCs w:val="21"/>
          <w:shd w:fill="FFF2CC" w:color="auto" w:val="clear"/>
        </w:rPr>
        <w:t xml:space="preserve">{{portfolio.share_class_name}}</w:t>
      </w:r>
      <w:r>
        <w:rPr>
          <w:rFonts w:ascii="Georgia" w:cs="Georgia" w:eastAsia="Georgia" w:hAnsi="Georgia"/>
          <w:color w:val="1A1F24"/>
          <w:sz w:val="21"/>
          <w:szCs w:val="21"/>
        </w:rPr>
        <w:t xml:space="preserve">, each with a par value of </w:t>
      </w:r>
      <w:r>
        <w:rPr>
          <w:rFonts w:ascii="Georgia" w:cs="Georgia" w:eastAsia="Georgia" w:hAnsi="Georgia"/>
          <w:color w:val="1A1F24"/>
          <w:sz w:val="21"/>
          <w:szCs w:val="21"/>
          <w:shd w:fill="FFF2CC" w:color="auto" w:val="clear"/>
        </w:rPr>
        <w:t xml:space="preserve">{{portfolio.share_par_value}}</w:t>
      </w:r>
      <w:r>
        <w:rPr>
          <w:rFonts w:ascii="Georgia" w:cs="Georgia" w:eastAsia="Georgia" w:hAnsi="Georgia"/>
          <w:color w:val="1A1F24"/>
          <w:sz w:val="21"/>
          <w:szCs w:val="21"/>
        </w:rPr>
        <w:t xml:space="preserve">, carrying the rights set out in the Company’s articles of association and the Supplement (the “Portfolio Shares”), and every Portfolio Share be recorded in the register of members as linked to the Portfolio.</w:t>
      </w:r>
    </w:p>
    <w:p>
      <w:pPr>
        <w:keepNext/>
        <w:spacing w:after="100" w:before="240"/>
      </w:pPr>
      <w:r>
        <w:rPr>
          <w:rFonts w:ascii="Georgia" w:cs="Georgia" w:eastAsia="Georgia" w:hAnsi="Georgia"/>
          <w:b/>
          <w:bCs/>
          <w:color w:val="1A1F24"/>
          <w:sz w:val="23"/>
          <w:szCs w:val="23"/>
        </w:rPr>
        <w:t xml:space="preserve">3 Regulatory approval or notification</w:t>
      </w:r>
    </w:p>
    <w:p>
      <w:pPr>
        <w:spacing w:after="60" w:before="60"/>
      </w:pPr>
      <w:r>
        <w:rPr>
          <w:rFonts w:ascii="Arial" w:cs="Arial" w:eastAsia="Arial" w:hAnsi="Arial"/>
          <w:b/>
          <w:bCs/>
          <w:color w:val="5B3F8C"/>
          <w:sz w:val="17"/>
          <w:szCs w:val="17"/>
          <w:shd w:fill="EFEAF6" w:color="auto" w:val="clear"/>
        </w:rPr>
        <w:t xml:space="preserve">[[IF umbrella.is_regulated_fund]]</w:t>
      </w:r>
    </w:p>
    <w:p>
      <w:pPr>
        <w:tabs>
          <w:tab w:val="left" w:pos="709"/>
        </w:tabs>
        <w:spacing w:after="120" w:before="0" w:line="300"/>
        <w:ind w:left="709" w:hanging="709"/>
      </w:pPr>
      <w:r>
        <w:rPr>
          <w:rFonts w:ascii="Georgia" w:cs="Georgia" w:eastAsia="Georgia" w:hAnsi="Georgia"/>
          <w:color w:val="1A1F24"/>
          <w:sz w:val="21"/>
          <w:szCs w:val="21"/>
        </w:rPr>
        <w:t xml:space="preserve">3.1</w:t>
      </w:r>
      <w:r>
        <w:rPr>
          <w:rFonts w:ascii="Georgia" w:cs="Georgia" w:eastAsia="Georgia" w:hAnsi="Georgia"/>
          <w:sz w:val="21"/>
          <w:szCs w:val="21"/>
        </w:rPr>
        <w:t xml:space="preserve">	</w:t>
      </w:r>
      <w:r>
        <w:rPr>
          <w:rFonts w:ascii="Georgia" w:cs="Georgia" w:eastAsia="Georgia" w:hAnsi="Georgia"/>
          <w:color w:val="1A1F24"/>
          <w:sz w:val="21"/>
          <w:szCs w:val="21"/>
        </w:rPr>
        <w:t xml:space="preserve">Any director, or the Company’s registered agent, be authorised to apply to the Financial Services Commission for approval of the creation of the Portfolio, and no Portfolio Shares be issued until that approval has been received.</w:t>
      </w:r>
    </w:p>
    <w:p>
      <w:pPr>
        <w:spacing w:after="60" w:before="60"/>
      </w:pPr>
      <w:r>
        <w:rPr>
          <w:rFonts w:ascii="Arial" w:cs="Arial" w:eastAsia="Arial" w:hAnsi="Arial"/>
          <w:b/>
          <w:bCs/>
          <w:color w:val="5B3F8C"/>
          <w:sz w:val="17"/>
          <w:szCs w:val="17"/>
          <w:shd w:fill="EFEAF6" w:color="auto" w:val="clear"/>
        </w:rPr>
        <w:t xml:space="preserve">[[ELSE]]</w:t>
      </w:r>
    </w:p>
    <w:p>
      <w:pPr>
        <w:tabs>
          <w:tab w:val="left" w:pos="709"/>
        </w:tabs>
        <w:spacing w:after="120" w:before="0" w:line="300"/>
        <w:ind w:left="709" w:hanging="709"/>
      </w:pPr>
      <w:r>
        <w:rPr>
          <w:rFonts w:ascii="Georgia" w:cs="Georgia" w:eastAsia="Georgia" w:hAnsi="Georgia"/>
          <w:color w:val="1A1F24"/>
          <w:sz w:val="21"/>
          <w:szCs w:val="21"/>
        </w:rPr>
        <w:t xml:space="preserve">3.1</w:t>
      </w:r>
      <w:r>
        <w:rPr>
          <w:rFonts w:ascii="Georgia" w:cs="Georgia" w:eastAsia="Georgia" w:hAnsi="Georgia"/>
          <w:sz w:val="21"/>
          <w:szCs w:val="21"/>
        </w:rPr>
        <w:t xml:space="preserve">	</w:t>
      </w:r>
      <w:r>
        <w:rPr>
          <w:rFonts w:ascii="Georgia" w:cs="Georgia" w:eastAsia="Georgia" w:hAnsi="Georgia"/>
          <w:color w:val="1A1F24"/>
          <w:sz w:val="21"/>
          <w:szCs w:val="21"/>
        </w:rPr>
        <w:t xml:space="preserve">The Company’s registered agent be instructed to notify the Financial Services Commission in writing of the creation of the Portfolio within 14 days of the date on which it is created.</w:t>
      </w:r>
    </w:p>
    <w:p>
      <w:pPr>
        <w:spacing w:after="60" w:before="60"/>
      </w:pPr>
      <w:r>
        <w:rPr>
          <w:rFonts w:ascii="Arial" w:cs="Arial" w:eastAsia="Arial" w:hAnsi="Arial"/>
          <w:b/>
          <w:bCs/>
          <w:color w:val="5B3F8C"/>
          <w:sz w:val="17"/>
          <w:szCs w:val="17"/>
          <w:shd w:fill="EFEAF6" w:color="auto" w:val="clear"/>
        </w:rPr>
        <w:t xml:space="preserve">[[END IF]]</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Is the Company a regulated fund (for example a private investment fund recognised under SIBA) or unregulated? The source reviewed says a regulated fund needs the FSC’s prior approval to create a new portfolio, while an unregulated SPC notifies the FSC in writing within 14 days (Segregated Portfolio Companies (BVI Business Company) Regulations, reg. 7). Please confirm which applies and the current form.</w:t>
      </w:r>
    </w:p>
    <w:p>
      <w:pPr>
        <w:keepNext/>
        <w:spacing w:after="100" w:before="240"/>
      </w:pPr>
      <w:r>
        <w:rPr>
          <w:rFonts w:ascii="Georgia" w:cs="Georgia" w:eastAsia="Georgia" w:hAnsi="Georgia"/>
          <w:b/>
          <w:bCs/>
          <w:color w:val="1A1F24"/>
          <w:sz w:val="23"/>
          <w:szCs w:val="23"/>
        </w:rPr>
        <w:t xml:space="preserve">4 Offer of Portfolio Shares</w:t>
      </w:r>
    </w:p>
    <w:p>
      <w:pPr>
        <w:tabs>
          <w:tab w:val="left" w:pos="709"/>
        </w:tabs>
        <w:spacing w:after="120" w:before="0" w:line="300"/>
        <w:ind w:left="709" w:hanging="709"/>
      </w:pPr>
      <w:r>
        <w:rPr>
          <w:rFonts w:ascii="Georgia" w:cs="Georgia" w:eastAsia="Georgia" w:hAnsi="Georgia"/>
          <w:color w:val="1A1F24"/>
          <w:sz w:val="21"/>
          <w:szCs w:val="21"/>
        </w:rPr>
        <w:t xml:space="preserve">4.1</w:t>
      </w:r>
      <w:r>
        <w:rPr>
          <w:rFonts w:ascii="Georgia" w:cs="Georgia" w:eastAsia="Georgia" w:hAnsi="Georgia"/>
          <w:sz w:val="21"/>
          <w:szCs w:val="21"/>
        </w:rPr>
        <w:t xml:space="preserve">	</w:t>
      </w:r>
      <w:r>
        <w:rPr>
          <w:rFonts w:ascii="Georgia" w:cs="Georgia" w:eastAsia="Georgia" w:hAnsi="Georgia"/>
          <w:color w:val="1A1F24"/>
          <w:sz w:val="21"/>
          <w:szCs w:val="21"/>
        </w:rPr>
        <w:t xml:space="preserve">The supplement to the Company’s offering memorandum dated </w:t>
      </w:r>
      <w:r>
        <w:rPr>
          <w:rFonts w:ascii="Georgia" w:cs="Georgia" w:eastAsia="Georgia" w:hAnsi="Georgia"/>
          <w:color w:val="1A1F24"/>
          <w:sz w:val="21"/>
          <w:szCs w:val="21"/>
          <w:shd w:fill="FFF2CC" w:color="auto" w:val="clear"/>
        </w:rPr>
        <w:t xml:space="preserve">{{umbrella.om_date}}</w:t>
      </w:r>
      <w:r>
        <w:rPr>
          <w:rFonts w:ascii="Georgia" w:cs="Georgia" w:eastAsia="Georgia" w:hAnsi="Georgia"/>
          <w:color w:val="1A1F24"/>
          <w:sz w:val="21"/>
          <w:szCs w:val="21"/>
        </w:rPr>
        <w:t xml:space="preserve"> relating to the Portfolio, in the form tabled (the “Supplement”), be approved, subject to its clearance by the Company’s legal counsel.</w:t>
      </w:r>
    </w:p>
    <w:p>
      <w:pPr>
        <w:tabs>
          <w:tab w:val="left" w:pos="709"/>
        </w:tabs>
        <w:spacing w:after="120" w:before="0" w:line="300"/>
        <w:ind w:left="709" w:hanging="709"/>
      </w:pPr>
      <w:r>
        <w:rPr>
          <w:rFonts w:ascii="Georgia" w:cs="Georgia" w:eastAsia="Georgia" w:hAnsi="Georgia"/>
          <w:color w:val="1A1F24"/>
          <w:sz w:val="21"/>
          <w:szCs w:val="21"/>
        </w:rPr>
        <w:t xml:space="preserve">4.2</w:t>
      </w:r>
      <w:r>
        <w:rPr>
          <w:rFonts w:ascii="Georgia" w:cs="Georgia" w:eastAsia="Georgia" w:hAnsi="Georgia"/>
          <w:sz w:val="21"/>
          <w:szCs w:val="21"/>
        </w:rPr>
        <w:t xml:space="preserve">	</w:t>
      </w:r>
      <w:r>
        <w:rPr>
          <w:rFonts w:ascii="Georgia" w:cs="Georgia" w:eastAsia="Georgia" w:hAnsi="Georgia"/>
          <w:color w:val="1A1F24"/>
          <w:sz w:val="21"/>
          <w:szCs w:val="21"/>
        </w:rPr>
        <w:t xml:space="preserve">Portfolio Shares be offered at </w:t>
      </w:r>
      <w:r>
        <w:rPr>
          <w:rFonts w:ascii="Georgia" w:cs="Georgia" w:eastAsia="Georgia" w:hAnsi="Georgia"/>
          <w:color w:val="1A1F24"/>
          <w:sz w:val="21"/>
          <w:szCs w:val="21"/>
          <w:shd w:fill="FFF2CC" w:color="auto" w:val="clear"/>
        </w:rPr>
        <w:t xml:space="preserve">{{portfolio.subscription_price}}</w:t>
      </w:r>
      <w:r>
        <w:rPr>
          <w:rFonts w:ascii="Georgia" w:cs="Georgia" w:eastAsia="Georgia" w:hAnsi="Georgia"/>
          <w:color w:val="1A1F24"/>
          <w:sz w:val="21"/>
          <w:szCs w:val="21"/>
        </w:rPr>
        <w:t xml:space="preserve"> per share, with a minimum subscription of </w:t>
      </w:r>
      <w:r>
        <w:rPr>
          <w:rFonts w:ascii="Georgia" w:cs="Georgia" w:eastAsia="Georgia" w:hAnsi="Georgia"/>
          <w:color w:val="1A1F24"/>
          <w:sz w:val="21"/>
          <w:szCs w:val="21"/>
          <w:shd w:fill="FFF2CC" w:color="auto" w:val="clear"/>
        </w:rPr>
        <w:t xml:space="preserve">{{portfolio.min_subscription}}</w:t>
      </w:r>
      <w:r>
        <w:rPr>
          <w:rFonts w:ascii="Georgia" w:cs="Georgia" w:eastAsia="Georgia" w:hAnsi="Georgia"/>
          <w:color w:val="1A1F24"/>
          <w:sz w:val="21"/>
          <w:szCs w:val="21"/>
        </w:rPr>
        <w:t xml:space="preserve"> per investor and a maximum aggregate offer of </w:t>
      </w:r>
      <w:r>
        <w:rPr>
          <w:rFonts w:ascii="Georgia" w:cs="Georgia" w:eastAsia="Georgia" w:hAnsi="Georgia"/>
          <w:color w:val="1A1F24"/>
          <w:sz w:val="21"/>
          <w:szCs w:val="21"/>
          <w:shd w:fill="FFF2CC" w:color="auto" w:val="clear"/>
        </w:rPr>
        <w:t xml:space="preserve">{{portfolio.max_offer}}</w:t>
      </w:r>
      <w:r>
        <w:rPr>
          <w:rFonts w:ascii="Georgia" w:cs="Georgia" w:eastAsia="Georgia" w:hAnsi="Georgia"/>
          <w:color w:val="1A1F24"/>
          <w:sz w:val="21"/>
          <w:szCs w:val="21"/>
        </w:rPr>
        <w:t xml:space="preserve">.</w:t>
      </w:r>
    </w:p>
    <w:p>
      <w:pPr>
        <w:tabs>
          <w:tab w:val="left" w:pos="709"/>
        </w:tabs>
        <w:spacing w:after="120" w:before="0" w:line="300"/>
        <w:ind w:left="709" w:hanging="709"/>
      </w:pPr>
      <w:r>
        <w:rPr>
          <w:rFonts w:ascii="Georgia" w:cs="Georgia" w:eastAsia="Georgia" w:hAnsi="Georgia"/>
          <w:color w:val="1A1F24"/>
          <w:sz w:val="21"/>
          <w:szCs w:val="21"/>
        </w:rPr>
        <w:t xml:space="preserve">4.3</w:t>
      </w:r>
      <w:r>
        <w:rPr>
          <w:rFonts w:ascii="Georgia" w:cs="Georgia" w:eastAsia="Georgia" w:hAnsi="Georgia"/>
          <w:sz w:val="21"/>
          <w:szCs w:val="21"/>
        </w:rPr>
        <w:t xml:space="preserve">	</w:t>
      </w:r>
      <w:r>
        <w:rPr>
          <w:rFonts w:ascii="Georgia" w:cs="Georgia" w:eastAsia="Georgia" w:hAnsi="Georgia"/>
          <w:color w:val="1A1F24"/>
          <w:sz w:val="21"/>
          <w:szCs w:val="21"/>
        </w:rPr>
        <w:t xml:space="preserve">The offer open on </w:t>
      </w:r>
      <w:r>
        <w:rPr>
          <w:rFonts w:ascii="Georgia" w:cs="Georgia" w:eastAsia="Georgia" w:hAnsi="Georgia"/>
          <w:color w:val="1A1F24"/>
          <w:sz w:val="21"/>
          <w:szCs w:val="21"/>
          <w:shd w:fill="FFF2CC" w:color="auto" w:val="clear"/>
        </w:rPr>
        <w:t xml:space="preserve">{{portfolio.offer_open_date}}</w:t>
      </w:r>
      <w:r>
        <w:rPr>
          <w:rFonts w:ascii="Georgia" w:cs="Georgia" w:eastAsia="Georgia" w:hAnsi="Georgia"/>
          <w:color w:val="1A1F24"/>
          <w:sz w:val="21"/>
          <w:szCs w:val="21"/>
        </w:rPr>
        <w:t xml:space="preserve"> and close on </w:t>
      </w:r>
      <w:r>
        <w:rPr>
          <w:rFonts w:ascii="Georgia" w:cs="Georgia" w:eastAsia="Georgia" w:hAnsi="Georgia"/>
          <w:color w:val="1A1F24"/>
          <w:sz w:val="21"/>
          <w:szCs w:val="21"/>
          <w:shd w:fill="FFF2CC" w:color="auto" w:val="clear"/>
        </w:rPr>
        <w:t xml:space="preserve">{{portfolio.offer_close_date}}</w:t>
      </w:r>
      <w:r>
        <w:rPr>
          <w:rFonts w:ascii="Georgia" w:cs="Georgia" w:eastAsia="Georgia" w:hAnsi="Georgia"/>
          <w:color w:val="1A1F24"/>
          <w:sz w:val="21"/>
          <w:szCs w:val="21"/>
        </w:rPr>
        <w:t xml:space="preserve">, unless the directors resolve to extend or close it early.</w:t>
      </w:r>
    </w:p>
    <w:p>
      <w:pPr>
        <w:tabs>
          <w:tab w:val="left" w:pos="709"/>
        </w:tabs>
        <w:spacing w:after="120" w:before="0" w:line="300"/>
        <w:ind w:left="709" w:hanging="709"/>
      </w:pPr>
      <w:r>
        <w:rPr>
          <w:rFonts w:ascii="Georgia" w:cs="Georgia" w:eastAsia="Georgia" w:hAnsi="Georgia"/>
          <w:color w:val="1A1F24"/>
          <w:sz w:val="21"/>
          <w:szCs w:val="21"/>
        </w:rPr>
        <w:t xml:space="preserve">4.4</w:t>
      </w:r>
      <w:r>
        <w:rPr>
          <w:rFonts w:ascii="Georgia" w:cs="Georgia" w:eastAsia="Georgia" w:hAnsi="Georgia"/>
          <w:sz w:val="21"/>
          <w:szCs w:val="21"/>
        </w:rPr>
        <w:t xml:space="preserve">	</w:t>
      </w:r>
      <w:r>
        <w:rPr>
          <w:rFonts w:ascii="Georgia" w:cs="Georgia" w:eastAsia="Georgia" w:hAnsi="Georgia"/>
          <w:color w:val="1A1F24"/>
          <w:sz w:val="21"/>
          <w:szCs w:val="21"/>
        </w:rPr>
        <w:t xml:space="preserve">If subscriptions received exceed the maximum aggregate offer, allocations be made </w:t>
      </w:r>
      <w:r>
        <w:rPr>
          <w:rFonts w:ascii="Georgia" w:cs="Georgia" w:eastAsia="Georgia" w:hAnsi="Georgia"/>
          <w:color w:val="1A1F24"/>
          <w:sz w:val="21"/>
          <w:szCs w:val="21"/>
          <w:shd w:fill="FFF2CC" w:color="auto" w:val="clear"/>
        </w:rPr>
        <w:t xml:space="preserve">{{portfolio.allocation_method_description}}</w:t>
      </w:r>
      <w:r>
        <w:rPr>
          <w:rFonts w:ascii="Georgia" w:cs="Georgia" w:eastAsia="Georgia" w:hAnsi="Georgia"/>
          <w:color w:val="1A1F24"/>
          <w:sz w:val="21"/>
          <w:szCs w:val="21"/>
        </w:rPr>
        <w:t xml:space="preserve">, and the allocation for each investor be recorded in the Company’s records.</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The minimum subscription must be consistent with the investor category the Company relies on. For a private investment fund issuing only to professional investors, the sources reviewed give a minimum initial investment of US$100,000. Please confirm the category and minimum.</w:t>
      </w:r>
    </w:p>
    <w:p>
      <w:pPr>
        <w:keepNext/>
        <w:spacing w:after="100" w:before="240"/>
      </w:pPr>
      <w:r>
        <w:rPr>
          <w:rFonts w:ascii="Georgia" w:cs="Georgia" w:eastAsia="Georgia" w:hAnsi="Georgia"/>
          <w:b/>
          <w:bCs/>
          <w:color w:val="1A1F24"/>
          <w:sz w:val="23"/>
          <w:szCs w:val="23"/>
        </w:rPr>
        <w:t xml:space="preserve">5 Acquisition from the Seller (Independent Directors)</w:t>
      </w:r>
    </w:p>
    <w:p>
      <w:pPr>
        <w:tabs>
          <w:tab w:val="left" w:pos="709"/>
        </w:tabs>
        <w:spacing w:after="120" w:before="0" w:line="300"/>
        <w:ind w:left="709" w:hanging="709"/>
      </w:pPr>
      <w:r>
        <w:rPr>
          <w:rFonts w:ascii="Georgia" w:cs="Georgia" w:eastAsia="Georgia" w:hAnsi="Georgia"/>
          <w:color w:val="1A1F24"/>
          <w:sz w:val="21"/>
          <w:szCs w:val="21"/>
        </w:rPr>
        <w:t xml:space="preserve">5.1</w:t>
      </w:r>
      <w:r>
        <w:rPr>
          <w:rFonts w:ascii="Georgia" w:cs="Georgia" w:eastAsia="Georgia" w:hAnsi="Georgia"/>
          <w:sz w:val="21"/>
          <w:szCs w:val="21"/>
        </w:rPr>
        <w:t xml:space="preserve">	</w:t>
      </w:r>
      <w:r>
        <w:rPr>
          <w:rFonts w:ascii="Georgia" w:cs="Georgia" w:eastAsia="Georgia" w:hAnsi="Georgia"/>
          <w:color w:val="1A1F24"/>
          <w:sz w:val="21"/>
          <w:szCs w:val="21"/>
        </w:rPr>
        <w:t xml:space="preserve">Having considered the Valuation, the Transfer Price and the Seller’s cost, the Independent Directors approve the acquisition by the Company, for and on behalf of the Portfolio, of up to </w:t>
      </w:r>
      <w:r>
        <w:rPr>
          <w:rFonts w:ascii="Georgia" w:cs="Georgia" w:eastAsia="Georgia" w:hAnsi="Georgia"/>
          <w:color w:val="1A1F24"/>
          <w:sz w:val="21"/>
          <w:szCs w:val="21"/>
          <w:shd w:fill="FFF2CC" w:color="auto" w:val="clear"/>
        </w:rPr>
        <w:t xml:space="preserve">{{asset.max_quantity}}</w:t>
      </w:r>
      <w:r>
        <w:rPr>
          <w:rFonts w:ascii="Georgia" w:cs="Georgia" w:eastAsia="Georgia" w:hAnsi="Georgia"/>
          <w:color w:val="1A1F24"/>
          <w:sz w:val="21"/>
          <w:szCs w:val="21"/>
        </w:rPr>
        <w:t xml:space="preserve"> Project Shares from the Seller at the Transfer Price, for a total consideration not exceeding </w:t>
      </w:r>
      <w:r>
        <w:rPr>
          <w:rFonts w:ascii="Georgia" w:cs="Georgia" w:eastAsia="Georgia" w:hAnsi="Georgia"/>
          <w:color w:val="1A1F24"/>
          <w:sz w:val="21"/>
          <w:szCs w:val="21"/>
          <w:shd w:fill="FFF2CC" w:color="auto" w:val="clear"/>
        </w:rPr>
        <w:t xml:space="preserve">{{asset.total_consideration}}</w:t>
      </w:r>
      <w:r>
        <w:rPr>
          <w:rFonts w:ascii="Georgia" w:cs="Georgia" w:eastAsia="Georgia" w:hAnsi="Georgia"/>
          <w:color w:val="1A1F24"/>
          <w:sz w:val="21"/>
          <w:szCs w:val="21"/>
        </w:rPr>
        <w:t xml:space="preserve">.</w:t>
      </w:r>
    </w:p>
    <w:p>
      <w:pPr>
        <w:tabs>
          <w:tab w:val="left" w:pos="709"/>
        </w:tabs>
        <w:spacing w:after="120" w:before="0" w:line="300"/>
        <w:ind w:left="709" w:hanging="709"/>
      </w:pPr>
      <w:r>
        <w:rPr>
          <w:rFonts w:ascii="Georgia" w:cs="Georgia" w:eastAsia="Georgia" w:hAnsi="Georgia"/>
          <w:color w:val="1A1F24"/>
          <w:sz w:val="21"/>
          <w:szCs w:val="21"/>
        </w:rPr>
        <w:t xml:space="preserve">5.2</w:t>
      </w:r>
      <w:r>
        <w:rPr>
          <w:rFonts w:ascii="Georgia" w:cs="Georgia" w:eastAsia="Georgia" w:hAnsi="Georgia"/>
          <w:sz w:val="21"/>
          <w:szCs w:val="21"/>
        </w:rPr>
        <w:t xml:space="preserve">	</w:t>
      </w:r>
      <w:r>
        <w:rPr>
          <w:rFonts w:ascii="Georgia" w:cs="Georgia" w:eastAsia="Georgia" w:hAnsi="Georgia"/>
          <w:color w:val="1A1F24"/>
          <w:sz w:val="21"/>
          <w:szCs w:val="21"/>
        </w:rPr>
        <w:t xml:space="preserve">Completion be conditional on (a) the offer of Portfolio Shares closing with cleared subscription monies of at least </w:t>
      </w:r>
      <w:r>
        <w:rPr>
          <w:rFonts w:ascii="Georgia" w:cs="Georgia" w:eastAsia="Georgia" w:hAnsi="Georgia"/>
          <w:color w:val="1A1F24"/>
          <w:sz w:val="21"/>
          <w:szCs w:val="21"/>
          <w:shd w:fill="FFF2CC" w:color="auto" w:val="clear"/>
        </w:rPr>
        <w:t xml:space="preserve">{{portfolio.minimum_close_amount}}</w:t>
      </w:r>
      <w:r>
        <w:rPr>
          <w:rFonts w:ascii="Georgia" w:cs="Georgia" w:eastAsia="Georgia" w:hAnsi="Georgia"/>
          <w:color w:val="1A1F24"/>
          <w:sz w:val="21"/>
          <w:szCs w:val="21"/>
        </w:rPr>
        <w:t xml:space="preserve">, and (b) any consent, waiver or right of first refusal required by </w:t>
      </w: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 having been obtained or having lapsed.</w:t>
      </w:r>
    </w:p>
    <w:p>
      <w:pPr>
        <w:tabs>
          <w:tab w:val="left" w:pos="709"/>
        </w:tabs>
        <w:spacing w:after="120" w:before="0" w:line="300"/>
        <w:ind w:left="709" w:hanging="709"/>
      </w:pPr>
      <w:r>
        <w:rPr>
          <w:rFonts w:ascii="Georgia" w:cs="Georgia" w:eastAsia="Georgia" w:hAnsi="Georgia"/>
          <w:color w:val="1A1F24"/>
          <w:sz w:val="21"/>
          <w:szCs w:val="21"/>
        </w:rPr>
        <w:t xml:space="preserve">5.3</w:t>
      </w:r>
      <w:r>
        <w:rPr>
          <w:rFonts w:ascii="Georgia" w:cs="Georgia" w:eastAsia="Georgia" w:hAnsi="Georgia"/>
          <w:sz w:val="21"/>
          <w:szCs w:val="21"/>
        </w:rPr>
        <w:t xml:space="preserve">	</w:t>
      </w:r>
      <w:r>
        <w:rPr>
          <w:rFonts w:ascii="Georgia" w:cs="Georgia" w:eastAsia="Georgia" w:hAnsi="Georgia"/>
          <w:color w:val="1A1F24"/>
          <w:sz w:val="21"/>
          <w:szCs w:val="21"/>
        </w:rPr>
        <w:t xml:space="preserve">The conflict disclosure statement in the form tabled (the “Conflict Disclosure”), which sets out the Seller’s cost, the Transfer Price, the markup and the Valuation, be approved subject to its clearance by the Company’s legal counsel, and be given to every prospective investor before they subscribe.</w:t>
      </w:r>
    </w:p>
    <w:p>
      <w:pPr>
        <w:tabs>
          <w:tab w:val="left" w:pos="709"/>
        </w:tabs>
        <w:spacing w:after="120" w:before="0" w:line="300"/>
        <w:ind w:left="709" w:hanging="709"/>
      </w:pPr>
      <w:r>
        <w:rPr>
          <w:rFonts w:ascii="Georgia" w:cs="Georgia" w:eastAsia="Georgia" w:hAnsi="Georgia"/>
          <w:color w:val="1A1F24"/>
          <w:sz w:val="21"/>
          <w:szCs w:val="21"/>
        </w:rPr>
        <w:t xml:space="preserve">5.4</w:t>
      </w:r>
      <w:r>
        <w:rPr>
          <w:rFonts w:ascii="Georgia" w:cs="Georgia" w:eastAsia="Georgia" w:hAnsi="Georgia"/>
          <w:sz w:val="21"/>
          <w:szCs w:val="21"/>
        </w:rPr>
        <w:t xml:space="preserve">	</w:t>
      </w:r>
      <w:r>
        <w:rPr>
          <w:rFonts w:ascii="Georgia" w:cs="Georgia" w:eastAsia="Georgia" w:hAnsi="Georgia"/>
          <w:color w:val="1A1F24"/>
          <w:sz w:val="21"/>
          <w:szCs w:val="21"/>
        </w:rPr>
        <w:t xml:space="preserve">Every subscription agreement for Portfolio Shares include the investor’s written acknowledgement that they have received and read the Conflict Disclosure.</w:t>
      </w:r>
    </w:p>
    <w:p>
      <w:pPr>
        <w:spacing w:after="60" w:before="60"/>
      </w:pPr>
      <w:r>
        <w:rPr>
          <w:rFonts w:ascii="Arial" w:cs="Arial" w:eastAsia="Arial" w:hAnsi="Arial"/>
          <w:b/>
          <w:bCs/>
          <w:color w:val="5B3F8C"/>
          <w:sz w:val="17"/>
          <w:szCs w:val="17"/>
          <w:shd w:fill="EFEAF6" w:color="auto" w:val="clear"/>
        </w:rPr>
        <w:t xml:space="preserve">[[IF umbrella.om_requires_related_party_consent]]</w:t>
      </w:r>
    </w:p>
    <w:p>
      <w:pPr>
        <w:tabs>
          <w:tab w:val="left" w:pos="709"/>
        </w:tabs>
        <w:spacing w:after="120" w:before="0" w:line="300"/>
        <w:ind w:left="709" w:hanging="709"/>
      </w:pPr>
      <w:r>
        <w:rPr>
          <w:rFonts w:ascii="Georgia" w:cs="Georgia" w:eastAsia="Georgia" w:hAnsi="Georgia"/>
          <w:color w:val="1A1F24"/>
          <w:sz w:val="21"/>
          <w:szCs w:val="21"/>
        </w:rPr>
        <w:t xml:space="preserve">5.5</w:t>
      </w:r>
      <w:r>
        <w:rPr>
          <w:rFonts w:ascii="Georgia" w:cs="Georgia" w:eastAsia="Georgia" w:hAnsi="Georgia"/>
          <w:sz w:val="21"/>
          <w:szCs w:val="21"/>
        </w:rPr>
        <w:t xml:space="preserve">	</w:t>
      </w:r>
      <w:r>
        <w:rPr>
          <w:rFonts w:ascii="Georgia" w:cs="Georgia" w:eastAsia="Georgia" w:hAnsi="Georgia"/>
          <w:color w:val="1A1F24"/>
          <w:sz w:val="21"/>
          <w:szCs w:val="21"/>
        </w:rPr>
        <w:t xml:space="preserve">Completion also be conditional on the consent required by </w:t>
      </w:r>
      <w:r>
        <w:rPr>
          <w:rFonts w:ascii="Georgia" w:cs="Georgia" w:eastAsia="Georgia" w:hAnsi="Georgia"/>
          <w:color w:val="1A1F24"/>
          <w:sz w:val="21"/>
          <w:szCs w:val="21"/>
          <w:shd w:fill="FFF2CC" w:color="auto" w:val="clear"/>
        </w:rPr>
        <w:t xml:space="preserve">{{umbrella.related_party_consent_clause}}</w:t>
      </w:r>
      <w:r>
        <w:rPr>
          <w:rFonts w:ascii="Georgia" w:cs="Georgia" w:eastAsia="Georgia" w:hAnsi="Georgia"/>
          <w:color w:val="1A1F24"/>
          <w:sz w:val="21"/>
          <w:szCs w:val="21"/>
        </w:rPr>
        <w:t xml:space="preserve"> of the offering memorandum having been obtained.</w:t>
      </w:r>
    </w:p>
    <w:p>
      <w:pPr>
        <w:spacing w:after="60" w:before="60"/>
      </w:pPr>
      <w:r>
        <w:rPr>
          <w:rFonts w:ascii="Arial" w:cs="Arial" w:eastAsia="Arial" w:hAnsi="Arial"/>
          <w:b/>
          <w:bCs/>
          <w:color w:val="5B3F8C"/>
          <w:sz w:val="17"/>
          <w:szCs w:val="17"/>
          <w:shd w:fill="EFEAF6" w:color="auto" w:val="clear"/>
        </w:rPr>
        <w:t xml:space="preserve">[[END IF]]</w:t>
      </w:r>
    </w:p>
    <w:p>
      <w:pPr>
        <w:keepNext/>
        <w:spacing w:after="100" w:before="240"/>
      </w:pPr>
      <w:r>
        <w:rPr>
          <w:rFonts w:ascii="Georgia" w:cs="Georgia" w:eastAsia="Georgia" w:hAnsi="Georgia"/>
          <w:b/>
          <w:bCs/>
          <w:color w:val="1A1F24"/>
          <w:sz w:val="23"/>
          <w:szCs w:val="23"/>
        </w:rPr>
        <w:t xml:space="preserve">6 Contracting for the Portfolio</w:t>
      </w:r>
    </w:p>
    <w:p>
      <w:pPr>
        <w:tabs>
          <w:tab w:val="left" w:pos="709"/>
        </w:tabs>
        <w:spacing w:after="120" w:before="0" w:line="300"/>
        <w:ind w:left="709" w:hanging="709"/>
      </w:pPr>
      <w:r>
        <w:rPr>
          <w:rFonts w:ascii="Georgia" w:cs="Georgia" w:eastAsia="Georgia" w:hAnsi="Georgia"/>
          <w:color w:val="1A1F24"/>
          <w:sz w:val="21"/>
          <w:szCs w:val="21"/>
        </w:rPr>
        <w:t xml:space="preserve">6.1</w:t>
      </w:r>
      <w:r>
        <w:rPr>
          <w:rFonts w:ascii="Georgia" w:cs="Georgia" w:eastAsia="Georgia" w:hAnsi="Georgia"/>
          <w:sz w:val="21"/>
          <w:szCs w:val="21"/>
        </w:rPr>
        <w:t xml:space="preserve">	</w:t>
      </w:r>
      <w:r>
        <w:rPr>
          <w:rFonts w:ascii="Georgia" w:cs="Georgia" w:eastAsia="Georgia" w:hAnsi="Georgia"/>
          <w:color w:val="1A1F24"/>
          <w:sz w:val="21"/>
          <w:szCs w:val="21"/>
        </w:rPr>
        <w:t xml:space="preserve">Every agreement, instrument and notice entered into or given in connection with the Portfolio state on its face that it is executed by the Company for and on behalf of the Portfolio, using the following wording:</w:t>
      </w:r>
    </w:p>
    <w:p>
      <w:pPr>
        <w:pBdr>
          <w:top w:val="single" w:color="1A1F24" w:sz="12" w:space="6"/>
          <w:left w:val="single" w:color="1A1F24" w:sz="12" w:space="6"/>
          <w:bottom w:val="single" w:color="1A1F24" w:sz="12" w:space="6"/>
          <w:right w:val="single" w:color="1A1F24" w:sz="12" w:space="6"/>
        </w:pBdr>
        <w:shd w:fill="EEF0EC" w:color="auto" w:val="clear"/>
        <w:spacing w:after="160" w:before="120"/>
        <w:ind w:left="113" w:right="113"/>
      </w:pPr>
      <w:r>
        <w:rPr>
          <w:rFonts w:ascii="Arial" w:cs="Arial" w:eastAsia="Arial" w:hAnsi="Arial"/>
          <w:b/>
          <w:bCs/>
          <w:color w:val="505A63"/>
          <w:sz w:val="16"/>
          <w:szCs w:val="16"/>
        </w:rPr>
        <w:t xml:space="preserve">LOCKED · CONTRACTING PARTY · generated from the registry, cannot be edited</w:t>
      </w:r>
      <w:r>
        <w:br/>
      </w:r>
      <w:r>
        <w:rPr>
          <w:rFonts w:ascii="Georgia" w:cs="Georgia" w:eastAsia="Georgia" w:hAnsi="Georgia"/>
          <w:b/>
          <w:bCs/>
          <w:color w:val="1A1F24"/>
          <w:sz w:val="21"/>
          <w:szCs w:val="21"/>
          <w:shd w:fill="FFF2CC" w:color="auto" w:val="clear"/>
        </w:rPr>
        <w:t xml:space="preserve">{{umbrella.legal_name}}</w:t>
      </w:r>
      <w:r>
        <w:rPr>
          <w:rFonts w:ascii="Georgia" w:cs="Georgia" w:eastAsia="Georgia" w:hAnsi="Georgia"/>
          <w:b/>
          <w:bCs/>
          <w:color w:val="1A1F24"/>
          <w:sz w:val="21"/>
          <w:szCs w:val="21"/>
        </w:rPr>
        <w:t xml:space="preserve"> for and on behalf of </w:t>
      </w:r>
      <w:r>
        <w:rPr>
          <w:rFonts w:ascii="Georgia" w:cs="Georgia" w:eastAsia="Georgia" w:hAnsi="Georgia"/>
          <w:b/>
          <w:bCs/>
          <w:color w:val="1A1F24"/>
          <w:sz w:val="21"/>
          <w:szCs w:val="21"/>
          <w:shd w:fill="FFF2CC" w:color="auto" w:val="clear"/>
        </w:rPr>
        <w:t xml:space="preserve">{{portfolio.legal_name}}</w:t>
      </w:r>
    </w:p>
    <w:p>
      <w:pPr>
        <w:keepNext/>
        <w:spacing w:after="100" w:before="240"/>
      </w:pPr>
      <w:r>
        <w:rPr>
          <w:rFonts w:ascii="Georgia" w:cs="Georgia" w:eastAsia="Georgia" w:hAnsi="Georgia"/>
          <w:b/>
          <w:bCs/>
          <w:color w:val="1A1F24"/>
          <w:sz w:val="23"/>
          <w:szCs w:val="23"/>
        </w:rPr>
        <w:t xml:space="preserve">7 Authority</w:t>
      </w:r>
    </w:p>
    <w:p>
      <w:pPr>
        <w:tabs>
          <w:tab w:val="left" w:pos="709"/>
        </w:tabs>
        <w:spacing w:after="120" w:before="0" w:line="300"/>
        <w:ind w:left="709" w:hanging="709"/>
      </w:pPr>
      <w:r>
        <w:rPr>
          <w:rFonts w:ascii="Georgia" w:cs="Georgia" w:eastAsia="Georgia" w:hAnsi="Georgia"/>
          <w:color w:val="1A1F24"/>
          <w:sz w:val="21"/>
          <w:szCs w:val="21"/>
        </w:rPr>
        <w:t xml:space="preserve">7.1</w:t>
      </w:r>
      <w:r>
        <w:rPr>
          <w:rFonts w:ascii="Georgia" w:cs="Georgia" w:eastAsia="Georgia" w:hAnsi="Georgia"/>
          <w:sz w:val="21"/>
          <w:szCs w:val="21"/>
        </w:rPr>
        <w:t xml:space="preserve">	</w:t>
      </w:r>
      <w:r>
        <w:rPr>
          <w:rFonts w:ascii="Georgia" w:cs="Georgia" w:eastAsia="Georgia" w:hAnsi="Georgia"/>
          <w:color w:val="1A1F24"/>
          <w:sz w:val="21"/>
          <w:szCs w:val="21"/>
        </w:rPr>
        <w:t xml:space="preserve">Any director be authorised to sign, for and on behalf of the Company acting for the Portfolio, the Supplement, subscription agreements, share certificates (if issued) and any other document needed to give effect to these resolutions.</w:t>
      </w:r>
    </w:p>
    <w:p>
      <w:pPr>
        <w:tabs>
          <w:tab w:val="left" w:pos="709"/>
        </w:tabs>
        <w:spacing w:after="120" w:before="0" w:line="300"/>
        <w:ind w:left="709" w:hanging="709"/>
      </w:pPr>
      <w:r>
        <w:rPr>
          <w:rFonts w:ascii="Georgia" w:cs="Georgia" w:eastAsia="Georgia" w:hAnsi="Georgia"/>
          <w:color w:val="1A1F24"/>
          <w:sz w:val="21"/>
          <w:szCs w:val="21"/>
        </w:rPr>
        <w:t xml:space="preserve">7.2</w:t>
      </w:r>
      <w:r>
        <w:rPr>
          <w:rFonts w:ascii="Georgia" w:cs="Georgia" w:eastAsia="Georgia" w:hAnsi="Georgia"/>
          <w:sz w:val="21"/>
          <w:szCs w:val="21"/>
        </w:rPr>
        <w:t xml:space="preserve">	</w:t>
      </w:r>
      <w:r>
        <w:rPr>
          <w:rFonts w:ascii="Georgia" w:cs="Georgia" w:eastAsia="Georgia" w:hAnsi="Georgia"/>
          <w:color w:val="1A1F24"/>
          <w:sz w:val="21"/>
          <w:szCs w:val="21"/>
        </w:rPr>
        <w:t xml:space="preserve">The registered agent be instructed to update the register of members and any other statutory records to reflect these resolutions.</w:t>
      </w:r>
    </w:p>
    <w:p>
      <w:pPr>
        <w:spacing w:after="120" w:before="0" w:line="300"/>
      </w:pPr>
      <w:r>
        <w:rPr>
          <w:rFonts w:ascii="Georgia" w:cs="Georgia" w:eastAsia="Georgia" w:hAnsi="Georgia"/>
          <w:color w:val="1A1F24"/>
          <w:sz w:val="21"/>
          <w:szCs w:val="21"/>
        </w:rPr>
        <w:t xml:space="preserve">These resolutions are passed by the directors signing below and take effect when the last director signs </w:t>
      </w:r>
      <w:r>
        <w:rPr>
          <w:rFonts w:ascii="Arial" w:cs="Arial" w:eastAsia="Arial" w:hAnsi="Arial"/>
          <w:b/>
          <w:bCs/>
          <w:color w:val="5B3F8C"/>
          <w:sz w:val="17"/>
          <w:szCs w:val="17"/>
          <w:shd w:fill="EFEAF6" w:color="auto" w:val="clear"/>
        </w:rPr>
        <w:t xml:space="preserve">[[IF resolution.effective_date_differs]]</w:t>
      </w:r>
      <w:r>
        <w:rPr>
          <w:rFonts w:ascii="Georgia" w:cs="Georgia" w:eastAsia="Georgia" w:hAnsi="Georgia"/>
          <w:color w:val="1A1F24"/>
          <w:sz w:val="21"/>
          <w:szCs w:val="21"/>
        </w:rPr>
        <w:t xml:space="preserve"> or on </w:t>
      </w:r>
      <w:r>
        <w:rPr>
          <w:rFonts w:ascii="Georgia" w:cs="Georgia" w:eastAsia="Georgia" w:hAnsi="Georgia"/>
          <w:color w:val="1A1F24"/>
          <w:sz w:val="21"/>
          <w:szCs w:val="21"/>
          <w:shd w:fill="FFF2CC" w:color="auto" w:val="clear"/>
        </w:rPr>
        <w:t xml:space="preserve">{{resolution.effective_date}}</w:t>
      </w:r>
      <w:r>
        <w:rPr>
          <w:rFonts w:ascii="Georgia" w:cs="Georgia" w:eastAsia="Georgia" w:hAnsi="Georgia"/>
          <w:color w:val="1A1F24"/>
          <w:sz w:val="21"/>
          <w:szCs w:val="21"/>
        </w:rPr>
        <w:t xml:space="preserve"> if later </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w:t>
      </w:r>
    </w:p>
    <w:p>
      <w:pPr>
        <w:spacing w:after="60" w:before="60"/>
      </w:pPr>
      <w:r>
        <w:rPr>
          <w:rFonts w:ascii="Arial" w:cs="Arial" w:eastAsia="Arial" w:hAnsi="Arial"/>
          <w:b/>
          <w:bCs/>
          <w:color w:val="5B3F8C"/>
          <w:sz w:val="17"/>
          <w:szCs w:val="17"/>
          <w:shd w:fill="EFEAF6" w:color="auto" w:val="clear"/>
        </w:rPr>
        <w:t xml:space="preserve">[[FOR EACH director IN umbrella.directors]]</w:t>
      </w:r>
    </w:p>
    <w:p>
      <w:pPr>
        <w:keepNext/>
        <w:spacing w:after="60" w:before="240"/>
      </w:pPr>
      <w:r>
        <w:rPr>
          <w:rFonts w:ascii="Georgia" w:cs="Georgia" w:eastAsia="Georgia" w:hAnsi="Georgia"/>
          <w:b/>
          <w:bCs/>
          <w:color w:val="1A1F24"/>
          <w:sz w:val="21"/>
          <w:szCs w:val="21"/>
          <w:shd w:fill="FFF2CC" w:color="auto" w:val="clear"/>
        </w:rPr>
        <w:t xml:space="preserve">{{director.name}}</w:t>
      </w:r>
    </w:p>
    <w:p>
      <w:pPr>
        <w:keepNext/>
        <w:spacing w:after="60" w:before="360"/>
      </w:pPr>
      <w:r>
        <w:rPr>
          <w:rFonts w:ascii="Georgia" w:cs="Georgia" w:eastAsia="Georgia" w:hAnsi="Georgia"/>
          <w:sz w:val="21"/>
          <w:szCs w:val="21"/>
        </w:rPr>
        <w:t xml:space="preserve">______________________________________</w:t>
      </w:r>
    </w:p>
    <w:p>
      <w:pPr>
        <w:keepNext/>
        <w:spacing w:after="60" w:before="0"/>
      </w:pPr>
      <w:r>
        <w:rPr>
          <w:rFonts w:ascii="Georgia" w:cs="Georgia" w:eastAsia="Georgia" w:hAnsi="Georgia"/>
          <w:color w:val="1A1F24"/>
          <w:sz w:val="21"/>
          <w:szCs w:val="21"/>
        </w:rPr>
        <w:t xml:space="preserve">Director</w:t>
      </w:r>
    </w:p>
    <w:p>
      <w:pPr>
        <w:keepNext w:val="false"/>
        <w:spacing w:after="60" w:before="0"/>
      </w:pPr>
      <w:r>
        <w:rPr>
          <w:rFonts w:ascii="Georgia" w:cs="Georgia" w:eastAsia="Georgia" w:hAnsi="Georgia"/>
          <w:color w:val="1A1F24"/>
          <w:sz w:val="21"/>
          <w:szCs w:val="21"/>
        </w:rPr>
        <w:t xml:space="preserve">Date: </w:t>
      </w:r>
      <w:r>
        <w:rPr>
          <w:rFonts w:ascii="Georgia" w:cs="Georgia" w:eastAsia="Georgia" w:hAnsi="Georgia"/>
          <w:color w:val="1A1F24"/>
          <w:sz w:val="21"/>
          <w:szCs w:val="21"/>
          <w:shd w:fill="FFF2CC" w:color="auto" w:val="clear"/>
        </w:rPr>
        <w:t xml:space="preserve">{{director.signed_date}}</w:t>
      </w:r>
    </w:p>
    <w:p>
      <w:pPr>
        <w:spacing w:after="60" w:before="60"/>
      </w:pPr>
      <w:r>
        <w:rPr>
          <w:rFonts w:ascii="Arial" w:cs="Arial" w:eastAsia="Arial" w:hAnsi="Arial"/>
          <w:b/>
          <w:bCs/>
          <w:color w:val="5B3F8C"/>
          <w:sz w:val="17"/>
          <w:szCs w:val="17"/>
          <w:shd w:fill="EFEAF6" w:color="auto" w:val="clear"/>
        </w:rPr>
        <w:t xml:space="preserve">[[END FOR EACH]]</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Which article permits directors to act by written resolution, and must every director 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05A63"/>
        <w:sz w:val="15"/>
        <w:szCs w:val="15"/>
      </w:rPr>
      <w:t xml:space="preserve">Page </w:t>
    </w:r>
    <w:r>
      <w:rPr>
        <w:rFonts w:ascii="Arial" w:cs="Arial" w:eastAsia="Arial" w:hAnsi="Arial"/>
        <w:color w:val="505A63"/>
        <w:sz w:val="15"/>
        <w:szCs w:val="15"/>
      </w:rPr>
      <w:fldChar w:fldCharType="begin"/>
      <w:instrText xml:space="preserve">PAGE</w:instrText>
      <w:fldChar w:fldCharType="separate"/>
      <w:fldChar w:fldCharType="end"/>
    </w:r>
    <w:r>
      <w:rPr>
        <w:rFonts w:ascii="Arial" w:cs="Arial" w:eastAsia="Arial" w:hAnsi="Arial"/>
        <w:color w:val="505A63"/>
        <w:sz w:val="15"/>
        <w:szCs w:val="15"/>
      </w:rPr>
      <w:t xml:space="preserve"> of </w:t>
    </w:r>
    <w:r>
      <w:rPr>
        <w:rFonts w:ascii="Arial" w:cs="Arial" w:eastAsia="Arial" w:hAnsi="Arial"/>
        <w:color w:val="505A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05A63"/>
        <w:sz w:val="15"/>
        <w:szCs w:val="15"/>
      </w:rPr>
      <w:t xml:space="preserve">D12-B · first-pass template · draft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425"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D12-B Creation of a segregated portfolio and approval of an acquisition from a sponsor affiliate: directors’ written resolutions</dc:title>
  <dc:creator>Singularity Document Factory</dc:creator>
  <cp:lastModifiedBy>Un-named</cp:lastModifiedBy>
  <cp:revision>1</cp:revision>
  <dcterms:created xsi:type="dcterms:W3CDTF">2026-09-30T06:41:21.844Z</dcterms:created>
  <dcterms:modified xsi:type="dcterms:W3CDTF">2026-09-30T06:41:21.844Z</dcterms:modified>
</cp:coreProperties>
</file>

<file path=docProps/custom.xml><?xml version="1.0" encoding="utf-8"?>
<Properties xmlns="http://schemas.openxmlformats.org/officeDocument/2006/custom-properties" xmlns:vt="http://schemas.openxmlformats.org/officeDocument/2006/docPropsVTypes"/>
</file>