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FE7B" w14:textId="77777777" w:rsidR="005464B4" w:rsidRPr="007B009A" w:rsidRDefault="005464B4" w:rsidP="005464B4">
      <w:pPr>
        <w:ind w:left="630" w:hanging="630"/>
        <w:rPr>
          <w:b/>
          <w:bCs/>
          <w:sz w:val="20"/>
          <w:szCs w:val="20"/>
          <w:lang w:val="en-GB"/>
        </w:rPr>
      </w:pPr>
      <w:r>
        <w:rPr>
          <w:b/>
          <w:bCs/>
          <w:sz w:val="20"/>
          <w:szCs w:val="20"/>
        </w:rPr>
        <w:t xml:space="preserve">2.1- </w:t>
      </w:r>
      <w:r w:rsidRPr="007B009A">
        <w:rPr>
          <w:b/>
          <w:bCs/>
          <w:sz w:val="20"/>
          <w:szCs w:val="20"/>
        </w:rPr>
        <w:t>Political polarization takes different forms: distinguishing positions, polarization and levels of analysis</w:t>
      </w:r>
    </w:p>
    <w:p w14:paraId="6A819783" w14:textId="77777777" w:rsidR="005464B4" w:rsidRPr="00EA6875" w:rsidRDefault="005464B4" w:rsidP="005464B4">
      <w:pPr>
        <w:numPr>
          <w:ilvl w:val="0"/>
          <w:numId w:val="3"/>
        </w:numPr>
        <w:rPr>
          <w:sz w:val="20"/>
          <w:szCs w:val="20"/>
          <w:lang w:val="en-GB"/>
        </w:rPr>
      </w:pPr>
      <w:r w:rsidRPr="00EA6875">
        <w:rPr>
          <w:sz w:val="20"/>
          <w:szCs w:val="20"/>
          <w:lang w:val="en-GB"/>
        </w:rPr>
        <w:t>Study of how the concept of polarization has developed in the literature (Erdogan).</w:t>
      </w:r>
    </w:p>
    <w:p w14:paraId="089E6CD6" w14:textId="77777777" w:rsidR="005464B4" w:rsidRPr="00EA6875" w:rsidRDefault="005464B4" w:rsidP="005464B4">
      <w:pPr>
        <w:numPr>
          <w:ilvl w:val="0"/>
          <w:numId w:val="3"/>
        </w:numPr>
        <w:rPr>
          <w:sz w:val="20"/>
          <w:szCs w:val="20"/>
          <w:lang w:val="en-GB"/>
        </w:rPr>
      </w:pPr>
      <w:r w:rsidRPr="00EA6875">
        <w:rPr>
          <w:sz w:val="20"/>
          <w:szCs w:val="20"/>
          <w:lang w:val="en-GB"/>
        </w:rPr>
        <w:t>Four manifestations have been distinguished in the mass-polarization literature: affective polarization, perceived polarization, ideological consistency and ideological divergence (Lelkes).</w:t>
      </w:r>
    </w:p>
    <w:p w14:paraId="40C204F7" w14:textId="77777777" w:rsidR="005464B4" w:rsidRPr="00EA6875" w:rsidRDefault="005464B4" w:rsidP="005464B4">
      <w:pPr>
        <w:numPr>
          <w:ilvl w:val="1"/>
          <w:numId w:val="3"/>
        </w:numPr>
        <w:rPr>
          <w:sz w:val="20"/>
          <w:szCs w:val="20"/>
          <w:lang w:val="en-GB"/>
        </w:rPr>
      </w:pPr>
      <w:r w:rsidRPr="00EA6875">
        <w:rPr>
          <w:sz w:val="20"/>
          <w:szCs w:val="20"/>
          <w:lang w:val="en-GB"/>
        </w:rPr>
        <w:t>Affective polarization is not always defined or measured consistently (Iyengar; Bakker &amp; Lelkes; Druckman &amp; Levendusky).</w:t>
      </w:r>
    </w:p>
    <w:p w14:paraId="6E454C8C" w14:textId="77777777" w:rsidR="005464B4" w:rsidRPr="00EA6875" w:rsidRDefault="005464B4" w:rsidP="005464B4">
      <w:pPr>
        <w:numPr>
          <w:ilvl w:val="1"/>
          <w:numId w:val="3"/>
        </w:numPr>
        <w:rPr>
          <w:sz w:val="20"/>
          <w:szCs w:val="20"/>
          <w:lang w:val="en-GB"/>
        </w:rPr>
      </w:pPr>
      <w:r w:rsidRPr="00EA6875">
        <w:rPr>
          <w:sz w:val="20"/>
          <w:szCs w:val="20"/>
          <w:lang w:val="en-GB"/>
        </w:rPr>
        <w:t>Perceived polarization concerns how divided people believe parties or groups are (Westfall).</w:t>
      </w:r>
    </w:p>
    <w:p w14:paraId="7396885F" w14:textId="77777777" w:rsidR="005464B4" w:rsidRPr="00EA6875" w:rsidRDefault="005464B4" w:rsidP="005464B4">
      <w:pPr>
        <w:numPr>
          <w:ilvl w:val="1"/>
          <w:numId w:val="3"/>
        </w:numPr>
        <w:rPr>
          <w:sz w:val="20"/>
          <w:szCs w:val="20"/>
          <w:lang w:val="en-GB"/>
        </w:rPr>
      </w:pPr>
      <w:r w:rsidRPr="00EA6875">
        <w:rPr>
          <w:sz w:val="20"/>
          <w:szCs w:val="20"/>
          <w:lang w:val="en-GB"/>
        </w:rPr>
        <w:t>Party sorting differs from ideological polarization, while ideological position describes where an individual or party stands rather than how separated the groups are (Levendusky; Fiorina &amp; Abrams; Poole &amp; Rosenthal).</w:t>
      </w:r>
    </w:p>
    <w:p w14:paraId="70FAABE8" w14:textId="77777777" w:rsidR="005464B4" w:rsidRPr="00EA6875" w:rsidRDefault="005464B4" w:rsidP="005464B4">
      <w:pPr>
        <w:numPr>
          <w:ilvl w:val="0"/>
          <w:numId w:val="3"/>
        </w:numPr>
        <w:rPr>
          <w:sz w:val="20"/>
          <w:szCs w:val="20"/>
          <w:lang w:val="en-GB"/>
        </w:rPr>
      </w:pPr>
      <w:r w:rsidRPr="00EA6875">
        <w:rPr>
          <w:sz w:val="20"/>
          <w:szCs w:val="20"/>
          <w:lang w:val="en-GB"/>
        </w:rPr>
        <w:t>Distance between parties and differences among politicians within parties describe different aspects of the distribution of positions (Poole &amp; Rosenthal; Mehlhaff).</w:t>
      </w:r>
    </w:p>
    <w:p w14:paraId="5BA1C5D0" w14:textId="77777777" w:rsidR="005464B4" w:rsidRPr="00EA6875" w:rsidRDefault="005464B4" w:rsidP="005464B4">
      <w:pPr>
        <w:numPr>
          <w:ilvl w:val="0"/>
          <w:numId w:val="3"/>
        </w:numPr>
        <w:rPr>
          <w:sz w:val="20"/>
          <w:szCs w:val="20"/>
          <w:lang w:val="en-GB"/>
        </w:rPr>
      </w:pPr>
      <w:r w:rsidRPr="00EA6875">
        <w:rPr>
          <w:sz w:val="20"/>
          <w:szCs w:val="20"/>
          <w:lang w:val="en-GB"/>
        </w:rPr>
        <w:t>Elite and mass polarization refer to different populations and should not be treated as following the same trajectory automatically (Jacobson; Fiorina &amp; Abrams; Enders).</w:t>
      </w:r>
    </w:p>
    <w:p w14:paraId="682E9101" w14:textId="77777777" w:rsidR="005464B4" w:rsidRPr="00EA6875" w:rsidRDefault="005464B4" w:rsidP="005464B4">
      <w:pPr>
        <w:numPr>
          <w:ilvl w:val="0"/>
          <w:numId w:val="3"/>
        </w:numPr>
        <w:rPr>
          <w:sz w:val="20"/>
          <w:szCs w:val="20"/>
          <w:lang w:val="en-GB"/>
        </w:rPr>
      </w:pPr>
      <w:r w:rsidRPr="00EA6875">
        <w:rPr>
          <w:sz w:val="20"/>
          <w:szCs w:val="20"/>
          <w:lang w:val="en-GB"/>
        </w:rPr>
        <w:t>Expressed hostility among elites differs from mass affective polarization, ideological distance and incivility (Iakovlev).</w:t>
      </w:r>
    </w:p>
    <w:p w14:paraId="5D7DC866" w14:textId="77777777" w:rsidR="005464B4" w:rsidRDefault="005464B4" w:rsidP="005464B4">
      <w:pPr>
        <w:rPr>
          <w:b/>
          <w:bCs/>
          <w:sz w:val="20"/>
          <w:szCs w:val="20"/>
        </w:rPr>
      </w:pPr>
      <w:r w:rsidRPr="007B009A">
        <w:rPr>
          <w:b/>
          <w:bCs/>
          <w:sz w:val="20"/>
          <w:szCs w:val="20"/>
        </w:rPr>
        <w:t xml:space="preserve">2.2 — Roll-call voting and legislative speech provide established approaches to measuring congressional positions and polarization </w:t>
      </w:r>
    </w:p>
    <w:p w14:paraId="3D7DE69E" w14:textId="77777777" w:rsidR="005464B4" w:rsidRPr="00DD6D9B" w:rsidRDefault="005464B4" w:rsidP="005464B4">
      <w:pPr>
        <w:rPr>
          <w:sz w:val="20"/>
          <w:szCs w:val="20"/>
        </w:rPr>
      </w:pPr>
      <w:r w:rsidRPr="00DD6D9B">
        <w:rPr>
          <w:sz w:val="20"/>
          <w:szCs w:val="20"/>
        </w:rPr>
        <w:t>How votes become positions and positions become polarizations:</w:t>
      </w:r>
    </w:p>
    <w:p w14:paraId="22051504" w14:textId="77777777" w:rsidR="005464B4" w:rsidRPr="00F66FC6" w:rsidRDefault="005464B4" w:rsidP="005464B4">
      <w:pPr>
        <w:pStyle w:val="ListParagraph"/>
        <w:numPr>
          <w:ilvl w:val="0"/>
          <w:numId w:val="1"/>
        </w:numPr>
        <w:ind w:left="360"/>
        <w:rPr>
          <w:sz w:val="20"/>
          <w:szCs w:val="20"/>
        </w:rPr>
      </w:pPr>
      <w:r w:rsidRPr="00F66FC6">
        <w:rPr>
          <w:sz w:val="20"/>
          <w:szCs w:val="20"/>
        </w:rPr>
        <w:t xml:space="preserve">  Roll-call voting patterns can be summarized in a spatial model, with an estimated position for each legislator. DW-NOMINATE places legislators with similar voting records close together, and the distance between party means provides a measure of party polarization (Poole &amp; Rosenthal).</w:t>
      </w:r>
    </w:p>
    <w:p w14:paraId="3803F739" w14:textId="77777777" w:rsidR="005464B4" w:rsidRPr="00F66FC6" w:rsidRDefault="005464B4" w:rsidP="005464B4">
      <w:pPr>
        <w:pStyle w:val="ListParagraph"/>
        <w:numPr>
          <w:ilvl w:val="1"/>
          <w:numId w:val="1"/>
        </w:numPr>
        <w:ind w:left="1080"/>
        <w:rPr>
          <w:sz w:val="20"/>
          <w:szCs w:val="20"/>
        </w:rPr>
      </w:pPr>
      <w:r w:rsidRPr="00F66FC6">
        <w:rPr>
          <w:sz w:val="20"/>
          <w:szCs w:val="20"/>
        </w:rPr>
        <w:t>The main dimension is interpreted as liberal–conservative, particularly concerning the role of government in the economy. A second dimension historically captured regional divisions, especially over race and civil rights (Poole &amp; Rosenthal).</w:t>
      </w:r>
    </w:p>
    <w:p w14:paraId="0B30051A" w14:textId="77777777" w:rsidR="005464B4" w:rsidRPr="00F66FC6" w:rsidRDefault="005464B4" w:rsidP="005464B4">
      <w:pPr>
        <w:pStyle w:val="ListParagraph"/>
        <w:numPr>
          <w:ilvl w:val="1"/>
          <w:numId w:val="1"/>
        </w:numPr>
        <w:ind w:left="1080"/>
        <w:rPr>
          <w:sz w:val="20"/>
          <w:szCs w:val="20"/>
        </w:rPr>
      </w:pPr>
      <w:r w:rsidRPr="00F66FC6">
        <w:rPr>
          <w:sz w:val="20"/>
          <w:szCs w:val="20"/>
        </w:rPr>
        <w:t>Comparisons across periods draw on legislators with overlapping careers, connecting voting records from politicians who did not serve together (Poole &amp; Rosenthal).</w:t>
      </w:r>
    </w:p>
    <w:p w14:paraId="4C405D2F" w14:textId="77777777" w:rsidR="005464B4" w:rsidRDefault="005464B4" w:rsidP="005464B4">
      <w:pPr>
        <w:pStyle w:val="ListParagraph"/>
        <w:numPr>
          <w:ilvl w:val="1"/>
          <w:numId w:val="1"/>
        </w:numPr>
        <w:ind w:left="1080"/>
        <w:rPr>
          <w:sz w:val="20"/>
          <w:szCs w:val="20"/>
        </w:rPr>
      </w:pPr>
      <w:r w:rsidRPr="004138DA">
        <w:rPr>
          <w:sz w:val="20"/>
          <w:szCs w:val="20"/>
        </w:rPr>
        <w:t>These positions are estimates with uncertainty. A parametric bootstrap can be used to calculate standard errors rather than treating the scores as directly observed positions (Carroll et al.</w:t>
      </w:r>
      <w:r>
        <w:rPr>
          <w:sz w:val="20"/>
          <w:szCs w:val="20"/>
        </w:rPr>
        <w:t xml:space="preserve"> </w:t>
      </w:r>
      <w:r w:rsidRPr="004138DA">
        <w:rPr>
          <w:sz w:val="20"/>
          <w:szCs w:val="20"/>
        </w:rPr>
        <w:t>- extended version from lewis and poole 2004)</w:t>
      </w:r>
    </w:p>
    <w:p w14:paraId="5C43AA64" w14:textId="77777777" w:rsidR="005464B4" w:rsidRDefault="005464B4" w:rsidP="005464B4">
      <w:pPr>
        <w:rPr>
          <w:sz w:val="20"/>
          <w:szCs w:val="20"/>
        </w:rPr>
      </w:pPr>
      <w:r w:rsidRPr="00766EA3">
        <w:rPr>
          <w:sz w:val="20"/>
          <w:szCs w:val="20"/>
        </w:rPr>
        <w:t>What voting-based research shows about congressional polarization</w:t>
      </w:r>
    </w:p>
    <w:p w14:paraId="2AECA1C2" w14:textId="77777777" w:rsidR="005464B4" w:rsidRDefault="005464B4" w:rsidP="005464B4">
      <w:pPr>
        <w:pStyle w:val="ListParagraph"/>
        <w:numPr>
          <w:ilvl w:val="0"/>
          <w:numId w:val="1"/>
        </w:numPr>
        <w:ind w:left="360"/>
        <w:rPr>
          <w:sz w:val="20"/>
          <w:szCs w:val="20"/>
          <w:lang w:val="en-GB"/>
        </w:rPr>
      </w:pPr>
      <w:r w:rsidRPr="00766EA3">
        <w:rPr>
          <w:sz w:val="20"/>
          <w:szCs w:val="20"/>
          <w:lang w:val="en-GB"/>
        </w:rPr>
        <w:t>Voting-based polarization declined from approximately the early twentieth century through World War II, remained relatively stable until the mid-1970s, and then increased through 2006. The House and Senate followed broadly similar trajectories (Poole &amp; Rosenthal).</w:t>
      </w:r>
    </w:p>
    <w:p w14:paraId="53066ABD" w14:textId="77777777" w:rsidR="005464B4" w:rsidRDefault="005464B4" w:rsidP="005464B4">
      <w:pPr>
        <w:pStyle w:val="ListParagraph"/>
        <w:numPr>
          <w:ilvl w:val="0"/>
          <w:numId w:val="1"/>
        </w:numPr>
        <w:ind w:left="360"/>
        <w:rPr>
          <w:sz w:val="20"/>
          <w:szCs w:val="20"/>
          <w:lang w:val="en-GB"/>
        </w:rPr>
      </w:pPr>
      <w:r w:rsidRPr="00766EA3">
        <w:rPr>
          <w:sz w:val="20"/>
          <w:szCs w:val="20"/>
          <w:lang w:val="en-GB"/>
        </w:rPr>
        <w:t>Growing party distance does not mean that both parties moved equally. The modern increase is attributed mainly to Republican movement to the right, while the Democratic delegation also became more liberal as its Southern contingent declined (Poole &amp; Rosenthal).</w:t>
      </w:r>
    </w:p>
    <w:p w14:paraId="3839B7A4" w14:textId="77777777" w:rsidR="005464B4" w:rsidRPr="00766EA3" w:rsidRDefault="005464B4" w:rsidP="005464B4">
      <w:pPr>
        <w:pStyle w:val="ListParagraph"/>
        <w:numPr>
          <w:ilvl w:val="0"/>
          <w:numId w:val="1"/>
        </w:numPr>
        <w:ind w:left="360"/>
        <w:rPr>
          <w:sz w:val="20"/>
          <w:szCs w:val="20"/>
          <w:lang w:val="en-GB"/>
        </w:rPr>
      </w:pPr>
      <w:r w:rsidRPr="00766EA3">
        <w:rPr>
          <w:sz w:val="20"/>
          <w:szCs w:val="20"/>
          <w:lang w:val="en-GB"/>
        </w:rPr>
        <w:lastRenderedPageBreak/>
        <w:t>Party divisions also extend across policy areas: growing disagreements over racial and cultural issues can coexist with continuing divisions over economic and social-welfare policy, a process described as conflict extension (Layman, Carsey &amp; Horowitz).</w:t>
      </w:r>
    </w:p>
    <w:p w14:paraId="1946E666" w14:textId="77777777" w:rsidR="005464B4" w:rsidRPr="00B67D0A" w:rsidRDefault="005464B4" w:rsidP="005464B4">
      <w:pPr>
        <w:rPr>
          <w:sz w:val="20"/>
          <w:szCs w:val="20"/>
        </w:rPr>
      </w:pPr>
      <w:r w:rsidRPr="00B67D0A">
        <w:rPr>
          <w:sz w:val="20"/>
          <w:szCs w:val="20"/>
        </w:rPr>
        <w:t xml:space="preserve">What changing party positions can mean </w:t>
      </w:r>
    </w:p>
    <w:p w14:paraId="50018609" w14:textId="77777777" w:rsidR="005464B4" w:rsidRDefault="005464B4" w:rsidP="005464B4">
      <w:pPr>
        <w:pStyle w:val="ListParagraph"/>
        <w:numPr>
          <w:ilvl w:val="0"/>
          <w:numId w:val="1"/>
        </w:numPr>
        <w:ind w:left="360"/>
        <w:rPr>
          <w:sz w:val="20"/>
          <w:szCs w:val="20"/>
        </w:rPr>
      </w:pPr>
      <w:r w:rsidRPr="005409C5">
        <w:rPr>
          <w:sz w:val="20"/>
          <w:szCs w:val="20"/>
        </w:rPr>
        <w:t>Party averages can change because continuing members change their positions or because incoming members differ from those they replace. Comparable NPAT responses from 1996–2008 show little systematic extremening among continuing members, while replacement accounts for virtually all the increase identified in the House application (Moskowitz, Rogowski &amp; Snyder).</w:t>
      </w:r>
    </w:p>
    <w:p w14:paraId="657FDCD6" w14:textId="77777777" w:rsidR="005464B4" w:rsidRDefault="005464B4" w:rsidP="005464B4">
      <w:pPr>
        <w:pStyle w:val="ListParagraph"/>
        <w:numPr>
          <w:ilvl w:val="1"/>
          <w:numId w:val="1"/>
        </w:numPr>
        <w:ind w:left="1080"/>
        <w:rPr>
          <w:sz w:val="20"/>
          <w:szCs w:val="20"/>
        </w:rPr>
      </w:pPr>
      <w:r w:rsidRPr="005409C5">
        <w:rPr>
          <w:sz w:val="20"/>
          <w:szCs w:val="20"/>
        </w:rPr>
        <w:t>Incoming Republicans are significantly more conservative than departing Republicans. Incoming Democrats are somewhat more liberal than departing Democrats, but that difference is not statistically significant (Moskowitz, Rogowski &amp; Snyder).</w:t>
      </w:r>
    </w:p>
    <w:p w14:paraId="7547E836" w14:textId="77777777" w:rsidR="005464B4" w:rsidRPr="005409C5" w:rsidRDefault="005464B4" w:rsidP="005464B4">
      <w:pPr>
        <w:pStyle w:val="ListParagraph"/>
        <w:numPr>
          <w:ilvl w:val="1"/>
          <w:numId w:val="1"/>
        </w:numPr>
        <w:ind w:left="1080"/>
        <w:rPr>
          <w:sz w:val="20"/>
          <w:szCs w:val="20"/>
        </w:rPr>
      </w:pPr>
      <w:r w:rsidRPr="005409C5">
        <w:rPr>
          <w:sz w:val="20"/>
          <w:szCs w:val="20"/>
        </w:rPr>
        <w:t>In the Senate, Republican senators first elected to the House after 1978 provide an example of how replacement and legislative careers contribute to increased polarization (Theriault &amp; Rohde).</w:t>
      </w:r>
    </w:p>
    <w:p w14:paraId="62A46417" w14:textId="77777777" w:rsidR="005464B4" w:rsidRPr="00773C64" w:rsidRDefault="005464B4" w:rsidP="005464B4">
      <w:pPr>
        <w:rPr>
          <w:sz w:val="20"/>
          <w:szCs w:val="20"/>
        </w:rPr>
      </w:pPr>
      <w:r w:rsidRPr="00773C64">
        <w:rPr>
          <w:sz w:val="20"/>
          <w:szCs w:val="20"/>
        </w:rPr>
        <w:t>Limits of interpreting voting-based positions over time</w:t>
      </w:r>
    </w:p>
    <w:p w14:paraId="57A0A597" w14:textId="77777777" w:rsidR="005464B4" w:rsidRPr="0014574B" w:rsidRDefault="005464B4" w:rsidP="005464B4">
      <w:pPr>
        <w:pStyle w:val="ListParagraph"/>
        <w:numPr>
          <w:ilvl w:val="0"/>
          <w:numId w:val="1"/>
        </w:numPr>
        <w:ind w:left="360"/>
        <w:rPr>
          <w:sz w:val="20"/>
          <w:szCs w:val="20"/>
        </w:rPr>
      </w:pPr>
      <w:r w:rsidRPr="006C57DA">
        <w:rPr>
          <w:sz w:val="20"/>
          <w:szCs w:val="20"/>
        </w:rPr>
        <w:t xml:space="preserve">Historical comparisons require attention to the policies being contested. Accounting for civil-rights policy content, contemporary partisan differences are smaller than those following Reconstruction, despite increasing since the 1970s </w:t>
      </w:r>
      <w:r w:rsidRPr="0014574B">
        <w:rPr>
          <w:sz w:val="20"/>
          <w:szCs w:val="20"/>
        </w:rPr>
        <w:t>(Bateman, Clinton &amp; Lapinski).</w:t>
      </w:r>
    </w:p>
    <w:p w14:paraId="48FD6686" w14:textId="77777777" w:rsidR="005464B4" w:rsidRPr="0014574B" w:rsidRDefault="005464B4" w:rsidP="005464B4">
      <w:pPr>
        <w:pStyle w:val="ListParagraph"/>
        <w:numPr>
          <w:ilvl w:val="0"/>
          <w:numId w:val="1"/>
        </w:numPr>
        <w:ind w:left="360"/>
        <w:rPr>
          <w:sz w:val="20"/>
          <w:szCs w:val="20"/>
        </w:rPr>
      </w:pPr>
      <w:r w:rsidRPr="00E37FEB">
        <w:rPr>
          <w:sz w:val="20"/>
          <w:szCs w:val="20"/>
        </w:rPr>
        <w:t>Changing agendas can affect voting-based estimates without equivalent changes in underlying positions. Comparable survey questions provide another way to examine this distinction</w:t>
      </w:r>
      <w:r w:rsidRPr="0014574B">
        <w:rPr>
          <w:sz w:val="20"/>
          <w:szCs w:val="20"/>
        </w:rPr>
        <w:t xml:space="preserve"> (Moskowitz, Rogowski &amp; Snyder).</w:t>
      </w:r>
    </w:p>
    <w:p w14:paraId="3C530643" w14:textId="77777777" w:rsidR="005464B4" w:rsidRPr="0014574B" w:rsidRDefault="005464B4" w:rsidP="005464B4">
      <w:pPr>
        <w:pStyle w:val="ListParagraph"/>
        <w:numPr>
          <w:ilvl w:val="0"/>
          <w:numId w:val="1"/>
        </w:numPr>
        <w:ind w:left="360"/>
        <w:rPr>
          <w:sz w:val="20"/>
          <w:szCs w:val="20"/>
        </w:rPr>
      </w:pPr>
      <w:r w:rsidRPr="0014574B">
        <w:rPr>
          <w:sz w:val="20"/>
          <w:szCs w:val="20"/>
        </w:rPr>
        <w:t>The ideological meaning of a NOMINATE dimension is not necessarily consistent across historical periods (Caughey &amp; Schickler).</w:t>
      </w:r>
    </w:p>
    <w:p w14:paraId="5823FB2D" w14:textId="77777777" w:rsidR="005464B4" w:rsidRPr="0014574B" w:rsidRDefault="005464B4" w:rsidP="005464B4">
      <w:pPr>
        <w:pStyle w:val="ListParagraph"/>
        <w:numPr>
          <w:ilvl w:val="0"/>
          <w:numId w:val="1"/>
        </w:numPr>
        <w:ind w:left="360"/>
        <w:rPr>
          <w:sz w:val="20"/>
          <w:szCs w:val="20"/>
        </w:rPr>
      </w:pPr>
      <w:r w:rsidRPr="0014574B">
        <w:rPr>
          <w:sz w:val="20"/>
          <w:szCs w:val="20"/>
        </w:rPr>
        <w:t>Estimates of the timing and speed of individual change also depend on model assumptions. The DW-NOMINATE specification examined restricts individual movement to a linear trajectory, while a more flexible dynamic IRT model can represent sharper changes (Caughey &amp; Schickler).</w:t>
      </w:r>
    </w:p>
    <w:p w14:paraId="7767C815" w14:textId="77777777" w:rsidR="005464B4" w:rsidRPr="00D10E56" w:rsidRDefault="005464B4" w:rsidP="005464B4">
      <w:pPr>
        <w:pStyle w:val="ListParagraph"/>
        <w:numPr>
          <w:ilvl w:val="0"/>
          <w:numId w:val="1"/>
        </w:numPr>
        <w:ind w:left="360"/>
        <w:rPr>
          <w:sz w:val="20"/>
          <w:szCs w:val="20"/>
        </w:rPr>
      </w:pPr>
      <w:r w:rsidRPr="0014574B">
        <w:rPr>
          <w:sz w:val="20"/>
          <w:szCs w:val="20"/>
        </w:rPr>
        <w:t>Interpretation also depends on which decisions appear in recorded roll-call data. Selection into roll calls should not be assumed to work identically across legislatures (Ainsley et al.).</w:t>
      </w:r>
    </w:p>
    <w:p w14:paraId="6373CC8E" w14:textId="77777777" w:rsidR="005464B4" w:rsidRPr="00D10E56" w:rsidRDefault="005464B4" w:rsidP="005464B4">
      <w:pPr>
        <w:rPr>
          <w:sz w:val="20"/>
          <w:szCs w:val="20"/>
        </w:rPr>
      </w:pPr>
      <w:r w:rsidRPr="00D10E56">
        <w:rPr>
          <w:sz w:val="20"/>
          <w:szCs w:val="20"/>
        </w:rPr>
        <w:t xml:space="preserve">Introducing speech as another observable political behaviour </w:t>
      </w:r>
    </w:p>
    <w:p w14:paraId="6C7B5866" w14:textId="77777777" w:rsidR="005464B4" w:rsidRPr="00CA72AC" w:rsidRDefault="005464B4" w:rsidP="005464B4">
      <w:pPr>
        <w:pStyle w:val="ListParagraph"/>
        <w:numPr>
          <w:ilvl w:val="0"/>
          <w:numId w:val="1"/>
        </w:numPr>
        <w:ind w:left="360"/>
        <w:rPr>
          <w:sz w:val="20"/>
          <w:szCs w:val="20"/>
        </w:rPr>
      </w:pPr>
      <w:r w:rsidRPr="00CA72AC">
        <w:rPr>
          <w:sz w:val="20"/>
          <w:szCs w:val="20"/>
        </w:rPr>
        <w:t>Voting can reveal limited differences within parties when party discipline produces similar voting behaviour. Speech can provide additional information about those differences; in a Swiss application, text scaling reveals greater intraparty variation than roll calls despite high overall agreement between the measures (Schwarz, Traber &amp; Benoit).</w:t>
      </w:r>
    </w:p>
    <w:p w14:paraId="52FB21B6" w14:textId="77777777" w:rsidR="005464B4" w:rsidRPr="00CA72AC" w:rsidRDefault="005464B4" w:rsidP="005464B4">
      <w:pPr>
        <w:pStyle w:val="ListParagraph"/>
        <w:numPr>
          <w:ilvl w:val="0"/>
          <w:numId w:val="1"/>
        </w:numPr>
        <w:ind w:left="360"/>
        <w:rPr>
          <w:sz w:val="20"/>
          <w:szCs w:val="20"/>
        </w:rPr>
      </w:pPr>
      <w:r w:rsidRPr="00CA72AC">
        <w:rPr>
          <w:sz w:val="20"/>
          <w:szCs w:val="20"/>
        </w:rPr>
        <w:t>Speech scores capture expressed political disagreement, with patterns related to—but different from—voting-based positions. Wordshoal estimates individual positions by combining information from separate debates (</w:t>
      </w:r>
      <w:commentRangeStart w:id="0"/>
      <w:commentRangeStart w:id="1"/>
      <w:r w:rsidRPr="00CA72AC">
        <w:rPr>
          <w:sz w:val="20"/>
          <w:szCs w:val="20"/>
        </w:rPr>
        <w:t>Lauderdal</w:t>
      </w:r>
      <w:commentRangeEnd w:id="0"/>
      <w:r w:rsidRPr="00CA72AC">
        <w:rPr>
          <w:rStyle w:val="CommentReference"/>
          <w:sz w:val="20"/>
          <w:szCs w:val="20"/>
        </w:rPr>
        <w:commentReference w:id="0"/>
      </w:r>
      <w:commentRangeEnd w:id="1"/>
      <w:r w:rsidR="00000000" w:rsidRPr="00CA72AC">
        <w:rPr>
          <w:rStyle w:val="CommentReference"/>
          <w:sz w:val="20"/>
          <w:szCs w:val="20"/>
        </w:rPr>
        <w:commentReference w:id="1"/>
      </w:r>
      <w:r w:rsidRPr="00CA72AC">
        <w:rPr>
          <w:sz w:val="20"/>
          <w:szCs w:val="20"/>
        </w:rPr>
        <w:t>e &amp; Herzog).</w:t>
      </w:r>
    </w:p>
    <w:p w14:paraId="07492940" w14:textId="77777777" w:rsidR="005464B4" w:rsidRDefault="005464B4" w:rsidP="005464B4">
      <w:pPr>
        <w:pStyle w:val="ListParagraph"/>
        <w:numPr>
          <w:ilvl w:val="1"/>
          <w:numId w:val="1"/>
        </w:numPr>
        <w:ind w:left="1080"/>
        <w:rPr>
          <w:sz w:val="20"/>
          <w:szCs w:val="20"/>
        </w:rPr>
      </w:pPr>
      <w:r w:rsidRPr="00CA72AC">
        <w:rPr>
          <w:sz w:val="20"/>
          <w:szCs w:val="20"/>
        </w:rPr>
        <w:t>Within-party speech positions correlate moderately with voting-based positions.</w:t>
      </w:r>
    </w:p>
    <w:p w14:paraId="1CC01F78" w14:textId="77777777" w:rsidR="005464B4" w:rsidRPr="00CA72AC" w:rsidRDefault="005464B4" w:rsidP="005464B4">
      <w:pPr>
        <w:pStyle w:val="ListParagraph"/>
        <w:numPr>
          <w:ilvl w:val="1"/>
          <w:numId w:val="1"/>
        </w:numPr>
        <w:ind w:left="1080"/>
        <w:rPr>
          <w:sz w:val="20"/>
          <w:szCs w:val="20"/>
        </w:rPr>
      </w:pPr>
      <w:r w:rsidRPr="00CA72AC">
        <w:rPr>
          <w:sz w:val="20"/>
          <w:szCs w:val="20"/>
        </w:rPr>
        <w:t>Democrats and Republicans show greater overlap in speech positions than in voting positions.</w:t>
      </w:r>
    </w:p>
    <w:p w14:paraId="1184004F" w14:textId="77777777" w:rsidR="005464B4" w:rsidRPr="00CA72AC" w:rsidRDefault="005464B4" w:rsidP="005464B4">
      <w:pPr>
        <w:pStyle w:val="ListParagraph"/>
        <w:numPr>
          <w:ilvl w:val="0"/>
          <w:numId w:val="1"/>
        </w:numPr>
        <w:ind w:left="360"/>
        <w:rPr>
          <w:sz w:val="20"/>
          <w:szCs w:val="20"/>
        </w:rPr>
      </w:pPr>
      <w:r w:rsidRPr="00CA72AC">
        <w:rPr>
          <w:sz w:val="20"/>
          <w:szCs w:val="20"/>
        </w:rPr>
        <w:t>Votes and text can also be combined within the same model. Sparse factor analysis identifies an ideological dimension and another dimension associated with leadership, showing that textual differences are not necessarily all ideological (Kim, Londregan &amp; Ratkovic).</w:t>
      </w:r>
    </w:p>
    <w:p w14:paraId="100C95A4" w14:textId="77777777" w:rsidR="005464B4" w:rsidRPr="00700BBA" w:rsidRDefault="005464B4" w:rsidP="005464B4">
      <w:pPr>
        <w:rPr>
          <w:sz w:val="20"/>
          <w:szCs w:val="20"/>
        </w:rPr>
      </w:pPr>
      <w:r w:rsidRPr="00700BBA">
        <w:rPr>
          <w:sz w:val="20"/>
          <w:szCs w:val="20"/>
        </w:rPr>
        <w:t>What speech-based research shows over time</w:t>
      </w:r>
    </w:p>
    <w:p w14:paraId="4DD57E3B" w14:textId="77777777" w:rsidR="005464B4" w:rsidRPr="00700BBA" w:rsidRDefault="005464B4" w:rsidP="005464B4">
      <w:pPr>
        <w:pStyle w:val="ListParagraph"/>
        <w:numPr>
          <w:ilvl w:val="0"/>
          <w:numId w:val="1"/>
        </w:numPr>
        <w:ind w:left="360"/>
        <w:rPr>
          <w:sz w:val="20"/>
          <w:szCs w:val="20"/>
        </w:rPr>
      </w:pPr>
      <w:r w:rsidRPr="00700BBA">
        <w:rPr>
          <w:sz w:val="20"/>
          <w:szCs w:val="20"/>
        </w:rPr>
        <w:lastRenderedPageBreak/>
        <w:t>The distance between average party speech positions doubles from 1995 to 2014, a larger increase than the corresponding voting-based gap. In this application, individual positions are held constant, so changing party means reflect changes in membership (Lauderdale &amp; Herzog).</w:t>
      </w:r>
    </w:p>
    <w:p w14:paraId="12588C7B" w14:textId="77777777" w:rsidR="005464B4" w:rsidRDefault="005464B4" w:rsidP="005464B4">
      <w:pPr>
        <w:pStyle w:val="ListParagraph"/>
        <w:numPr>
          <w:ilvl w:val="1"/>
          <w:numId w:val="1"/>
        </w:numPr>
        <w:ind w:left="1080"/>
        <w:rPr>
          <w:sz w:val="20"/>
          <w:szCs w:val="20"/>
        </w:rPr>
      </w:pPr>
      <w:r w:rsidRPr="00D201FC">
        <w:rPr>
          <w:sz w:val="20"/>
          <w:szCs w:val="20"/>
        </w:rPr>
        <w:t>Debate polarization also varies with political events: it falls below trend after 9/11 and reaches its highest level during the 2009–2010 healthcare debates</w:t>
      </w:r>
    </w:p>
    <w:p w14:paraId="6A120580" w14:textId="77777777" w:rsidR="005464B4" w:rsidRPr="00D201FC" w:rsidRDefault="005464B4" w:rsidP="005464B4">
      <w:pPr>
        <w:pStyle w:val="ListParagraph"/>
        <w:numPr>
          <w:ilvl w:val="1"/>
          <w:numId w:val="1"/>
        </w:numPr>
        <w:ind w:left="1080"/>
        <w:rPr>
          <w:sz w:val="20"/>
          <w:szCs w:val="20"/>
        </w:rPr>
      </w:pPr>
      <w:r w:rsidRPr="00D201FC">
        <w:rPr>
          <w:sz w:val="20"/>
          <w:szCs w:val="20"/>
        </w:rPr>
        <w:t>The voting-based series shows different patterns; the healthcare debates involved relatively few roll calls despite receiving substantial political attention (Lauderdale &amp; Herzog).</w:t>
      </w:r>
    </w:p>
    <w:p w14:paraId="5069EFE4" w14:textId="77777777" w:rsidR="005464B4" w:rsidRDefault="005464B4" w:rsidP="005464B4">
      <w:pPr>
        <w:pStyle w:val="ListParagraph"/>
        <w:numPr>
          <w:ilvl w:val="0"/>
          <w:numId w:val="1"/>
        </w:numPr>
        <w:ind w:left="360"/>
        <w:rPr>
          <w:sz w:val="20"/>
          <w:szCs w:val="20"/>
        </w:rPr>
      </w:pPr>
      <w:r w:rsidRPr="00D201FC">
        <w:rPr>
          <w:sz w:val="20"/>
          <w:szCs w:val="20"/>
        </w:rPr>
        <w:t>A different approach measures how easily party affiliation can be inferred from language. After correcting for finite-sample bias, congressional linguistic partisanship increases sharply from the early 1990s (Gentzkow, Shapiro &amp; Taddy)</w:t>
      </w:r>
    </w:p>
    <w:p w14:paraId="0B24E95B" w14:textId="77777777" w:rsidR="005464B4" w:rsidRDefault="005464B4" w:rsidP="005464B4">
      <w:pPr>
        <w:pStyle w:val="ListParagraph"/>
        <w:numPr>
          <w:ilvl w:val="1"/>
          <w:numId w:val="1"/>
        </w:numPr>
        <w:ind w:left="1080"/>
        <w:rPr>
          <w:sz w:val="20"/>
          <w:szCs w:val="20"/>
        </w:rPr>
      </w:pPr>
      <w:r w:rsidRPr="00D201FC">
        <w:rPr>
          <w:sz w:val="20"/>
          <w:szCs w:val="20"/>
        </w:rPr>
        <w:t>This is a trajectory of party-language distinctiveness, which should not be treated as the same measure as ideological distance in voting.</w:t>
      </w:r>
    </w:p>
    <w:p w14:paraId="2218EE46" w14:textId="77777777" w:rsidR="005464B4" w:rsidRDefault="005464B4" w:rsidP="005464B4">
      <w:pPr>
        <w:pStyle w:val="ListParagraph"/>
        <w:numPr>
          <w:ilvl w:val="0"/>
          <w:numId w:val="1"/>
        </w:numPr>
        <w:ind w:left="360"/>
        <w:rPr>
          <w:sz w:val="20"/>
          <w:szCs w:val="20"/>
        </w:rPr>
      </w:pPr>
      <w:r w:rsidRPr="006478E6">
        <w:rPr>
          <w:sz w:val="20"/>
          <w:szCs w:val="20"/>
        </w:rPr>
        <w:t>Congressional online communication became more partisan and more negative across Twitter, Facebook and newsletters between 2009 and 2022 (Kistner et al. 2025).</w:t>
      </w:r>
      <w:r>
        <w:rPr>
          <w:sz w:val="20"/>
          <w:szCs w:val="20"/>
        </w:rPr>
        <w:t xml:space="preserve"> </w:t>
      </w:r>
    </w:p>
    <w:p w14:paraId="3179BF55" w14:textId="77777777" w:rsidR="005464B4" w:rsidRPr="0081765C" w:rsidRDefault="005464B4" w:rsidP="005464B4">
      <w:pPr>
        <w:pStyle w:val="ListParagraph"/>
        <w:numPr>
          <w:ilvl w:val="1"/>
          <w:numId w:val="1"/>
        </w:numPr>
        <w:ind w:left="1080"/>
        <w:rPr>
          <w:sz w:val="20"/>
          <w:szCs w:val="20"/>
        </w:rPr>
      </w:pPr>
      <w:r w:rsidRPr="0081765C">
        <w:rPr>
          <w:sz w:val="20"/>
          <w:szCs w:val="20"/>
        </w:rPr>
        <w:t xml:space="preserve">Class-affinity scaling estimates affinity with Democratic or Republican language, using separate models for each Congress to allow partisan language associations to change over time. These partisanship estimates do not directly measure substantive ideological distance (Kistner et al. 2025). </w:t>
      </w:r>
    </w:p>
    <w:p w14:paraId="26ADF9CB" w14:textId="77777777" w:rsidR="005464B4" w:rsidRPr="00D201FC" w:rsidRDefault="005464B4" w:rsidP="005464B4">
      <w:pPr>
        <w:rPr>
          <w:sz w:val="20"/>
          <w:szCs w:val="20"/>
        </w:rPr>
      </w:pPr>
      <w:r w:rsidRPr="00D201FC">
        <w:rPr>
          <w:sz w:val="20"/>
          <w:szCs w:val="20"/>
        </w:rPr>
        <w:t>Speech measurement still has limitations</w:t>
      </w:r>
    </w:p>
    <w:p w14:paraId="7B54B962" w14:textId="77777777" w:rsidR="005464B4" w:rsidRDefault="005464B4" w:rsidP="005464B4">
      <w:pPr>
        <w:pStyle w:val="ListParagraph"/>
        <w:numPr>
          <w:ilvl w:val="0"/>
          <w:numId w:val="1"/>
        </w:numPr>
        <w:ind w:left="360"/>
        <w:rPr>
          <w:sz w:val="20"/>
          <w:szCs w:val="20"/>
        </w:rPr>
      </w:pPr>
      <w:r w:rsidRPr="00AD5680">
        <w:rPr>
          <w:sz w:val="20"/>
          <w:szCs w:val="20"/>
        </w:rPr>
        <w:t xml:space="preserve">Party separation persists across communication venues, but members’ relative positions within parties can differ depending on where they communicate </w:t>
      </w:r>
      <w:r>
        <w:rPr>
          <w:sz w:val="20"/>
          <w:szCs w:val="20"/>
        </w:rPr>
        <w:t>(</w:t>
      </w:r>
      <w:commentRangeStart w:id="2"/>
      <w:r w:rsidRPr="00323088">
        <w:rPr>
          <w:sz w:val="20"/>
          <w:szCs w:val="20"/>
        </w:rPr>
        <w:t>Green</w:t>
      </w:r>
      <w:commentRangeEnd w:id="2"/>
      <w:r>
        <w:rPr>
          <w:rStyle w:val="CommentReference"/>
          <w:sz w:val="20"/>
          <w:szCs w:val="20"/>
        </w:rPr>
        <w:commentReference w:id="2"/>
      </w:r>
      <w:r>
        <w:rPr>
          <w:sz w:val="20"/>
          <w:szCs w:val="20"/>
        </w:rPr>
        <w:t>)</w:t>
      </w:r>
    </w:p>
    <w:p w14:paraId="7C58E03B" w14:textId="77777777" w:rsidR="005464B4" w:rsidRDefault="005464B4" w:rsidP="005464B4">
      <w:pPr>
        <w:pStyle w:val="ListParagraph"/>
        <w:numPr>
          <w:ilvl w:val="0"/>
          <w:numId w:val="1"/>
        </w:numPr>
        <w:ind w:left="360"/>
        <w:rPr>
          <w:sz w:val="20"/>
          <w:szCs w:val="20"/>
        </w:rPr>
      </w:pPr>
      <w:r w:rsidRPr="00B000BB">
        <w:rPr>
          <w:sz w:val="20"/>
          <w:szCs w:val="20"/>
        </w:rPr>
        <w:t>Standard Wordfish estimates a single latent dimension in a given application. Its interpretation depends on the input texts, and preprocessing and changing vocabulary can affect the results (Proksch &amp; Slapin).</w:t>
      </w:r>
    </w:p>
    <w:p w14:paraId="789F2C8B" w14:textId="77777777" w:rsidR="005464B4" w:rsidRDefault="005464B4" w:rsidP="005464B4">
      <w:pPr>
        <w:pStyle w:val="ListParagraph"/>
        <w:numPr>
          <w:ilvl w:val="0"/>
          <w:numId w:val="1"/>
        </w:numPr>
        <w:ind w:left="360"/>
        <w:rPr>
          <w:sz w:val="20"/>
          <w:szCs w:val="20"/>
        </w:rPr>
      </w:pPr>
      <w:r w:rsidRPr="00B000BB">
        <w:rPr>
          <w:sz w:val="20"/>
          <w:szCs w:val="20"/>
        </w:rPr>
        <w:t>Unsupervised scaling can recover ideological variation, but the dominant differences in language are not automatically ideological. Supervised approaches introduce information about the intended measurement task, while still requiring validation (Goet).</w:t>
      </w:r>
    </w:p>
    <w:p w14:paraId="0D7CCD1B" w14:textId="77777777" w:rsidR="005464B4" w:rsidRPr="0030185C" w:rsidRDefault="005464B4" w:rsidP="005464B4">
      <w:pPr>
        <w:pStyle w:val="ListParagraph"/>
        <w:numPr>
          <w:ilvl w:val="0"/>
          <w:numId w:val="1"/>
        </w:numPr>
        <w:ind w:left="360"/>
        <w:rPr>
          <w:sz w:val="20"/>
          <w:szCs w:val="20"/>
        </w:rPr>
      </w:pPr>
      <w:r w:rsidRPr="00B000BB">
        <w:rPr>
          <w:sz w:val="20"/>
          <w:szCs w:val="20"/>
        </w:rPr>
        <w:t>These findings motivate examining alternative ways of estimating positions from language, while retaining the need to establish what the scores mean.</w:t>
      </w:r>
    </w:p>
    <w:p w14:paraId="07D53AFC" w14:textId="77777777" w:rsidR="005464B4" w:rsidRDefault="005464B4" w:rsidP="005464B4">
      <w:pPr>
        <w:ind w:left="360"/>
        <w:rPr>
          <w:b/>
          <w:bCs/>
          <w:sz w:val="20"/>
          <w:szCs w:val="20"/>
        </w:rPr>
      </w:pPr>
      <w:r>
        <w:rPr>
          <w:b/>
          <w:bCs/>
          <w:sz w:val="20"/>
          <w:szCs w:val="20"/>
        </w:rPr>
        <w:t>N</w:t>
      </w:r>
      <w:r w:rsidRPr="00EC7372">
        <w:rPr>
          <w:b/>
          <w:bCs/>
          <w:sz w:val="20"/>
          <w:szCs w:val="20"/>
        </w:rPr>
        <w:t xml:space="preserve">ew language-model approaches offer different ways to </w:t>
      </w:r>
      <w:r w:rsidRPr="000147C6">
        <w:rPr>
          <w:b/>
          <w:bCs/>
          <w:sz w:val="20"/>
          <w:szCs w:val="20"/>
        </w:rPr>
        <w:t>to Measuring Political Positions and Polarization</w:t>
      </w:r>
    </w:p>
    <w:p w14:paraId="1A44958A" w14:textId="77777777" w:rsidR="005464B4" w:rsidRPr="008773DD" w:rsidRDefault="005464B4" w:rsidP="005464B4">
      <w:pPr>
        <w:rPr>
          <w:sz w:val="20"/>
          <w:szCs w:val="20"/>
        </w:rPr>
      </w:pPr>
      <w:r w:rsidRPr="004E4F99">
        <w:rPr>
          <w:sz w:val="20"/>
          <w:szCs w:val="20"/>
        </w:rPr>
        <w:t>From earlier text methods to LLM-based position estimation</w:t>
      </w:r>
    </w:p>
    <w:p w14:paraId="54298741" w14:textId="77777777" w:rsidR="005464B4" w:rsidRPr="00C0721C" w:rsidRDefault="005464B4" w:rsidP="005464B4">
      <w:pPr>
        <w:pStyle w:val="ListParagraph"/>
        <w:numPr>
          <w:ilvl w:val="0"/>
          <w:numId w:val="1"/>
        </w:numPr>
        <w:ind w:left="360"/>
        <w:rPr>
          <w:sz w:val="20"/>
          <w:szCs w:val="20"/>
        </w:rPr>
      </w:pPr>
      <w:r w:rsidRPr="00C0721C">
        <w:rPr>
          <w:sz w:val="20"/>
          <w:szCs w:val="20"/>
        </w:rPr>
        <w:t>Neural-network models represent words in context, and party embeddings can be used to estimate ideological placement from parliamentary language (Rheault &amp; Cochrane).</w:t>
      </w:r>
    </w:p>
    <w:p w14:paraId="5836A453" w14:textId="77777777" w:rsidR="005464B4" w:rsidRPr="00C02812" w:rsidRDefault="005464B4" w:rsidP="005464B4">
      <w:pPr>
        <w:pStyle w:val="ListParagraph"/>
        <w:numPr>
          <w:ilvl w:val="1"/>
          <w:numId w:val="1"/>
        </w:numPr>
        <w:ind w:left="1080"/>
        <w:rPr>
          <w:sz w:val="20"/>
          <w:szCs w:val="20"/>
        </w:rPr>
      </w:pPr>
      <w:r w:rsidRPr="00C0721C">
        <w:rPr>
          <w:sz w:val="20"/>
          <w:szCs w:val="20"/>
        </w:rPr>
        <w:t>Party embeddings are validated against measures based on manifestos, expert assessments and roll-call votes, providing an antecedent to generative LLM approaches.</w:t>
      </w:r>
    </w:p>
    <w:p w14:paraId="434AEA94" w14:textId="77777777" w:rsidR="005464B4" w:rsidRPr="00371015" w:rsidRDefault="005464B4" w:rsidP="005464B4">
      <w:pPr>
        <w:pStyle w:val="ListParagraph"/>
        <w:numPr>
          <w:ilvl w:val="0"/>
          <w:numId w:val="1"/>
        </w:numPr>
        <w:ind w:left="360"/>
        <w:rPr>
          <w:sz w:val="20"/>
          <w:szCs w:val="20"/>
        </w:rPr>
      </w:pPr>
      <w:r w:rsidRPr="00371015">
        <w:rPr>
          <w:sz w:val="20"/>
          <w:szCs w:val="20"/>
        </w:rPr>
        <w:t>LLM-based position estimates correlate highly with benchmarks based on expert coding, crowdworker judgments and roll-call votes. By scoring texts on a chosen political dimension and averaging these scores, the approach can also estimate political actors’ positions (Le Mens and Gallego 2025).</w:t>
      </w:r>
    </w:p>
    <w:p w14:paraId="2C161538" w14:textId="77777777" w:rsidR="005464B4" w:rsidRDefault="005464B4" w:rsidP="005464B4">
      <w:pPr>
        <w:pStyle w:val="ListParagraph"/>
        <w:numPr>
          <w:ilvl w:val="1"/>
          <w:numId w:val="1"/>
        </w:numPr>
        <w:ind w:left="1080"/>
        <w:rPr>
          <w:sz w:val="20"/>
          <w:szCs w:val="20"/>
        </w:rPr>
      </w:pPr>
      <w:r w:rsidRPr="00D84730">
        <w:rPr>
          <w:sz w:val="20"/>
          <w:szCs w:val="20"/>
        </w:rPr>
        <w:t xml:space="preserve">approach also </w:t>
      </w:r>
      <w:r>
        <w:rPr>
          <w:sz w:val="20"/>
          <w:szCs w:val="20"/>
        </w:rPr>
        <w:t>says it</w:t>
      </w:r>
      <w:r w:rsidRPr="00D84730">
        <w:rPr>
          <w:sz w:val="20"/>
          <w:szCs w:val="20"/>
        </w:rPr>
        <w:t xml:space="preserve"> achieves greater accuracy than the supervised classifiers used for comparison, despite their training on substantial amounts of labelled data (</w:t>
      </w:r>
      <w:commentRangeStart w:id="3"/>
      <w:commentRangeStart w:id="4"/>
      <w:r w:rsidRPr="00D84730">
        <w:rPr>
          <w:sz w:val="20"/>
          <w:szCs w:val="20"/>
        </w:rPr>
        <w:t>Le Mens and Gallego 2025).</w:t>
      </w:r>
      <w:commentRangeEnd w:id="3"/>
      <w:r>
        <w:rPr>
          <w:rStyle w:val="CommentReference"/>
          <w:sz w:val="20"/>
          <w:szCs w:val="20"/>
        </w:rPr>
        <w:commentReference w:id="3"/>
      </w:r>
      <w:commentRangeEnd w:id="4"/>
      <w:r w:rsidR="00000000">
        <w:rPr>
          <w:rStyle w:val="CommentReference"/>
          <w:sz w:val="20"/>
          <w:szCs w:val="20"/>
        </w:rPr>
        <w:commentReference w:id="4"/>
      </w:r>
    </w:p>
    <w:p w14:paraId="6638DCEF" w14:textId="77777777" w:rsidR="005464B4" w:rsidRPr="008E64BB" w:rsidRDefault="005464B4" w:rsidP="005464B4">
      <w:pPr>
        <w:pStyle w:val="ListParagraph"/>
        <w:numPr>
          <w:ilvl w:val="0"/>
          <w:numId w:val="1"/>
        </w:numPr>
        <w:ind w:left="360"/>
        <w:rPr>
          <w:sz w:val="20"/>
          <w:szCs w:val="20"/>
          <w:lang w:val="en-GB"/>
        </w:rPr>
      </w:pPr>
      <w:r w:rsidRPr="00866680">
        <w:rPr>
          <w:sz w:val="20"/>
          <w:szCs w:val="20"/>
        </w:rPr>
        <w:lastRenderedPageBreak/>
        <w:t>Political positions can also be estimated by first summarizing a document’s content on separate policy issues, then scoring each summary on a defined scale and combining estimates from different LLMs</w:t>
      </w:r>
      <w:r>
        <w:rPr>
          <w:sz w:val="20"/>
          <w:szCs w:val="20"/>
        </w:rPr>
        <w:t xml:space="preserve"> - </w:t>
      </w:r>
      <w:r w:rsidRPr="00AA07B7">
        <w:rPr>
          <w:sz w:val="20"/>
          <w:szCs w:val="20"/>
          <w:lang w:val="en-GB"/>
        </w:rPr>
        <w:t>these estimates correlate highly with expert assessments on most dimensions</w:t>
      </w:r>
      <w:r>
        <w:rPr>
          <w:sz w:val="20"/>
          <w:szCs w:val="20"/>
          <w:lang w:val="en-GB"/>
        </w:rPr>
        <w:t xml:space="preserve"> </w:t>
      </w:r>
      <w:r w:rsidRPr="008E64BB">
        <w:rPr>
          <w:sz w:val="20"/>
          <w:szCs w:val="20"/>
          <w:lang w:val="en-GB"/>
        </w:rPr>
        <w:t xml:space="preserve"> </w:t>
      </w:r>
      <w:commentRangeStart w:id="5"/>
      <w:r w:rsidRPr="008E64BB">
        <w:rPr>
          <w:sz w:val="20"/>
          <w:szCs w:val="20"/>
          <w:lang w:val="en-GB"/>
        </w:rPr>
        <w:t>(Benoit)</w:t>
      </w:r>
      <w:commentRangeEnd w:id="5"/>
      <w:r w:rsidRPr="008E64BB">
        <w:rPr>
          <w:rStyle w:val="CommentReference"/>
          <w:sz w:val="20"/>
          <w:szCs w:val="20"/>
          <w:lang w:val="en-GB"/>
        </w:rPr>
        <w:commentReference w:id="5"/>
      </w:r>
    </w:p>
    <w:p w14:paraId="2E80A3A1" w14:textId="77777777" w:rsidR="005464B4" w:rsidRDefault="005464B4" w:rsidP="005464B4">
      <w:pPr>
        <w:pStyle w:val="ListParagraph"/>
        <w:numPr>
          <w:ilvl w:val="0"/>
          <w:numId w:val="1"/>
        </w:numPr>
        <w:ind w:left="360"/>
        <w:rPr>
          <w:sz w:val="20"/>
          <w:szCs w:val="20"/>
          <w:lang w:val="en-GB"/>
        </w:rPr>
      </w:pPr>
      <w:r>
        <w:rPr>
          <w:sz w:val="20"/>
          <w:szCs w:val="20"/>
          <w:lang w:val="en-GB"/>
        </w:rPr>
        <w:t xml:space="preserve">Beveraging llms by identifying the stances expressed in texts and using a statistical model (semantic scaling) to find the political poritions – the results strongly agree with the voting based positions DW-Nominate </w:t>
      </w:r>
    </w:p>
    <w:p w14:paraId="1812130F" w14:textId="77777777" w:rsidR="005464B4" w:rsidRDefault="005464B4" w:rsidP="005464B4">
      <w:pPr>
        <w:pStyle w:val="ListParagraph"/>
        <w:numPr>
          <w:ilvl w:val="1"/>
          <w:numId w:val="1"/>
        </w:numPr>
        <w:ind w:left="1080"/>
        <w:rPr>
          <w:sz w:val="20"/>
          <w:szCs w:val="20"/>
          <w:lang w:val="en-GB"/>
        </w:rPr>
      </w:pPr>
      <w:r>
        <w:rPr>
          <w:sz w:val="20"/>
          <w:szCs w:val="20"/>
          <w:lang w:val="en-GB"/>
        </w:rPr>
        <w:t xml:space="preserve">Both voting and this llm approach find that </w:t>
      </w:r>
      <w:r w:rsidRPr="00E80585">
        <w:rPr>
          <w:sz w:val="20"/>
          <w:szCs w:val="20"/>
        </w:rPr>
        <w:t xml:space="preserve">Romney, Collins, Sinema and Manchin </w:t>
      </w:r>
      <w:r>
        <w:rPr>
          <w:sz w:val="20"/>
          <w:szCs w:val="20"/>
        </w:rPr>
        <w:t>are</w:t>
      </w:r>
      <w:r w:rsidRPr="00E80585">
        <w:rPr>
          <w:sz w:val="20"/>
          <w:szCs w:val="20"/>
        </w:rPr>
        <w:t xml:space="preserve"> among the more moderate senators.</w:t>
      </w:r>
      <w:r>
        <w:rPr>
          <w:sz w:val="20"/>
          <w:szCs w:val="20"/>
          <w:lang w:val="en-GB"/>
        </w:rPr>
        <w:t xml:space="preserve">  (Burnham)</w:t>
      </w:r>
    </w:p>
    <w:p w14:paraId="0871E970" w14:textId="77777777" w:rsidR="005464B4" w:rsidRPr="00C46906" w:rsidRDefault="005464B4" w:rsidP="005464B4">
      <w:pPr>
        <w:pStyle w:val="ListParagraph"/>
        <w:numPr>
          <w:ilvl w:val="0"/>
          <w:numId w:val="1"/>
        </w:numPr>
        <w:ind w:left="360"/>
        <w:rPr>
          <w:sz w:val="20"/>
          <w:szCs w:val="20"/>
        </w:rPr>
      </w:pPr>
      <w:r w:rsidRPr="00C46906">
        <w:rPr>
          <w:sz w:val="20"/>
          <w:szCs w:val="20"/>
        </w:rPr>
        <w:t xml:space="preserve">Positions can also be estimated by asking an LLM to compare politicians using its learned knowledge about them, rather than supplying their speeches. The resulting general liberal–conservative scale strongly correlates with existing measures (Wu et al.). </w:t>
      </w:r>
    </w:p>
    <w:p w14:paraId="15153001" w14:textId="77777777" w:rsidR="005464B4" w:rsidRPr="00C46906" w:rsidRDefault="005464B4" w:rsidP="005464B4">
      <w:pPr>
        <w:rPr>
          <w:sz w:val="20"/>
          <w:szCs w:val="20"/>
        </w:rPr>
      </w:pPr>
      <w:r w:rsidRPr="00C46906">
        <w:rPr>
          <w:sz w:val="20"/>
          <w:szCs w:val="20"/>
        </w:rPr>
        <w:t>Moving beyond general ideology: issue positions and party evaluations</w:t>
      </w:r>
    </w:p>
    <w:p w14:paraId="68DF4052" w14:textId="77777777" w:rsidR="005464B4" w:rsidRPr="00706E35" w:rsidRDefault="005464B4" w:rsidP="005464B4">
      <w:pPr>
        <w:pStyle w:val="ListParagraph"/>
        <w:numPr>
          <w:ilvl w:val="0"/>
          <w:numId w:val="1"/>
        </w:numPr>
        <w:ind w:left="360"/>
      </w:pPr>
      <w:r w:rsidRPr="00C46906">
        <w:rPr>
          <w:sz w:val="20"/>
          <w:szCs w:val="20"/>
        </w:rPr>
        <w:t>A senator’s position on particular issues is not fully reproduced by their general liberal–conservative score. LLM-based gun-control and abortion positions predict interest-group ratings and legislators’ votes better than general ideology alone</w:t>
      </w:r>
      <w:r>
        <w:t xml:space="preserve"> (</w:t>
      </w:r>
      <w:commentRangeStart w:id="6"/>
      <w:r>
        <w:t>(</w:t>
      </w:r>
      <w:r w:rsidRPr="0041681D">
        <w:rPr>
          <w:sz w:val="20"/>
          <w:szCs w:val="20"/>
        </w:rPr>
        <w:t>Wu et al. 2023)</w:t>
      </w:r>
      <w:commentRangeEnd w:id="6"/>
      <w:r w:rsidRPr="00706E35">
        <w:rPr>
          <w:rStyle w:val="CommentReference"/>
          <w:sz w:val="24"/>
          <w:szCs w:val="24"/>
        </w:rPr>
        <w:commentReference w:id="6"/>
      </w:r>
    </w:p>
    <w:p w14:paraId="57B37F33" w14:textId="77777777" w:rsidR="005464B4" w:rsidRDefault="005464B4" w:rsidP="005464B4">
      <w:pPr>
        <w:pStyle w:val="ListParagraph"/>
        <w:numPr>
          <w:ilvl w:val="0"/>
          <w:numId w:val="1"/>
        </w:numPr>
        <w:ind w:left="360"/>
        <w:rPr>
          <w:sz w:val="20"/>
          <w:szCs w:val="20"/>
        </w:rPr>
      </w:pPr>
      <w:commentRangeStart w:id="7"/>
      <w:r>
        <w:rPr>
          <w:sz w:val="20"/>
          <w:szCs w:val="20"/>
        </w:rPr>
        <w:t>Instead of using learned knowledge about politicians , i</w:t>
      </w:r>
      <w:r w:rsidRPr="006513E8">
        <w:rPr>
          <w:sz w:val="20"/>
          <w:szCs w:val="20"/>
        </w:rPr>
        <w:t>ssue-specific positions can also be estimated from parliamentary speeches, using opinion-sentence embeddings and reference points representing support and opposition.</w:t>
      </w:r>
    </w:p>
    <w:p w14:paraId="1C23B992" w14:textId="77777777" w:rsidR="005464B4" w:rsidRDefault="005464B4" w:rsidP="005464B4">
      <w:pPr>
        <w:pStyle w:val="ListParagraph"/>
        <w:numPr>
          <w:ilvl w:val="1"/>
          <w:numId w:val="1"/>
        </w:numPr>
        <w:ind w:left="1080"/>
        <w:rPr>
          <w:sz w:val="20"/>
          <w:szCs w:val="20"/>
        </w:rPr>
      </w:pPr>
      <w:r w:rsidRPr="00B95DA2">
        <w:rPr>
          <w:sz w:val="20"/>
          <w:szCs w:val="20"/>
        </w:rPr>
        <w:t>In Japan, distinguishing parties’ positions across the two issues</w:t>
      </w:r>
      <w:r>
        <w:rPr>
          <w:sz w:val="20"/>
          <w:szCs w:val="20"/>
        </w:rPr>
        <w:t>,</w:t>
      </w:r>
      <w:r w:rsidRPr="00B95DA2">
        <w:rPr>
          <w:sz w:val="20"/>
          <w:szCs w:val="20"/>
        </w:rPr>
        <w:t xml:space="preserve"> estimated positions on constitutional recognition </w:t>
      </w:r>
      <w:r>
        <w:rPr>
          <w:sz w:val="20"/>
          <w:szCs w:val="20"/>
        </w:rPr>
        <w:t>of those issues</w:t>
      </w:r>
      <w:r w:rsidRPr="00B95DA2">
        <w:rPr>
          <w:sz w:val="20"/>
          <w:szCs w:val="20"/>
        </w:rPr>
        <w:t xml:space="preserve"> broadly align with expert assessments</w:t>
      </w:r>
      <w:r>
        <w:rPr>
          <w:sz w:val="20"/>
          <w:szCs w:val="20"/>
        </w:rPr>
        <w:t xml:space="preserve"> </w:t>
      </w:r>
      <w:r w:rsidRPr="00B95DA2">
        <w:rPr>
          <w:sz w:val="20"/>
          <w:szCs w:val="20"/>
        </w:rPr>
        <w:t>(Kato et al. 2024).</w:t>
      </w:r>
      <w:commentRangeEnd w:id="7"/>
      <w:r>
        <w:rPr>
          <w:rStyle w:val="CommentReference"/>
          <w:sz w:val="20"/>
          <w:szCs w:val="20"/>
        </w:rPr>
        <w:commentReference w:id="7"/>
      </w:r>
    </w:p>
    <w:p w14:paraId="2192DB0D" w14:textId="77777777" w:rsidR="005464B4" w:rsidRPr="00614029" w:rsidRDefault="005464B4" w:rsidP="005464B4">
      <w:pPr>
        <w:pStyle w:val="ListParagraph"/>
        <w:numPr>
          <w:ilvl w:val="0"/>
          <w:numId w:val="1"/>
        </w:numPr>
        <w:ind w:left="360"/>
        <w:rPr>
          <w:sz w:val="20"/>
          <w:szCs w:val="20"/>
        </w:rPr>
      </w:pPr>
      <w:r w:rsidRPr="00614029">
        <w:rPr>
          <w:sz w:val="20"/>
          <w:szCs w:val="20"/>
        </w:rPr>
        <w:t>Separating policy positions from evaluations of parties and leaders also changes what a scale captures (Burnham).</w:t>
      </w:r>
    </w:p>
    <w:p w14:paraId="19EA405E" w14:textId="77777777" w:rsidR="005464B4" w:rsidRPr="00614029" w:rsidRDefault="005464B4" w:rsidP="005464B4">
      <w:pPr>
        <w:pStyle w:val="ListParagraph"/>
        <w:numPr>
          <w:ilvl w:val="1"/>
          <w:numId w:val="1"/>
        </w:numPr>
        <w:ind w:left="1080"/>
        <w:rPr>
          <w:sz w:val="20"/>
          <w:szCs w:val="20"/>
        </w:rPr>
      </w:pPr>
      <w:r w:rsidRPr="00614029">
        <w:rPr>
          <w:sz w:val="20"/>
          <w:szCs w:val="20"/>
        </w:rPr>
        <w:t>When all items are combined, members of the Democratic Squad appear further right than their progressive reputation would suggest; their criticism of Democratic leadership contributes to this result.</w:t>
      </w:r>
    </w:p>
    <w:p w14:paraId="4AB403EE" w14:textId="77777777" w:rsidR="005464B4" w:rsidRPr="00614029" w:rsidRDefault="005464B4" w:rsidP="005464B4">
      <w:pPr>
        <w:pStyle w:val="ListParagraph"/>
        <w:numPr>
          <w:ilvl w:val="1"/>
          <w:numId w:val="1"/>
        </w:numPr>
        <w:ind w:left="1080"/>
        <w:rPr>
          <w:sz w:val="20"/>
          <w:szCs w:val="20"/>
        </w:rPr>
      </w:pPr>
      <w:r w:rsidRPr="00614029">
        <w:rPr>
          <w:sz w:val="20"/>
          <w:szCs w:val="20"/>
        </w:rPr>
        <w:t>Separate party-evaluation scales show that the Squad and MAGA Squad express greater negativity towards the opposing party, but also less positive evaluations of their own party, than their average party member</w:t>
      </w:r>
      <w:r w:rsidRPr="00614029">
        <w:rPr>
          <w:sz w:val="20"/>
          <w:szCs w:val="20"/>
          <w:lang w:val="en-GB"/>
        </w:rPr>
        <w:t xml:space="preserve">. </w:t>
      </w:r>
      <w:commentRangeStart w:id="8"/>
      <w:r w:rsidRPr="00614029">
        <w:rPr>
          <w:sz w:val="20"/>
          <w:szCs w:val="20"/>
          <w:lang w:val="en-GB"/>
        </w:rPr>
        <w:t>(burnham)</w:t>
      </w:r>
      <w:commentRangeEnd w:id="8"/>
      <w:r w:rsidRPr="00614029">
        <w:rPr>
          <w:rStyle w:val="CommentReference"/>
          <w:sz w:val="20"/>
          <w:szCs w:val="20"/>
        </w:rPr>
        <w:commentReference w:id="8"/>
      </w:r>
    </w:p>
    <w:p w14:paraId="77079A9F" w14:textId="77777777" w:rsidR="005464B4" w:rsidRPr="006D29C7" w:rsidRDefault="005464B4" w:rsidP="005464B4">
      <w:pPr>
        <w:rPr>
          <w:sz w:val="20"/>
          <w:szCs w:val="20"/>
        </w:rPr>
      </w:pPr>
      <w:r w:rsidRPr="00043328">
        <w:rPr>
          <w:sz w:val="20"/>
          <w:szCs w:val="20"/>
        </w:rPr>
        <w:t>Following positions and expressed elite hostility over time</w:t>
      </w:r>
    </w:p>
    <w:p w14:paraId="79C3CBCE" w14:textId="77777777" w:rsidR="005464B4" w:rsidRPr="006D29C7" w:rsidRDefault="005464B4" w:rsidP="005464B4">
      <w:pPr>
        <w:pStyle w:val="ListParagraph"/>
        <w:numPr>
          <w:ilvl w:val="0"/>
          <w:numId w:val="1"/>
        </w:numPr>
        <w:ind w:left="360"/>
        <w:rPr>
          <w:sz w:val="20"/>
          <w:szCs w:val="20"/>
        </w:rPr>
      </w:pPr>
      <w:r w:rsidRPr="006D29C7">
        <w:rPr>
          <w:sz w:val="20"/>
          <w:szCs w:val="20"/>
        </w:rPr>
        <w:t>Extending issue-specific analysis over time, separate trajectories of mean party positions have been estimated for Japan’s LDP, JCP and Komeito between 2000 and 2024.</w:t>
      </w:r>
    </w:p>
    <w:p w14:paraId="676E9C63" w14:textId="77777777" w:rsidR="005464B4" w:rsidRPr="006D29C7" w:rsidRDefault="005464B4" w:rsidP="005464B4">
      <w:pPr>
        <w:pStyle w:val="ListParagraph"/>
        <w:numPr>
          <w:ilvl w:val="1"/>
          <w:numId w:val="1"/>
        </w:numPr>
        <w:ind w:left="1080"/>
        <w:rPr>
          <w:sz w:val="20"/>
          <w:szCs w:val="20"/>
        </w:rPr>
      </w:pPr>
      <w:r w:rsidRPr="006D29C7">
        <w:rPr>
          <w:sz w:val="20"/>
          <w:szCs w:val="20"/>
        </w:rPr>
        <w:t>The temporal analysis covers four policy questions: constitutional recognition of the Self-Defense Forces, increased defence spending, restarting nuclear plants, and building new plants or extending existing plants’ lifetimes (Kato &amp; Cochrane).</w:t>
      </w:r>
    </w:p>
    <w:p w14:paraId="19727A3A" w14:textId="77777777" w:rsidR="005464B4" w:rsidRPr="006D29C7" w:rsidRDefault="005464B4" w:rsidP="005464B4">
      <w:pPr>
        <w:pStyle w:val="ListParagraph"/>
        <w:numPr>
          <w:ilvl w:val="1"/>
          <w:numId w:val="1"/>
        </w:numPr>
        <w:ind w:left="1080"/>
        <w:rPr>
          <w:sz w:val="20"/>
          <w:szCs w:val="20"/>
        </w:rPr>
      </w:pPr>
      <w:r w:rsidRPr="006D29C7">
        <w:rPr>
          <w:sz w:val="20"/>
          <w:szCs w:val="20"/>
        </w:rPr>
        <w:t>These are trajectories of party averages, not automatically evidence of individual legislators changing their positions</w:t>
      </w:r>
    </w:p>
    <w:p w14:paraId="57C7CB00" w14:textId="77777777" w:rsidR="005464B4" w:rsidRPr="00425178" w:rsidRDefault="005464B4" w:rsidP="005464B4">
      <w:pPr>
        <w:pStyle w:val="ListParagraph"/>
        <w:numPr>
          <w:ilvl w:val="0"/>
          <w:numId w:val="1"/>
        </w:numPr>
        <w:ind w:left="360"/>
        <w:rPr>
          <w:sz w:val="20"/>
          <w:szCs w:val="20"/>
        </w:rPr>
      </w:pPr>
      <w:r w:rsidRPr="00025DF8">
        <w:rPr>
          <w:sz w:val="20"/>
          <w:szCs w:val="20"/>
        </w:rPr>
        <w:t xml:space="preserve">Beyond tracking issue positions, LLM-based analysis also measures expressed elite hostility through evaluations directed at political opponents </w:t>
      </w:r>
      <w:commentRangeStart w:id="9"/>
      <w:commentRangeStart w:id="10"/>
      <w:r w:rsidRPr="00425178">
        <w:rPr>
          <w:sz w:val="20"/>
          <w:szCs w:val="20"/>
        </w:rPr>
        <w:t>(Iakovlev 2026).</w:t>
      </w:r>
      <w:commentRangeEnd w:id="9"/>
      <w:r w:rsidRPr="00425178">
        <w:rPr>
          <w:rStyle w:val="CommentReference"/>
          <w:sz w:val="20"/>
          <w:szCs w:val="20"/>
        </w:rPr>
        <w:commentReference w:id="9"/>
      </w:r>
      <w:commentRangeEnd w:id="10"/>
      <w:r w:rsidR="00000000" w:rsidRPr="00425178">
        <w:rPr>
          <w:rStyle w:val="CommentReference"/>
          <w:sz w:val="20"/>
          <w:szCs w:val="20"/>
        </w:rPr>
        <w:commentReference w:id="10"/>
      </w:r>
    </w:p>
    <w:p w14:paraId="26C3A73A" w14:textId="77777777" w:rsidR="005464B4" w:rsidRPr="00B1404D" w:rsidRDefault="005464B4" w:rsidP="005464B4">
      <w:pPr>
        <w:pStyle w:val="ListParagraph"/>
        <w:numPr>
          <w:ilvl w:val="1"/>
          <w:numId w:val="1"/>
        </w:numPr>
        <w:ind w:left="1080"/>
        <w:rPr>
          <w:sz w:val="20"/>
          <w:szCs w:val="20"/>
        </w:rPr>
      </w:pPr>
      <w:r w:rsidRPr="00B1404D">
        <w:rPr>
          <w:sz w:val="20"/>
          <w:szCs w:val="20"/>
        </w:rPr>
        <w:t>In Italy, aggregate out-party negativity declines after 2017 and reaches its lowest level during the 2021 national-unity government, within the 2013–2022 period examined.</w:t>
      </w:r>
    </w:p>
    <w:p w14:paraId="3AF328F3" w14:textId="77777777" w:rsidR="005464B4" w:rsidRPr="00B1404D" w:rsidRDefault="005464B4" w:rsidP="005464B4">
      <w:pPr>
        <w:pStyle w:val="ListParagraph"/>
        <w:numPr>
          <w:ilvl w:val="1"/>
          <w:numId w:val="1"/>
        </w:numPr>
        <w:ind w:left="1080"/>
        <w:rPr>
          <w:sz w:val="20"/>
          <w:szCs w:val="20"/>
        </w:rPr>
      </w:pPr>
      <w:r w:rsidRPr="00B1404D">
        <w:rPr>
          <w:sz w:val="20"/>
          <w:szCs w:val="20"/>
        </w:rPr>
        <w:t>In Hungary, the strongest sustained increase peaks in 2018–2019 within a series covering 2002–2023.</w:t>
      </w:r>
    </w:p>
    <w:p w14:paraId="1D76B3B1" w14:textId="77777777" w:rsidR="005464B4" w:rsidRDefault="005464B4" w:rsidP="005464B4">
      <w:pPr>
        <w:pStyle w:val="ListParagraph"/>
        <w:numPr>
          <w:ilvl w:val="1"/>
          <w:numId w:val="1"/>
        </w:numPr>
        <w:ind w:left="1080"/>
        <w:rPr>
          <w:sz w:val="20"/>
          <w:szCs w:val="20"/>
        </w:rPr>
      </w:pPr>
      <w:r w:rsidRPr="00B1404D">
        <w:rPr>
          <w:sz w:val="20"/>
          <w:szCs w:val="20"/>
        </w:rPr>
        <w:lastRenderedPageBreak/>
        <w:t>These trajectories measure a form of polarization distinct from ideological distance. They do not increase around every major crisis: no major spike is observed during the Brexit period in the UK analysis (Iakovlev).</w:t>
      </w:r>
    </w:p>
    <w:p w14:paraId="6DD856BA" w14:textId="77777777" w:rsidR="005464B4" w:rsidRPr="00AA3504" w:rsidRDefault="005464B4" w:rsidP="005464B4">
      <w:pPr>
        <w:rPr>
          <w:sz w:val="20"/>
          <w:szCs w:val="20"/>
        </w:rPr>
      </w:pPr>
      <w:r w:rsidRPr="00AA3504">
        <w:rPr>
          <w:sz w:val="20"/>
          <w:szCs w:val="20"/>
        </w:rPr>
        <w:t>How well do the estimates work? Validation and remaining limitations</w:t>
      </w:r>
    </w:p>
    <w:p w14:paraId="1F841E13" w14:textId="77777777" w:rsidR="005464B4" w:rsidRPr="004214D8" w:rsidRDefault="005464B4" w:rsidP="005464B4">
      <w:pPr>
        <w:pStyle w:val="ListParagraph"/>
        <w:numPr>
          <w:ilvl w:val="0"/>
          <w:numId w:val="1"/>
        </w:numPr>
        <w:ind w:left="360"/>
        <w:rPr>
          <w:sz w:val="20"/>
          <w:szCs w:val="20"/>
          <w:lang w:val="en-GB"/>
        </w:rPr>
      </w:pPr>
      <w:r w:rsidRPr="000E2A8C">
        <w:rPr>
          <w:sz w:val="20"/>
          <w:szCs w:val="20"/>
        </w:rPr>
        <w:t xml:space="preserve">Performance depends on the task. Agreement on text labels is not the same as validating individual ideological positions or an aggregate polarization measure. </w:t>
      </w:r>
      <w:r>
        <w:rPr>
          <w:sz w:val="20"/>
          <w:szCs w:val="20"/>
        </w:rPr>
        <w:t>(</w:t>
      </w:r>
      <w:commentRangeStart w:id="11"/>
      <w:r>
        <w:rPr>
          <w:sz w:val="20"/>
          <w:szCs w:val="20"/>
        </w:rPr>
        <w:t>ziems)</w:t>
      </w:r>
      <w:commentRangeEnd w:id="11"/>
      <w:r w:rsidRPr="004214D8">
        <w:rPr>
          <w:rStyle w:val="CommentReference"/>
          <w:sz w:val="20"/>
          <w:szCs w:val="20"/>
          <w:lang w:val="en-GB"/>
        </w:rPr>
        <w:commentReference w:id="11"/>
      </w:r>
    </w:p>
    <w:p w14:paraId="2A828629" w14:textId="77777777" w:rsidR="005464B4" w:rsidRPr="004214D8" w:rsidRDefault="005464B4" w:rsidP="005464B4">
      <w:pPr>
        <w:pStyle w:val="ListParagraph"/>
        <w:numPr>
          <w:ilvl w:val="1"/>
          <w:numId w:val="1"/>
        </w:numPr>
        <w:ind w:left="1080"/>
        <w:rPr>
          <w:sz w:val="20"/>
          <w:szCs w:val="20"/>
        </w:rPr>
      </w:pPr>
      <w:r w:rsidRPr="004033F7">
        <w:rPr>
          <w:sz w:val="20"/>
          <w:szCs w:val="20"/>
        </w:rPr>
        <w:t>LLMs can perform political-text coding and scaling tasks at lower cost than extensive human coding, but these results should not be generalized to every polarization measure</w:t>
      </w:r>
      <w:r>
        <w:rPr>
          <w:sz w:val="20"/>
          <w:szCs w:val="20"/>
        </w:rPr>
        <w:t xml:space="preserve">. </w:t>
      </w:r>
      <w:commentRangeStart w:id="12"/>
      <w:r>
        <w:rPr>
          <w:sz w:val="20"/>
          <w:szCs w:val="20"/>
        </w:rPr>
        <w:t>(</w:t>
      </w:r>
      <w:r w:rsidRPr="002F26AC">
        <w:rPr>
          <w:sz w:val="20"/>
          <w:szCs w:val="20"/>
        </w:rPr>
        <w:t>Ornstein, Blasingame &amp; Truscott</w:t>
      </w:r>
      <w:r>
        <w:rPr>
          <w:sz w:val="20"/>
          <w:szCs w:val="20"/>
        </w:rPr>
        <w:t>)</w:t>
      </w:r>
      <w:commentRangeEnd w:id="12"/>
      <w:r w:rsidRPr="004214D8">
        <w:rPr>
          <w:rStyle w:val="CommentReference"/>
          <w:sz w:val="20"/>
          <w:szCs w:val="20"/>
        </w:rPr>
        <w:commentReference w:id="12"/>
      </w:r>
    </w:p>
    <w:p w14:paraId="6C61A2C4" w14:textId="77777777" w:rsidR="005464B4" w:rsidRPr="00681974" w:rsidRDefault="005464B4" w:rsidP="005464B4">
      <w:pPr>
        <w:pStyle w:val="ListParagraph"/>
        <w:numPr>
          <w:ilvl w:val="1"/>
          <w:numId w:val="1"/>
        </w:numPr>
        <w:ind w:left="1080"/>
        <w:rPr>
          <w:sz w:val="20"/>
          <w:szCs w:val="20"/>
          <w:lang w:val="en-GB"/>
        </w:rPr>
      </w:pPr>
      <w:r w:rsidRPr="004033F7">
        <w:rPr>
          <w:sz w:val="20"/>
          <w:szCs w:val="20"/>
        </w:rPr>
        <w:t>On classification tasks, LLMs do not consistently outperform the strongest task-specific models, while some generation tasks receive favourable evaluations relative to crowdworker references</w:t>
      </w:r>
      <w:r w:rsidRPr="004D61E9">
        <w:rPr>
          <w:sz w:val="20"/>
          <w:szCs w:val="20"/>
          <w:lang w:val="en-GB"/>
        </w:rPr>
        <w:t>.</w:t>
      </w:r>
      <w:r w:rsidRPr="00435559">
        <w:rPr>
          <w:sz w:val="20"/>
          <w:szCs w:val="20"/>
        </w:rPr>
        <w:t>(Ziems)</w:t>
      </w:r>
    </w:p>
    <w:p w14:paraId="78AE2B2A" w14:textId="77777777" w:rsidR="005464B4" w:rsidRPr="00AA3504" w:rsidRDefault="005464B4" w:rsidP="005464B4">
      <w:pPr>
        <w:pStyle w:val="ListParagraph"/>
        <w:numPr>
          <w:ilvl w:val="1"/>
          <w:numId w:val="1"/>
        </w:numPr>
        <w:ind w:left="1080"/>
        <w:rPr>
          <w:sz w:val="20"/>
          <w:szCs w:val="20"/>
          <w:lang w:val="en-GB"/>
        </w:rPr>
      </w:pPr>
      <w:r w:rsidRPr="008E64BB">
        <w:rPr>
          <w:sz w:val="20"/>
          <w:szCs w:val="20"/>
          <w:lang w:val="en-GB"/>
        </w:rPr>
        <w:t>Transformer models trained on human-coded or GPT-4-coded data reportedly produce similar outcomes in the application examined</w:t>
      </w:r>
      <w:r w:rsidRPr="00261E33">
        <w:rPr>
          <w:sz w:val="20"/>
          <w:szCs w:val="20"/>
          <w:lang w:val="en-GB"/>
        </w:rPr>
        <w:t>.</w:t>
      </w:r>
      <w:r>
        <w:rPr>
          <w:sz w:val="20"/>
          <w:szCs w:val="20"/>
          <w:lang w:val="en-GB"/>
        </w:rPr>
        <w:t xml:space="preserve"> (</w:t>
      </w:r>
      <w:r w:rsidRPr="00E21741">
        <w:rPr>
          <w:sz w:val="20"/>
          <w:szCs w:val="20"/>
        </w:rPr>
        <w:t>Heseltine</w:t>
      </w:r>
      <w:r>
        <w:rPr>
          <w:sz w:val="20"/>
          <w:szCs w:val="20"/>
        </w:rPr>
        <w:t>)</w:t>
      </w:r>
    </w:p>
    <w:p w14:paraId="4CBAF519" w14:textId="77777777" w:rsidR="005464B4" w:rsidRDefault="005464B4" w:rsidP="005464B4">
      <w:pPr>
        <w:pStyle w:val="ListParagraph"/>
        <w:numPr>
          <w:ilvl w:val="0"/>
          <w:numId w:val="1"/>
        </w:numPr>
        <w:ind w:left="360"/>
        <w:rPr>
          <w:sz w:val="20"/>
          <w:szCs w:val="20"/>
        </w:rPr>
      </w:pPr>
      <w:r w:rsidRPr="008E64BB">
        <w:rPr>
          <w:sz w:val="20"/>
          <w:szCs w:val="20"/>
        </w:rPr>
        <w:t>Strong overall agreement can conceal weaker agreement within parties. LLM-based positions estimated from senators’ ideological tweets correlate highly with DW-NOMINATE overall, but correlation is lower among Democrats and much weaker among Republicans. This highlights the importance of within-party validation when estimating individual legislators’ positions</w:t>
      </w:r>
      <w:r w:rsidRPr="00C26A6F">
        <w:rPr>
          <w:sz w:val="20"/>
          <w:szCs w:val="20"/>
        </w:rPr>
        <w:t xml:space="preserve"> (O’Hagan and Schein 2024).</w:t>
      </w:r>
    </w:p>
    <w:p w14:paraId="3B59B040" w14:textId="77777777" w:rsidR="005464B4" w:rsidRDefault="005464B4" w:rsidP="005464B4">
      <w:pPr>
        <w:pStyle w:val="ListParagraph"/>
        <w:numPr>
          <w:ilvl w:val="1"/>
          <w:numId w:val="1"/>
        </w:numPr>
        <w:ind w:left="1080"/>
        <w:rPr>
          <w:sz w:val="20"/>
          <w:szCs w:val="20"/>
        </w:rPr>
      </w:pPr>
      <w:r w:rsidRPr="008E64BB">
        <w:rPr>
          <w:sz w:val="20"/>
          <w:szCs w:val="20"/>
        </w:rPr>
        <w:t xml:space="preserve">An independent reference can also come from human experts’ pairwise comparisons. Applied to the German Bundestag, the resulting position estimates are validated against party-wing membership and legislators’ self-placement, providing a potential benchmark for alternative measures </w:t>
      </w:r>
      <w:r w:rsidRPr="008B299C">
        <w:rPr>
          <w:sz w:val="20"/>
          <w:szCs w:val="20"/>
        </w:rPr>
        <w:t xml:space="preserve"> (Breunig and Guinaudeau 2026).</w:t>
      </w:r>
    </w:p>
    <w:p w14:paraId="7ACB5DDD" w14:textId="77777777" w:rsidR="005464B4" w:rsidRDefault="005464B4" w:rsidP="005464B4">
      <w:pPr>
        <w:pStyle w:val="ListParagraph"/>
        <w:numPr>
          <w:ilvl w:val="0"/>
          <w:numId w:val="1"/>
        </w:numPr>
        <w:ind w:left="360"/>
        <w:rPr>
          <w:sz w:val="20"/>
          <w:szCs w:val="20"/>
        </w:rPr>
      </w:pPr>
      <w:r w:rsidRPr="0032115B">
        <w:rPr>
          <w:sz w:val="20"/>
          <w:szCs w:val="20"/>
        </w:rPr>
        <w:t>Agreement also varies by issue. Lower agreement on decentralization is linked to differences between positions expressed in manifestos and experts’ broader assessments of parties. This highlights the distinction between measuring stated positions and estimating underlying party positions (Benoit et al.).</w:t>
      </w:r>
    </w:p>
    <w:p w14:paraId="66DCE696" w14:textId="77777777" w:rsidR="005464B4" w:rsidRDefault="005464B4" w:rsidP="005464B4">
      <w:pPr>
        <w:pStyle w:val="ListParagraph"/>
        <w:numPr>
          <w:ilvl w:val="0"/>
          <w:numId w:val="1"/>
        </w:numPr>
        <w:ind w:left="360"/>
        <w:rPr>
          <w:sz w:val="20"/>
          <w:szCs w:val="20"/>
        </w:rPr>
      </w:pPr>
      <w:r w:rsidRPr="0032115B">
        <w:rPr>
          <w:sz w:val="20"/>
          <w:szCs w:val="20"/>
        </w:rPr>
        <w:t>The items included in a scale affect its meaning. Combining policy statements and party evaluations can obscure the distinction between policy preferences and criticism of party leadership (Burnham).</w:t>
      </w:r>
    </w:p>
    <w:p w14:paraId="4386F9B5" w14:textId="77777777" w:rsidR="005464B4" w:rsidRPr="00AA3504" w:rsidRDefault="005464B4" w:rsidP="005464B4">
      <w:pPr>
        <w:pStyle w:val="ListParagraph"/>
        <w:numPr>
          <w:ilvl w:val="0"/>
          <w:numId w:val="1"/>
        </w:numPr>
        <w:ind w:left="360"/>
        <w:rPr>
          <w:sz w:val="20"/>
          <w:szCs w:val="20"/>
        </w:rPr>
      </w:pPr>
      <w:r w:rsidRPr="00F97071">
        <w:rPr>
          <w:sz w:val="20"/>
          <w:szCs w:val="20"/>
        </w:rPr>
        <w:t>Averaging past speeches can obscure sudden changes in a politician’s position. Giving more weight to recent speeches is proposed as a possible extension rather than demonstrated as a solution in L(u)PIN (Kato et al.).</w:t>
      </w:r>
    </w:p>
    <w:p w14:paraId="2C268034" w14:textId="77777777" w:rsidR="005464B4" w:rsidRPr="004A6D29" w:rsidRDefault="005464B4" w:rsidP="005464B4">
      <w:pPr>
        <w:rPr>
          <w:sz w:val="20"/>
          <w:szCs w:val="20"/>
          <w:lang w:val="en-GB"/>
        </w:rPr>
      </w:pPr>
      <w:r w:rsidRPr="004A6D29">
        <w:rPr>
          <w:b/>
          <w:bCs/>
          <w:sz w:val="20"/>
          <w:szCs w:val="20"/>
        </w:rPr>
        <w:t>What the existing literature establishes—and what remains unresolved</w:t>
      </w:r>
    </w:p>
    <w:p w14:paraId="5C11107F"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t>Political positions and party separation have been measured through both voting and speech, but these sources do not always produce identical results. Speech therefore provides complementary evidence about expressed positions, rather than simply reproducing voting-based estimates.</w:t>
      </w:r>
    </w:p>
    <w:p w14:paraId="15B2CE87"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t>LLM-based approaches extend this literature by allowing researchers to specify political dimensions and estimate issue-specific positions. Applications to US legislators show that positions on particular policies are not fully captured by a general liberal–conservative score, supporting the importance of examining more than an overall ideological dimension (Wu et al. 2023).</w:t>
      </w:r>
    </w:p>
    <w:p w14:paraId="07A9C439"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t>Longitudinal applications to Japanese parliamentary speech bring together several of these developments, including policy-specific positions and party trajectories over 2000–2024 (Kato and Cochrane 2025). Within the literature reviewed, however, comparable evidence remains less developed for US congressional floor speech, particularly concerning how Democratic and Republican positions evolve separately across issues and chambers.</w:t>
      </w:r>
    </w:p>
    <w:p w14:paraId="16D97482"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lastRenderedPageBreak/>
        <w:t>This distinction matters because a widening distance between parties does not establish whether both moved equally, whether movement was concentrated in particular issues, or whether changes in party averages reflect individual movement or changing membership. Earlier congressional research demonstrates the importance of these distinctions, which remain relevant when interpreting LLM-based speech estimates.</w:t>
      </w:r>
    </w:p>
    <w:p w14:paraId="2F5762BD"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t>Strong overall agreement with established measures also does not establish that differences among legislators within each party are accurately captured. Weaker within-party correlations show why separating Democrats from Republicans is insufficient validation for claims about individual political positions (O’Hagan and Schein 2024).</w:t>
      </w:r>
    </w:p>
    <w:p w14:paraId="4673B963" w14:textId="77777777" w:rsidR="005464B4" w:rsidRPr="00BD5FE5" w:rsidRDefault="005464B4" w:rsidP="005464B4">
      <w:pPr>
        <w:pStyle w:val="ListParagraph"/>
        <w:numPr>
          <w:ilvl w:val="0"/>
          <w:numId w:val="1"/>
        </w:numPr>
        <w:ind w:left="360"/>
        <w:rPr>
          <w:sz w:val="20"/>
          <w:szCs w:val="20"/>
          <w:lang w:val="en-GB"/>
        </w:rPr>
      </w:pPr>
      <w:r w:rsidRPr="00BD5FE5">
        <w:rPr>
          <w:sz w:val="20"/>
          <w:szCs w:val="20"/>
          <w:lang w:val="en-GB"/>
        </w:rPr>
        <w:t>Finally, longitudinal changes in expressed hostility have been examined through LLM-based analysis of European parliamentary speech, extending measurement beyond ideological positions (Iakovlev 2026). Taken together, the literature leaves open how ideological distance and hostile language develop alongside one another in US congressional floor speech, and whether their trajectories differ between parties and chambers.</w:t>
      </w:r>
    </w:p>
    <w:p w14:paraId="507E2778" w14:textId="778C1E80" w:rsidR="000E5778" w:rsidRPr="005464B4" w:rsidRDefault="000E5778" w:rsidP="005464B4">
      <w:pPr>
        <w:rPr>
          <w:lang w:val="en-GB"/>
        </w:rPr>
      </w:pPr>
    </w:p>
    <w:sectPr w:rsidR="000E5778" w:rsidRPr="005464B4" w:rsidSect="005464B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ês Tavares de Azeredo" w:date="2026-10-11T14:32:00Z" w:initials="IT">
    <w:p w14:paraId="609BE4CD" w14:textId="77777777" w:rsidR="005464B4" w:rsidRDefault="005464B4" w:rsidP="003A4AC1">
      <w:pPr>
        <w:pStyle w:val="CommentText"/>
      </w:pPr>
      <w:r>
        <w:rPr>
          <w:rStyle w:val="CommentReference"/>
        </w:rPr>
        <w:annotationRef/>
      </w:r>
      <w:r>
        <w:t>It already meaures the distance between mean party positions estimated from floor speeches over time, BUT by using Wordshoal, not Llms and  it holds positions constant in american application</w:t>
      </w:r>
    </w:p>
  </w:comment>
  <w:comment w:id="1" w:author="Inês Tavares de Azeredo" w:date="2026-10-11T14:33:00Z" w:initials="IT">
    <w:p w14:paraId="57A58482" w14:textId="77777777" w:rsidR="005464B4" w:rsidRDefault="005464B4" w:rsidP="00470D89">
      <w:pPr>
        <w:pStyle w:val="CommentText"/>
      </w:pPr>
      <w:r>
        <w:rPr>
          <w:rStyle w:val="CommentReference"/>
        </w:rPr>
        <w:annotationRef/>
      </w:r>
      <w:r>
        <w:t xml:space="preserve">It is the closest to our outcome and corpus </w:t>
      </w:r>
    </w:p>
  </w:comment>
  <w:comment w:id="2" w:author="Inês Tavares de Azeredo" w:date="2026-10-11T15:44:00Z" w:initials="IT">
    <w:p w14:paraId="03D9489F" w14:textId="77777777" w:rsidR="005464B4" w:rsidRDefault="005464B4" w:rsidP="00D201FC">
      <w:pPr>
        <w:pStyle w:val="CommentText"/>
      </w:pPr>
      <w:r>
        <w:rPr>
          <w:rStyle w:val="CommentReference"/>
        </w:rPr>
        <w:annotationRef/>
      </w:r>
      <w:r>
        <w:t>If we get the house speech data set could be a really good gap to fill</w:t>
      </w:r>
    </w:p>
  </w:comment>
  <w:comment w:id="3" w:author="Inês Tavares de Azeredo" w:date="2026-10-11T14:20:00Z" w:initials="IT">
    <w:p w14:paraId="41C3A3A0" w14:textId="77777777" w:rsidR="005464B4" w:rsidRDefault="005464B4" w:rsidP="00EE1237">
      <w:pPr>
        <w:pStyle w:val="CommentText"/>
      </w:pPr>
      <w:r>
        <w:rPr>
          <w:rStyle w:val="CommentReference"/>
        </w:rPr>
        <w:annotationRef/>
      </w:r>
      <w:r>
        <w:t>Its an american application but it doesn’t track a long period series</w:t>
      </w:r>
    </w:p>
  </w:comment>
  <w:comment w:id="4" w:author="Inês Tavares de Azeredo" w:date="2026-10-11T14:20:00Z" w:initials="IT">
    <w:p w14:paraId="0968FCE2" w14:textId="77777777" w:rsidR="005464B4" w:rsidRDefault="005464B4" w:rsidP="00EE1237">
      <w:pPr>
        <w:pStyle w:val="CommentText"/>
      </w:pPr>
      <w:r>
        <w:rPr>
          <w:rStyle w:val="CommentReference"/>
        </w:rPr>
        <w:annotationRef/>
      </w:r>
      <w:r>
        <w:t>Only on the 117</w:t>
      </w:r>
      <w:r>
        <w:rPr>
          <w:vertAlign w:val="superscript"/>
        </w:rPr>
        <w:t>th</w:t>
      </w:r>
      <w:r>
        <w:t xml:space="preserve"> congress</w:t>
      </w:r>
    </w:p>
  </w:comment>
  <w:comment w:id="5" w:author="Inês Tavares de Azeredo" w:date="2026-10-11T14:22:00Z" w:initials="IT">
    <w:p w14:paraId="1BBA0FB8" w14:textId="77777777" w:rsidR="005464B4" w:rsidRDefault="005464B4" w:rsidP="00900136">
      <w:pPr>
        <w:pStyle w:val="CommentText"/>
      </w:pPr>
      <w:r>
        <w:rPr>
          <w:rStyle w:val="CommentReference"/>
        </w:rPr>
        <w:annotationRef/>
      </w:r>
      <w:r>
        <w:t>Not longitudinal of the us congressional elites</w:t>
      </w:r>
    </w:p>
  </w:comment>
  <w:comment w:id="6" w:author="Inês Tavares de Azeredo" w:date="2026-10-11T14:21:00Z" w:initials="IT">
    <w:p w14:paraId="4BF9C05D" w14:textId="77777777" w:rsidR="005464B4" w:rsidRDefault="005464B4" w:rsidP="00EE1237">
      <w:pPr>
        <w:pStyle w:val="CommentText"/>
      </w:pPr>
      <w:r>
        <w:rPr>
          <w:rStyle w:val="CommentReference"/>
        </w:rPr>
        <w:annotationRef/>
      </w:r>
      <w:r>
        <w:t>Does not establish a lon term party polarization trajectory</w:t>
      </w:r>
    </w:p>
  </w:comment>
  <w:comment w:id="7" w:author="Inês Tavares de Azeredo" w:date="2026-10-10T16:02:00Z" w:initials="IT">
    <w:p w14:paraId="4755844E" w14:textId="77777777" w:rsidR="005464B4" w:rsidRDefault="005464B4" w:rsidP="00E5730A">
      <w:pPr>
        <w:pStyle w:val="CommentText"/>
      </w:pPr>
      <w:r>
        <w:rPr>
          <w:rStyle w:val="CommentReference"/>
        </w:rPr>
        <w:annotationRef/>
      </w:r>
      <w:r>
        <w:t>Yes it supplies the temporal and even issue-specific party-position trajectories, but outside of the US</w:t>
      </w:r>
    </w:p>
  </w:comment>
  <w:comment w:id="8" w:author="Inês Tavares de Azeredo" w:date="2026-10-11T14:19:00Z" w:initials="IT">
    <w:p w14:paraId="36C179FB" w14:textId="77777777" w:rsidR="005464B4" w:rsidRDefault="005464B4" w:rsidP="005729E9">
      <w:pPr>
        <w:pStyle w:val="CommentText"/>
      </w:pPr>
      <w:r>
        <w:rPr>
          <w:rStyle w:val="CommentReference"/>
        </w:rPr>
        <w:annotationRef/>
      </w:r>
      <w:r>
        <w:t>One congress, not longitudinal series</w:t>
      </w:r>
    </w:p>
  </w:comment>
  <w:comment w:id="9" w:author="Inês Tavares de Azeredo" w:date="2026-10-11T14:27:00Z" w:initials="IT">
    <w:p w14:paraId="37715D43" w14:textId="77777777" w:rsidR="005464B4" w:rsidRDefault="005464B4" w:rsidP="00202C33">
      <w:pPr>
        <w:pStyle w:val="CommentText"/>
      </w:pPr>
      <w:r>
        <w:rPr>
          <w:rStyle w:val="CommentReference"/>
        </w:rPr>
        <w:annotationRef/>
      </w:r>
      <w:r>
        <w:t>Same, outside of the US</w:t>
      </w:r>
    </w:p>
  </w:comment>
  <w:comment w:id="10" w:author="Inês Tavares de Azeredo" w:date="2026-10-11T14:29:00Z" w:initials="IT">
    <w:p w14:paraId="1313AD55" w14:textId="77777777" w:rsidR="005464B4" w:rsidRDefault="005464B4" w:rsidP="00042BAD">
      <w:pPr>
        <w:pStyle w:val="CommentText"/>
      </w:pPr>
      <w:r>
        <w:rPr>
          <w:rStyle w:val="CommentReference"/>
        </w:rPr>
        <w:annotationRef/>
      </w:r>
      <w:r>
        <w:t>These all contribute to our potential. It lies at the intersection of llm based estimation with Uscongressional speech with separate party trajectories and a justified measure of ideological distance over time</w:t>
      </w:r>
    </w:p>
  </w:comment>
  <w:comment w:id="11" w:author="Inês Tavares de Azeredo" w:date="2026-10-11T14:25:00Z" w:initials="IT">
    <w:p w14:paraId="74ED4F1F" w14:textId="77777777" w:rsidR="005464B4" w:rsidRDefault="005464B4" w:rsidP="00B97740">
      <w:pPr>
        <w:pStyle w:val="CommentText"/>
      </w:pPr>
      <w:r>
        <w:rPr>
          <w:rStyle w:val="CommentReference"/>
        </w:rPr>
        <w:annotationRef/>
      </w:r>
      <w:r>
        <w:t xml:space="preserve">Same as ziems heseltine later, its just how llm classification evolve. No series analysis </w:t>
      </w:r>
    </w:p>
  </w:comment>
  <w:comment w:id="12" w:author="Inês Tavares de Azeredo" w:date="2026-10-11T14:23:00Z" w:initials="IT">
    <w:p w14:paraId="4F014FC6" w14:textId="77777777" w:rsidR="005464B4" w:rsidRDefault="005464B4" w:rsidP="00D629A2">
      <w:pPr>
        <w:pStyle w:val="CommentText"/>
      </w:pPr>
      <w:r>
        <w:rPr>
          <w:rStyle w:val="CommentReference"/>
        </w:rPr>
        <w:annotationRef/>
      </w:r>
      <w:r>
        <w:t xml:space="preserve">In one minute speeches - does not esrtimate ideological polarization trajectory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BE4CD" w15:done="0"/>
  <w15:commentEx w15:paraId="57A58482" w15:paraIdParent="609BE4CD" w15:done="0"/>
  <w15:commentEx w15:paraId="03D9489F" w15:done="0"/>
  <w15:commentEx w15:paraId="41C3A3A0" w15:done="0"/>
  <w15:commentEx w15:paraId="0968FCE2" w15:paraIdParent="41C3A3A0" w15:done="0"/>
  <w15:commentEx w15:paraId="1BBA0FB8" w15:done="0"/>
  <w15:commentEx w15:paraId="4BF9C05D" w15:done="0"/>
  <w15:commentEx w15:paraId="4755844E" w15:done="0"/>
  <w15:commentEx w15:paraId="36C179FB" w15:done="0"/>
  <w15:commentEx w15:paraId="37715D43" w15:done="0"/>
  <w15:commentEx w15:paraId="1313AD55" w15:paraIdParent="37715D43" w15:done="0"/>
  <w15:commentEx w15:paraId="74ED4F1F" w15:done="0"/>
  <w15:commentEx w15:paraId="4F014F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98FCB" w16cex:dateUtc="2026-10-11T13:32:00Z"/>
  <w16cex:commentExtensible w16cex:durableId="42CF11CF" w16cex:dateUtc="2026-10-11T13:33:00Z"/>
  <w16cex:commentExtensible w16cex:durableId="11635B92" w16cex:dateUtc="2026-10-11T14:44:00Z"/>
  <w16cex:commentExtensible w16cex:durableId="2D3F4696" w16cex:dateUtc="2026-10-11T13:20:00Z"/>
  <w16cex:commentExtensible w16cex:durableId="7D6F0497" w16cex:dateUtc="2026-10-11T13:20:00Z"/>
  <w16cex:commentExtensible w16cex:durableId="795BA6AD" w16cex:dateUtc="2026-10-11T13:22:00Z"/>
  <w16cex:commentExtensible w16cex:durableId="3E071354" w16cex:dateUtc="2026-10-11T13:21:00Z"/>
  <w16cex:commentExtensible w16cex:durableId="17407E08" w16cex:dateUtc="2026-10-10T15:02:00Z"/>
  <w16cex:commentExtensible w16cex:durableId="216E08B4" w16cex:dateUtc="2026-10-11T13:19:00Z"/>
  <w16cex:commentExtensible w16cex:durableId="27C06071" w16cex:dateUtc="2026-10-11T13:27:00Z"/>
  <w16cex:commentExtensible w16cex:durableId="2F861C93" w16cex:dateUtc="2026-10-11T13:29:00Z"/>
  <w16cex:commentExtensible w16cex:durableId="368AE8A8" w16cex:dateUtc="2026-10-11T13:25:00Z"/>
  <w16cex:commentExtensible w16cex:durableId="5E3F1B66" w16cex:dateUtc="2026-10-11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BE4CD" w16cid:durableId="2AC98FCB"/>
  <w16cid:commentId w16cid:paraId="57A58482" w16cid:durableId="42CF11CF"/>
  <w16cid:commentId w16cid:paraId="03D9489F" w16cid:durableId="11635B92"/>
  <w16cid:commentId w16cid:paraId="41C3A3A0" w16cid:durableId="2D3F4696"/>
  <w16cid:commentId w16cid:paraId="0968FCE2" w16cid:durableId="7D6F0497"/>
  <w16cid:commentId w16cid:paraId="1BBA0FB8" w16cid:durableId="795BA6AD"/>
  <w16cid:commentId w16cid:paraId="4BF9C05D" w16cid:durableId="3E071354"/>
  <w16cid:commentId w16cid:paraId="4755844E" w16cid:durableId="17407E08"/>
  <w16cid:commentId w16cid:paraId="36C179FB" w16cid:durableId="216E08B4"/>
  <w16cid:commentId w16cid:paraId="37715D43" w16cid:durableId="27C06071"/>
  <w16cid:commentId w16cid:paraId="1313AD55" w16cid:durableId="2F861C93"/>
  <w16cid:commentId w16cid:paraId="74ED4F1F" w16cid:durableId="368AE8A8"/>
  <w16cid:commentId w16cid:paraId="4F014FC6" w16cid:durableId="5E3F1B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D6BA2"/>
    <w:multiLevelType w:val="multilevel"/>
    <w:tmpl w:val="363ABA50"/>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179CD"/>
    <w:multiLevelType w:val="hybridMultilevel"/>
    <w:tmpl w:val="CF6870BE"/>
    <w:lvl w:ilvl="0" w:tplc="7176221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07509D"/>
    <w:multiLevelType w:val="hybridMultilevel"/>
    <w:tmpl w:val="12CA48FC"/>
    <w:lvl w:ilvl="0" w:tplc="498C0F30">
      <w:start w:val="21"/>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334684">
    <w:abstractNumId w:val="1"/>
  </w:num>
  <w:num w:numId="2" w16cid:durableId="1639719858">
    <w:abstractNumId w:val="2"/>
  </w:num>
  <w:num w:numId="3" w16cid:durableId="1493444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ês Tavares de Azeredo">
    <w15:presenceInfo w15:providerId="AD" w15:userId="S::73259@novasbe.pt::2d6dab1e-65fd-4308-a086-60fdd960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53"/>
    <w:rsid w:val="00003DB5"/>
    <w:rsid w:val="000E151A"/>
    <w:rsid w:val="000E5778"/>
    <w:rsid w:val="00113E8C"/>
    <w:rsid w:val="00134CC7"/>
    <w:rsid w:val="001508EE"/>
    <w:rsid w:val="00196F30"/>
    <w:rsid w:val="001B68FE"/>
    <w:rsid w:val="001B772C"/>
    <w:rsid w:val="001D3EED"/>
    <w:rsid w:val="002868D8"/>
    <w:rsid w:val="002869A1"/>
    <w:rsid w:val="002E6CF3"/>
    <w:rsid w:val="00375A36"/>
    <w:rsid w:val="00384977"/>
    <w:rsid w:val="00384B73"/>
    <w:rsid w:val="00387E82"/>
    <w:rsid w:val="003B1E71"/>
    <w:rsid w:val="003B54DB"/>
    <w:rsid w:val="003C5D39"/>
    <w:rsid w:val="003D1EFD"/>
    <w:rsid w:val="003D696D"/>
    <w:rsid w:val="004447AB"/>
    <w:rsid w:val="00464CF9"/>
    <w:rsid w:val="004671F7"/>
    <w:rsid w:val="004B6EEE"/>
    <w:rsid w:val="004C6799"/>
    <w:rsid w:val="005464B4"/>
    <w:rsid w:val="00573914"/>
    <w:rsid w:val="0059426E"/>
    <w:rsid w:val="005E36A7"/>
    <w:rsid w:val="00653705"/>
    <w:rsid w:val="00663731"/>
    <w:rsid w:val="00667C65"/>
    <w:rsid w:val="006A7029"/>
    <w:rsid w:val="006B04A0"/>
    <w:rsid w:val="006D1B17"/>
    <w:rsid w:val="00711701"/>
    <w:rsid w:val="00717623"/>
    <w:rsid w:val="007B5BC8"/>
    <w:rsid w:val="0083073F"/>
    <w:rsid w:val="00870F99"/>
    <w:rsid w:val="00880010"/>
    <w:rsid w:val="00910491"/>
    <w:rsid w:val="009861CD"/>
    <w:rsid w:val="009C0205"/>
    <w:rsid w:val="00A00CE3"/>
    <w:rsid w:val="00A62676"/>
    <w:rsid w:val="00AA131E"/>
    <w:rsid w:val="00AA5DC8"/>
    <w:rsid w:val="00AB2153"/>
    <w:rsid w:val="00AC53C9"/>
    <w:rsid w:val="00AC5670"/>
    <w:rsid w:val="00AF19BD"/>
    <w:rsid w:val="00B26F42"/>
    <w:rsid w:val="00B667A3"/>
    <w:rsid w:val="00BC72E9"/>
    <w:rsid w:val="00BD15FA"/>
    <w:rsid w:val="00C00545"/>
    <w:rsid w:val="00C442A3"/>
    <w:rsid w:val="00C65ABC"/>
    <w:rsid w:val="00CA5FE2"/>
    <w:rsid w:val="00D75BFB"/>
    <w:rsid w:val="00DC12ED"/>
    <w:rsid w:val="00DD6D9B"/>
    <w:rsid w:val="00E10564"/>
    <w:rsid w:val="00E6196F"/>
    <w:rsid w:val="00E63E06"/>
    <w:rsid w:val="00ED203B"/>
    <w:rsid w:val="00F74DC7"/>
    <w:rsid w:val="00F828D8"/>
    <w:rsid w:val="00F9566B"/>
    <w:rsid w:val="00FA0756"/>
    <w:rsid w:val="00FB7DC2"/>
    <w:rsid w:val="00FC6EE2"/>
    <w:rsid w:val="00FF7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F95E"/>
  <w15:chartTrackingRefBased/>
  <w15:docId w15:val="{E7B08620-5E67-AD42-A473-E270D16E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B4"/>
  </w:style>
  <w:style w:type="paragraph" w:styleId="Heading1">
    <w:name w:val="heading 1"/>
    <w:basedOn w:val="Normal"/>
    <w:next w:val="Normal"/>
    <w:link w:val="Heading1Char"/>
    <w:uiPriority w:val="9"/>
    <w:qFormat/>
    <w:rsid w:val="00AB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153"/>
    <w:rPr>
      <w:rFonts w:eastAsiaTheme="majorEastAsia" w:cstheme="majorBidi"/>
      <w:color w:val="272727" w:themeColor="text1" w:themeTint="D8"/>
    </w:rPr>
  </w:style>
  <w:style w:type="paragraph" w:styleId="Title">
    <w:name w:val="Title"/>
    <w:basedOn w:val="Normal"/>
    <w:next w:val="Normal"/>
    <w:link w:val="TitleChar"/>
    <w:uiPriority w:val="10"/>
    <w:qFormat/>
    <w:rsid w:val="00AB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153"/>
    <w:pPr>
      <w:spacing w:before="160"/>
      <w:jc w:val="center"/>
    </w:pPr>
    <w:rPr>
      <w:i/>
      <w:iCs/>
      <w:color w:val="404040" w:themeColor="text1" w:themeTint="BF"/>
    </w:rPr>
  </w:style>
  <w:style w:type="character" w:customStyle="1" w:styleId="QuoteChar">
    <w:name w:val="Quote Char"/>
    <w:basedOn w:val="DefaultParagraphFont"/>
    <w:link w:val="Quote"/>
    <w:uiPriority w:val="29"/>
    <w:rsid w:val="00AB2153"/>
    <w:rPr>
      <w:i/>
      <w:iCs/>
      <w:color w:val="404040" w:themeColor="text1" w:themeTint="BF"/>
    </w:rPr>
  </w:style>
  <w:style w:type="paragraph" w:styleId="ListParagraph">
    <w:name w:val="List Paragraph"/>
    <w:basedOn w:val="Normal"/>
    <w:uiPriority w:val="34"/>
    <w:qFormat/>
    <w:rsid w:val="00AB2153"/>
    <w:pPr>
      <w:ind w:left="720"/>
      <w:contextualSpacing/>
    </w:pPr>
  </w:style>
  <w:style w:type="character" w:styleId="IntenseEmphasis">
    <w:name w:val="Intense Emphasis"/>
    <w:basedOn w:val="DefaultParagraphFont"/>
    <w:uiPriority w:val="21"/>
    <w:qFormat/>
    <w:rsid w:val="00AB2153"/>
    <w:rPr>
      <w:i/>
      <w:iCs/>
      <w:color w:val="0F4761" w:themeColor="accent1" w:themeShade="BF"/>
    </w:rPr>
  </w:style>
  <w:style w:type="paragraph" w:styleId="IntenseQuote">
    <w:name w:val="Intense Quote"/>
    <w:basedOn w:val="Normal"/>
    <w:next w:val="Normal"/>
    <w:link w:val="IntenseQuoteChar"/>
    <w:uiPriority w:val="30"/>
    <w:qFormat/>
    <w:rsid w:val="00AB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153"/>
    <w:rPr>
      <w:i/>
      <w:iCs/>
      <w:color w:val="0F4761" w:themeColor="accent1" w:themeShade="BF"/>
    </w:rPr>
  </w:style>
  <w:style w:type="character" w:styleId="IntenseReference">
    <w:name w:val="Intense Reference"/>
    <w:basedOn w:val="DefaultParagraphFont"/>
    <w:uiPriority w:val="32"/>
    <w:qFormat/>
    <w:rsid w:val="00AB2153"/>
    <w:rPr>
      <w:b/>
      <w:bCs/>
      <w:smallCaps/>
      <w:color w:val="0F4761" w:themeColor="accent1" w:themeShade="BF"/>
      <w:spacing w:val="5"/>
    </w:rPr>
  </w:style>
  <w:style w:type="paragraph" w:styleId="NormalWeb">
    <w:name w:val="Normal (Web)"/>
    <w:basedOn w:val="Normal"/>
    <w:uiPriority w:val="99"/>
    <w:semiHidden/>
    <w:unhideWhenUsed/>
    <w:rsid w:val="00AB21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F7F36"/>
    <w:rPr>
      <w:sz w:val="16"/>
      <w:szCs w:val="16"/>
    </w:rPr>
  </w:style>
  <w:style w:type="paragraph" w:styleId="CommentText">
    <w:name w:val="annotation text"/>
    <w:basedOn w:val="Normal"/>
    <w:link w:val="CommentTextChar"/>
    <w:uiPriority w:val="99"/>
    <w:unhideWhenUsed/>
    <w:rsid w:val="00FF7F36"/>
    <w:pPr>
      <w:spacing w:line="240" w:lineRule="auto"/>
    </w:pPr>
    <w:rPr>
      <w:sz w:val="20"/>
      <w:szCs w:val="20"/>
    </w:rPr>
  </w:style>
  <w:style w:type="character" w:customStyle="1" w:styleId="CommentTextChar">
    <w:name w:val="Comment Text Char"/>
    <w:basedOn w:val="DefaultParagraphFont"/>
    <w:link w:val="CommentText"/>
    <w:uiPriority w:val="99"/>
    <w:rsid w:val="00FF7F36"/>
    <w:rPr>
      <w:sz w:val="20"/>
      <w:szCs w:val="20"/>
    </w:rPr>
  </w:style>
  <w:style w:type="paragraph" w:styleId="CommentSubject">
    <w:name w:val="annotation subject"/>
    <w:basedOn w:val="CommentText"/>
    <w:next w:val="CommentText"/>
    <w:link w:val="CommentSubjectChar"/>
    <w:uiPriority w:val="99"/>
    <w:semiHidden/>
    <w:unhideWhenUsed/>
    <w:rsid w:val="00FF7F36"/>
    <w:rPr>
      <w:b/>
      <w:bCs/>
    </w:rPr>
  </w:style>
  <w:style w:type="character" w:customStyle="1" w:styleId="CommentSubjectChar">
    <w:name w:val="Comment Subject Char"/>
    <w:basedOn w:val="CommentTextChar"/>
    <w:link w:val="CommentSubject"/>
    <w:uiPriority w:val="99"/>
    <w:semiHidden/>
    <w:rsid w:val="00FF7F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6</Pages>
  <Words>2617</Words>
  <Characters>14918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Oteri</dc:creator>
  <cp:keywords/>
  <dc:description/>
  <cp:lastModifiedBy>Inês Tavares de Azeredo</cp:lastModifiedBy>
  <cp:revision>4</cp:revision>
  <dcterms:created xsi:type="dcterms:W3CDTF">2026-10-09T01:19:00Z</dcterms:created>
  <dcterms:modified xsi:type="dcterms:W3CDTF">2026-10-11T15:39:00Z</dcterms:modified>
</cp:coreProperties>
</file>