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EDBB5" w14:textId="77777777" w:rsidR="0024455D" w:rsidRDefault="00000000">
      <w:r>
        <w:rPr>
          <w:b/>
        </w:rPr>
        <w:t>3.x Topic Classification</w:t>
      </w:r>
    </w:p>
    <w:p w14:paraId="419F7855" w14:textId="29145B57" w:rsidR="0024455D" w:rsidRDefault="00000000">
      <w:r>
        <w:t>To identify which issues drive the divide between the parties, each substantive speech in the sample is assigned a policy topic. The topic scheme follows the Comparative Agendas Project, the standard codebook for classifying political attention by issue</w:t>
      </w:r>
      <w:r w:rsidR="008036FF">
        <w:t xml:space="preserve"> </w:t>
      </w:r>
      <w:r w:rsidR="008036FF">
        <w:fldChar w:fldCharType="begin"/>
      </w:r>
      <w:r w:rsidR="008036FF">
        <w:instrText xml:space="preserve"> ADDIN ZOTERO_ITEM CSL_CITATION {"citationID":"EoPfOpdv","properties":{"formattedCitation":"(Baumgartner, Breunig, and Grossman 2019)","plainCitation":"(Baumgartner, Breunig, and Grossman 2019)","noteIndex":0},"citationItems":[{"id":656,"uris":["http://zotero.org/groups/6681328/items/XHDQECV8"],"itemData":{"id":656,"type":"book","abstract":"This is an open access title available under the terms of a CC BY-NC-ND 4.0 International licence. It is free to read at Oxford Scholarship Online and offered as a free PDF download from OUP and selected open access locations.  This book summarizes recent advances in the work on agenda-setting in a comparative perspective. The book first presents and explains the data-gathering effort undertaken within the Comparative Agendas Project over the past ten years. Individual country chapters then present the research undertaken within the many national projects. The third section illustrates the possibilities and directions for new research in comparative public policy using the data presented in this book. All the data used and discussed in the book is moreover publicly available.   The book represents a significant contribution to the study of comparative public policy. By introducing a unified research infrastructure it opens up new possibilities for both empirical and theoretical research in this area.\n               \n               \n                \n              ,  \n               This is an open access title available under the terms of a CC BY-NC-ND 4.0 International licence. It is free to read at Oxford Scholarship Online and offered as a free PDF download from OUP and selected open access locations.  This book summarizes recent advances in the work on agenda-setting in a comparative perspective. The book first presents and explains the data-gathering effort undertaken within the Comparative Agendas Project over the past ten years. Individual country chapters then present the research undertaken within the many national projects. The third section illustrates the possibilities and directions for new research in comparative public policy using the data presented in this book. All the data used and discussed in the book is moreover publicly available.   The book represents a significant contribution to the study of comparative public policy. By introducing a unified research infrastructure it opens up new possibilities for both empirical and theoretical research in this area.","ISBN":"978-0-19-883533-2","number-of-pages":"424","publisher":"Oxford University Press","publisher-place":"Oxford, New York","source":"Oxford University Press","title":"Comparative Policy Agendas: Theory, Tools, Data","title-short":"Comparative Policy Agendas","editor":[{"family":"Baumgartner","given":"Frank R."},{"family":"Breunig","given":"Christian"},{"family":"Grossman","given":"Emiliano"}],"issued":{"date-parts":[["2019",3,22]]}}}],"schema":"https://github.com/citation-style-language/schema/raw/master/csl-citation.json"} </w:instrText>
      </w:r>
      <w:r w:rsidR="008036FF">
        <w:fldChar w:fldCharType="separate"/>
      </w:r>
      <w:r w:rsidR="008036FF">
        <w:rPr>
          <w:noProof/>
        </w:rPr>
        <w:t>(Baumgartner, Breunig, and Grossman 2019)</w:t>
      </w:r>
      <w:r w:rsidR="008036FF">
        <w:fldChar w:fldCharType="end"/>
      </w:r>
      <w:r>
        <w:t xml:space="preserve">. Its roughly twenty major topics are too fine-grained for the purpose of this thesis. Since the analysis relies on a limited sample of speeches, a scheme of that size would leave several topics with too few speeches to support reliable conclusions over time. Related categories are therefore merged into eleven topics, which are grouped into five broader blocks (economic, security and foreign policy, governance, social and cultural, and other), as shown in </w:t>
      </w:r>
      <w:r w:rsidRPr="008036FF">
        <w:rPr>
          <w:color w:val="EE0000"/>
        </w:rPr>
        <w:t>Table 1</w:t>
      </w:r>
      <w:r>
        <w:t>. Each speech receives exactly one topic, the one that dominates it, which keeps the subsequent analysis simple and avoids double counting.</w:t>
      </w:r>
    </w:p>
    <w:p w14:paraId="1DD83CF5" w14:textId="77777777" w:rsidR="0024455D" w:rsidRDefault="00000000">
      <w:pPr>
        <w:spacing w:after="120"/>
      </w:pPr>
      <w:r>
        <w:rPr>
          <w:b/>
        </w:rPr>
        <w:t>Table 1: Topic scheme, adapted from the Comparative Agendas Project</w:t>
      </w:r>
    </w:p>
    <w:tbl>
      <w:tblPr>
        <w:tblStyle w:val="TableGrid"/>
        <w:tblW w:w="0" w:type="auto"/>
        <w:tblLook w:val="04A0" w:firstRow="1" w:lastRow="0" w:firstColumn="1" w:lastColumn="0" w:noHBand="0" w:noVBand="1"/>
      </w:tblPr>
      <w:tblGrid>
        <w:gridCol w:w="3135"/>
        <w:gridCol w:w="3135"/>
        <w:gridCol w:w="3135"/>
      </w:tblGrid>
      <w:tr w:rsidR="0024455D" w14:paraId="56FE5306" w14:textId="77777777">
        <w:tc>
          <w:tcPr>
            <w:tcW w:w="3135" w:type="dxa"/>
          </w:tcPr>
          <w:p w14:paraId="0BA741F2" w14:textId="77777777" w:rsidR="0024455D" w:rsidRDefault="00000000">
            <w:pPr>
              <w:spacing w:after="0" w:line="240" w:lineRule="auto"/>
            </w:pPr>
            <w:r>
              <w:rPr>
                <w:b/>
                <w:sz w:val="22"/>
              </w:rPr>
              <w:t>Topic</w:t>
            </w:r>
          </w:p>
        </w:tc>
        <w:tc>
          <w:tcPr>
            <w:tcW w:w="3135" w:type="dxa"/>
          </w:tcPr>
          <w:p w14:paraId="2A99AA92" w14:textId="77777777" w:rsidR="0024455D" w:rsidRDefault="00000000">
            <w:pPr>
              <w:spacing w:after="0" w:line="240" w:lineRule="auto"/>
            </w:pPr>
            <w:r>
              <w:rPr>
                <w:b/>
                <w:sz w:val="22"/>
              </w:rPr>
              <w:t>Block</w:t>
            </w:r>
          </w:p>
        </w:tc>
        <w:tc>
          <w:tcPr>
            <w:tcW w:w="3135" w:type="dxa"/>
          </w:tcPr>
          <w:p w14:paraId="64316BB8" w14:textId="77777777" w:rsidR="0024455D" w:rsidRDefault="00000000">
            <w:pPr>
              <w:spacing w:after="0" w:line="240" w:lineRule="auto"/>
            </w:pPr>
            <w:r>
              <w:rPr>
                <w:b/>
                <w:sz w:val="22"/>
              </w:rPr>
              <w:t>Examples</w:t>
            </w:r>
          </w:p>
        </w:tc>
      </w:tr>
      <w:tr w:rsidR="0024455D" w14:paraId="3558D3AD" w14:textId="77777777">
        <w:tc>
          <w:tcPr>
            <w:tcW w:w="3135" w:type="dxa"/>
          </w:tcPr>
          <w:p w14:paraId="75C3FD92" w14:textId="77777777" w:rsidR="0024455D" w:rsidRDefault="00000000">
            <w:pPr>
              <w:spacing w:after="0" w:line="240" w:lineRule="auto"/>
            </w:pPr>
            <w:r>
              <w:rPr>
                <w:sz w:val="22"/>
              </w:rPr>
              <w:t>Economy, taxes and budget</w:t>
            </w:r>
          </w:p>
        </w:tc>
        <w:tc>
          <w:tcPr>
            <w:tcW w:w="3135" w:type="dxa"/>
          </w:tcPr>
          <w:p w14:paraId="7AE3B58F" w14:textId="77777777" w:rsidR="0024455D" w:rsidRDefault="00000000">
            <w:pPr>
              <w:spacing w:after="0" w:line="240" w:lineRule="auto"/>
            </w:pPr>
            <w:r>
              <w:rPr>
                <w:sz w:val="22"/>
              </w:rPr>
              <w:t>Economic</w:t>
            </w:r>
          </w:p>
        </w:tc>
        <w:tc>
          <w:tcPr>
            <w:tcW w:w="3135" w:type="dxa"/>
          </w:tcPr>
          <w:p w14:paraId="0CB921F8" w14:textId="77777777" w:rsidR="0024455D" w:rsidRDefault="00000000">
            <w:pPr>
              <w:spacing w:after="0" w:line="240" w:lineRule="auto"/>
            </w:pPr>
            <w:r>
              <w:rPr>
                <w:sz w:val="22"/>
              </w:rPr>
              <w:t>Budgets and deficits, tax cuts, stimulus, inflation, appropriations, small business</w:t>
            </w:r>
          </w:p>
        </w:tc>
      </w:tr>
      <w:tr w:rsidR="0024455D" w14:paraId="574217F2" w14:textId="77777777">
        <w:tc>
          <w:tcPr>
            <w:tcW w:w="3135" w:type="dxa"/>
          </w:tcPr>
          <w:p w14:paraId="2BBD709C" w14:textId="77777777" w:rsidR="0024455D" w:rsidRDefault="00000000">
            <w:pPr>
              <w:spacing w:after="0" w:line="240" w:lineRule="auto"/>
            </w:pPr>
            <w:r>
              <w:rPr>
                <w:sz w:val="22"/>
              </w:rPr>
              <w:t>Health</w:t>
            </w:r>
          </w:p>
        </w:tc>
        <w:tc>
          <w:tcPr>
            <w:tcW w:w="3135" w:type="dxa"/>
          </w:tcPr>
          <w:p w14:paraId="1D95E591" w14:textId="77777777" w:rsidR="0024455D" w:rsidRDefault="00000000">
            <w:pPr>
              <w:spacing w:after="0" w:line="240" w:lineRule="auto"/>
            </w:pPr>
            <w:r>
              <w:rPr>
                <w:sz w:val="22"/>
              </w:rPr>
              <w:t>Economic</w:t>
            </w:r>
          </w:p>
        </w:tc>
        <w:tc>
          <w:tcPr>
            <w:tcW w:w="3135" w:type="dxa"/>
          </w:tcPr>
          <w:p w14:paraId="1A94BDCD" w14:textId="77777777" w:rsidR="0024455D" w:rsidRDefault="00000000">
            <w:pPr>
              <w:spacing w:after="0" w:line="240" w:lineRule="auto"/>
            </w:pPr>
            <w:r>
              <w:rPr>
                <w:sz w:val="22"/>
              </w:rPr>
              <w:t>Medicare, Affordable Care Act, children's insurance, COVID-19, drug prices, food safety</w:t>
            </w:r>
          </w:p>
        </w:tc>
      </w:tr>
      <w:tr w:rsidR="0024455D" w14:paraId="5CB6D4D8" w14:textId="77777777">
        <w:tc>
          <w:tcPr>
            <w:tcW w:w="3135" w:type="dxa"/>
          </w:tcPr>
          <w:p w14:paraId="1D9D7AC7" w14:textId="77777777" w:rsidR="0024455D" w:rsidRDefault="00000000">
            <w:pPr>
              <w:spacing w:after="0" w:line="240" w:lineRule="auto"/>
            </w:pPr>
            <w:r>
              <w:rPr>
                <w:sz w:val="22"/>
              </w:rPr>
              <w:t>Environment and energy</w:t>
            </w:r>
          </w:p>
        </w:tc>
        <w:tc>
          <w:tcPr>
            <w:tcW w:w="3135" w:type="dxa"/>
          </w:tcPr>
          <w:p w14:paraId="3D7BF24B" w14:textId="77777777" w:rsidR="0024455D" w:rsidRDefault="00000000">
            <w:pPr>
              <w:spacing w:after="0" w:line="240" w:lineRule="auto"/>
            </w:pPr>
            <w:r>
              <w:rPr>
                <w:sz w:val="22"/>
              </w:rPr>
              <w:t>Economic</w:t>
            </w:r>
          </w:p>
        </w:tc>
        <w:tc>
          <w:tcPr>
            <w:tcW w:w="3135" w:type="dxa"/>
          </w:tcPr>
          <w:p w14:paraId="570B0475" w14:textId="77777777" w:rsidR="0024455D" w:rsidRDefault="00000000">
            <w:pPr>
              <w:spacing w:after="0" w:line="240" w:lineRule="auto"/>
            </w:pPr>
            <w:r>
              <w:rPr>
                <w:sz w:val="22"/>
              </w:rPr>
              <w:t>Climate, clean energy, gas prices, nuclear, permitting, water pollution</w:t>
            </w:r>
          </w:p>
        </w:tc>
      </w:tr>
      <w:tr w:rsidR="0024455D" w14:paraId="1448C109" w14:textId="77777777">
        <w:tc>
          <w:tcPr>
            <w:tcW w:w="3135" w:type="dxa"/>
          </w:tcPr>
          <w:p w14:paraId="6D10423A" w14:textId="77777777" w:rsidR="0024455D" w:rsidRDefault="00000000">
            <w:pPr>
              <w:spacing w:after="0" w:line="240" w:lineRule="auto"/>
            </w:pPr>
            <w:r>
              <w:rPr>
                <w:sz w:val="22"/>
              </w:rPr>
              <w:t>Welfare and labor</w:t>
            </w:r>
          </w:p>
        </w:tc>
        <w:tc>
          <w:tcPr>
            <w:tcW w:w="3135" w:type="dxa"/>
          </w:tcPr>
          <w:p w14:paraId="23C98A28" w14:textId="77777777" w:rsidR="0024455D" w:rsidRDefault="00000000">
            <w:pPr>
              <w:spacing w:after="0" w:line="240" w:lineRule="auto"/>
            </w:pPr>
            <w:r>
              <w:rPr>
                <w:sz w:val="22"/>
              </w:rPr>
              <w:t>Economic</w:t>
            </w:r>
          </w:p>
        </w:tc>
        <w:tc>
          <w:tcPr>
            <w:tcW w:w="3135" w:type="dxa"/>
          </w:tcPr>
          <w:p w14:paraId="05C5E758" w14:textId="77777777" w:rsidR="0024455D" w:rsidRDefault="00000000">
            <w:pPr>
              <w:spacing w:after="0" w:line="240" w:lineRule="auto"/>
            </w:pPr>
            <w:r>
              <w:rPr>
                <w:sz w:val="22"/>
              </w:rPr>
              <w:t>Social Security, retirement savings, job training, labor law</w:t>
            </w:r>
          </w:p>
        </w:tc>
      </w:tr>
      <w:tr w:rsidR="0024455D" w14:paraId="0F9E20B9" w14:textId="77777777">
        <w:tc>
          <w:tcPr>
            <w:tcW w:w="3135" w:type="dxa"/>
          </w:tcPr>
          <w:p w14:paraId="4622343C" w14:textId="77777777" w:rsidR="0024455D" w:rsidRDefault="00000000">
            <w:pPr>
              <w:spacing w:after="0" w:line="240" w:lineRule="auto"/>
            </w:pPr>
            <w:r>
              <w:rPr>
                <w:sz w:val="22"/>
              </w:rPr>
              <w:t>Defense and foreign policy</w:t>
            </w:r>
          </w:p>
        </w:tc>
        <w:tc>
          <w:tcPr>
            <w:tcW w:w="3135" w:type="dxa"/>
          </w:tcPr>
          <w:p w14:paraId="293AC3F4" w14:textId="77777777" w:rsidR="0024455D" w:rsidRDefault="00000000">
            <w:pPr>
              <w:spacing w:after="0" w:line="240" w:lineRule="auto"/>
            </w:pPr>
            <w:r>
              <w:rPr>
                <w:sz w:val="22"/>
              </w:rPr>
              <w:t>Security and foreign</w:t>
            </w:r>
          </w:p>
        </w:tc>
        <w:tc>
          <w:tcPr>
            <w:tcW w:w="3135" w:type="dxa"/>
          </w:tcPr>
          <w:p w14:paraId="4E7C3F88" w14:textId="77777777" w:rsidR="0024455D" w:rsidRDefault="00000000">
            <w:pPr>
              <w:spacing w:after="0" w:line="240" w:lineRule="auto"/>
            </w:pPr>
            <w:r>
              <w:rPr>
                <w:sz w:val="22"/>
              </w:rPr>
              <w:t>Iraq, Iran, Israel, Ukraine, NATO, war powers, defense authorization, sanctions</w:t>
            </w:r>
          </w:p>
        </w:tc>
      </w:tr>
      <w:tr w:rsidR="0024455D" w14:paraId="28B21C4F" w14:textId="77777777">
        <w:tc>
          <w:tcPr>
            <w:tcW w:w="3135" w:type="dxa"/>
          </w:tcPr>
          <w:p w14:paraId="405A044B" w14:textId="77777777" w:rsidR="0024455D" w:rsidRDefault="00000000">
            <w:pPr>
              <w:spacing w:after="0" w:line="240" w:lineRule="auto"/>
            </w:pPr>
            <w:r>
              <w:rPr>
                <w:sz w:val="22"/>
              </w:rPr>
              <w:t>Law and crime</w:t>
            </w:r>
          </w:p>
        </w:tc>
        <w:tc>
          <w:tcPr>
            <w:tcW w:w="3135" w:type="dxa"/>
          </w:tcPr>
          <w:p w14:paraId="586375BB" w14:textId="77777777" w:rsidR="0024455D" w:rsidRDefault="00000000">
            <w:pPr>
              <w:spacing w:after="0" w:line="240" w:lineRule="auto"/>
            </w:pPr>
            <w:r>
              <w:rPr>
                <w:sz w:val="22"/>
              </w:rPr>
              <w:t>Security and foreign</w:t>
            </w:r>
          </w:p>
        </w:tc>
        <w:tc>
          <w:tcPr>
            <w:tcW w:w="3135" w:type="dxa"/>
          </w:tcPr>
          <w:p w14:paraId="7AA86185" w14:textId="77777777" w:rsidR="0024455D" w:rsidRDefault="00000000">
            <w:pPr>
              <w:spacing w:after="0" w:line="240" w:lineRule="auto"/>
            </w:pPr>
            <w:r>
              <w:rPr>
                <w:sz w:val="22"/>
              </w:rPr>
              <w:t>Drugs and opioids, police funding</w:t>
            </w:r>
          </w:p>
        </w:tc>
      </w:tr>
      <w:tr w:rsidR="0024455D" w14:paraId="72E19172" w14:textId="77777777">
        <w:tc>
          <w:tcPr>
            <w:tcW w:w="3135" w:type="dxa"/>
          </w:tcPr>
          <w:p w14:paraId="53F4D93E" w14:textId="77777777" w:rsidR="0024455D" w:rsidRDefault="00000000">
            <w:pPr>
              <w:spacing w:after="0" w:line="240" w:lineRule="auto"/>
            </w:pPr>
            <w:r>
              <w:rPr>
                <w:sz w:val="22"/>
              </w:rPr>
              <w:t>Government and process</w:t>
            </w:r>
          </w:p>
        </w:tc>
        <w:tc>
          <w:tcPr>
            <w:tcW w:w="3135" w:type="dxa"/>
          </w:tcPr>
          <w:p w14:paraId="733EF17E" w14:textId="77777777" w:rsidR="0024455D" w:rsidRDefault="00000000">
            <w:pPr>
              <w:spacing w:after="0" w:line="240" w:lineRule="auto"/>
            </w:pPr>
            <w:r>
              <w:rPr>
                <w:sz w:val="22"/>
              </w:rPr>
              <w:t>Governance</w:t>
            </w:r>
          </w:p>
        </w:tc>
        <w:tc>
          <w:tcPr>
            <w:tcW w:w="3135" w:type="dxa"/>
          </w:tcPr>
          <w:p w14:paraId="50C36409" w14:textId="77777777" w:rsidR="0024455D" w:rsidRDefault="00000000">
            <w:pPr>
              <w:spacing w:after="0" w:line="240" w:lineRule="auto"/>
            </w:pPr>
            <w:r>
              <w:rPr>
                <w:sz w:val="22"/>
              </w:rPr>
              <w:t>Nominations, impeachment, campaign finance, election security, investigations</w:t>
            </w:r>
          </w:p>
        </w:tc>
      </w:tr>
      <w:tr w:rsidR="0024455D" w14:paraId="4C03F97A" w14:textId="77777777">
        <w:tc>
          <w:tcPr>
            <w:tcW w:w="3135" w:type="dxa"/>
          </w:tcPr>
          <w:p w14:paraId="5295BCFF" w14:textId="77777777" w:rsidR="0024455D" w:rsidRDefault="00000000">
            <w:pPr>
              <w:spacing w:after="0" w:line="240" w:lineRule="auto"/>
            </w:pPr>
            <w:r>
              <w:rPr>
                <w:sz w:val="22"/>
              </w:rPr>
              <w:t>Immigration</w:t>
            </w:r>
          </w:p>
        </w:tc>
        <w:tc>
          <w:tcPr>
            <w:tcW w:w="3135" w:type="dxa"/>
          </w:tcPr>
          <w:p w14:paraId="558062C5" w14:textId="77777777" w:rsidR="0024455D" w:rsidRDefault="00000000">
            <w:pPr>
              <w:spacing w:after="0" w:line="240" w:lineRule="auto"/>
            </w:pPr>
            <w:r>
              <w:rPr>
                <w:sz w:val="22"/>
              </w:rPr>
              <w:t>Social and cultural</w:t>
            </w:r>
          </w:p>
        </w:tc>
        <w:tc>
          <w:tcPr>
            <w:tcW w:w="3135" w:type="dxa"/>
          </w:tcPr>
          <w:p w14:paraId="3959FB21" w14:textId="77777777" w:rsidR="0024455D" w:rsidRDefault="00000000">
            <w:pPr>
              <w:spacing w:after="0" w:line="240" w:lineRule="auto"/>
            </w:pPr>
            <w:r>
              <w:rPr>
                <w:sz w:val="22"/>
              </w:rPr>
              <w:t>Border security, immigration reform, DACA, sanctuary cities</w:t>
            </w:r>
          </w:p>
        </w:tc>
      </w:tr>
      <w:tr w:rsidR="0024455D" w14:paraId="76B03D48" w14:textId="77777777">
        <w:tc>
          <w:tcPr>
            <w:tcW w:w="3135" w:type="dxa"/>
          </w:tcPr>
          <w:p w14:paraId="4F86AB04" w14:textId="77777777" w:rsidR="0024455D" w:rsidRDefault="00000000">
            <w:pPr>
              <w:spacing w:after="0" w:line="240" w:lineRule="auto"/>
            </w:pPr>
            <w:r>
              <w:rPr>
                <w:sz w:val="22"/>
              </w:rPr>
              <w:lastRenderedPageBreak/>
              <w:t>Social and cultural issues</w:t>
            </w:r>
          </w:p>
        </w:tc>
        <w:tc>
          <w:tcPr>
            <w:tcW w:w="3135" w:type="dxa"/>
          </w:tcPr>
          <w:p w14:paraId="7C5B8F4B" w14:textId="77777777" w:rsidR="0024455D" w:rsidRDefault="00000000">
            <w:pPr>
              <w:spacing w:after="0" w:line="240" w:lineRule="auto"/>
            </w:pPr>
            <w:r>
              <w:rPr>
                <w:sz w:val="22"/>
              </w:rPr>
              <w:t>Social and cultural</w:t>
            </w:r>
          </w:p>
        </w:tc>
        <w:tc>
          <w:tcPr>
            <w:tcW w:w="3135" w:type="dxa"/>
          </w:tcPr>
          <w:p w14:paraId="5F951E17" w14:textId="77777777" w:rsidR="0024455D" w:rsidRDefault="00000000">
            <w:pPr>
              <w:spacing w:after="0" w:line="240" w:lineRule="auto"/>
            </w:pPr>
            <w:r>
              <w:rPr>
                <w:sz w:val="22"/>
              </w:rPr>
              <w:t>Voting rights, abortion, reparations, civil liberties</w:t>
            </w:r>
          </w:p>
        </w:tc>
      </w:tr>
      <w:tr w:rsidR="0024455D" w14:paraId="2B28BDEA" w14:textId="77777777">
        <w:tc>
          <w:tcPr>
            <w:tcW w:w="3135" w:type="dxa"/>
          </w:tcPr>
          <w:p w14:paraId="622BE6B2" w14:textId="77777777" w:rsidR="0024455D" w:rsidRDefault="00000000">
            <w:pPr>
              <w:spacing w:after="0" w:line="240" w:lineRule="auto"/>
            </w:pPr>
            <w:r>
              <w:rPr>
                <w:sz w:val="22"/>
              </w:rPr>
              <w:t>Education</w:t>
            </w:r>
          </w:p>
        </w:tc>
        <w:tc>
          <w:tcPr>
            <w:tcW w:w="3135" w:type="dxa"/>
          </w:tcPr>
          <w:p w14:paraId="493E1819" w14:textId="77777777" w:rsidR="0024455D" w:rsidRDefault="00000000">
            <w:pPr>
              <w:spacing w:after="0" w:line="240" w:lineRule="auto"/>
            </w:pPr>
            <w:r>
              <w:rPr>
                <w:sz w:val="22"/>
              </w:rPr>
              <w:t>Social and cultural</w:t>
            </w:r>
          </w:p>
        </w:tc>
        <w:tc>
          <w:tcPr>
            <w:tcW w:w="3135" w:type="dxa"/>
          </w:tcPr>
          <w:p w14:paraId="6E2F6453" w14:textId="77777777" w:rsidR="0024455D" w:rsidRDefault="00000000">
            <w:pPr>
              <w:spacing w:after="0" w:line="240" w:lineRule="auto"/>
            </w:pPr>
            <w:r>
              <w:rPr>
                <w:sz w:val="22"/>
              </w:rPr>
              <w:t>School funding, school accountability, career training</w:t>
            </w:r>
          </w:p>
        </w:tc>
      </w:tr>
      <w:tr w:rsidR="0024455D" w14:paraId="4DC13076" w14:textId="77777777">
        <w:tc>
          <w:tcPr>
            <w:tcW w:w="3135" w:type="dxa"/>
          </w:tcPr>
          <w:p w14:paraId="550A73ED" w14:textId="77777777" w:rsidR="0024455D" w:rsidRDefault="00000000">
            <w:pPr>
              <w:spacing w:after="0" w:line="240" w:lineRule="auto"/>
            </w:pPr>
            <w:r>
              <w:rPr>
                <w:sz w:val="22"/>
              </w:rPr>
              <w:t>Other policy</w:t>
            </w:r>
          </w:p>
        </w:tc>
        <w:tc>
          <w:tcPr>
            <w:tcW w:w="3135" w:type="dxa"/>
          </w:tcPr>
          <w:p w14:paraId="0D0E349A" w14:textId="77777777" w:rsidR="0024455D" w:rsidRDefault="00000000">
            <w:pPr>
              <w:spacing w:after="0" w:line="240" w:lineRule="auto"/>
            </w:pPr>
            <w:r>
              <w:rPr>
                <w:sz w:val="22"/>
              </w:rPr>
              <w:t>Other</w:t>
            </w:r>
          </w:p>
        </w:tc>
        <w:tc>
          <w:tcPr>
            <w:tcW w:w="3135" w:type="dxa"/>
          </w:tcPr>
          <w:p w14:paraId="7504A1D4" w14:textId="77777777" w:rsidR="0024455D" w:rsidRDefault="00000000">
            <w:pPr>
              <w:spacing w:after="0" w:line="240" w:lineRule="auto"/>
            </w:pPr>
            <w:r>
              <w:rPr>
                <w:sz w:val="22"/>
              </w:rPr>
              <w:t>Trade agreements, aviation safety, transportation, public lands</w:t>
            </w:r>
          </w:p>
        </w:tc>
      </w:tr>
    </w:tbl>
    <w:p w14:paraId="076CEED2" w14:textId="77777777" w:rsidR="0024455D" w:rsidRDefault="0024455D"/>
    <w:p w14:paraId="79129A7E" w14:textId="77777777" w:rsidR="0024455D" w:rsidRDefault="00000000">
      <w:r>
        <w:t xml:space="preserve">Classification proceeds in two steps within the same run. In the first step, the model decides whether a speech is procedural, such as yielding time or requesting unanimous consent, ceremonial, such as a tribute or commemoration, or a substantive contribution to a policy debate. Only substantive speeches move on to the second step, in which they are assigned one of the eleven topics. Procedural speeches account for around 30 percent of the sample and receive a score of zero on both ideology and tone (see </w:t>
      </w:r>
      <w:r>
        <w:rPr>
          <w:b/>
          <w:color w:val="C00000"/>
        </w:rPr>
        <w:t>Section X: ideology and tone scoring</w:t>
      </w:r>
      <w:r>
        <w:t>). Separating them at this stage keeps them out of the topic analysis and makes it possible to test whether the main results hold without them.</w:t>
      </w:r>
    </w:p>
    <w:p w14:paraId="59BDDA6B" w14:textId="75716845" w:rsidR="0024455D" w:rsidRDefault="00000000">
      <w:r>
        <w:t xml:space="preserve">For the classification itself, two approaches were considered. The conventional choice would be a fine-tuned transformer classifier such as BERT </w:t>
      </w:r>
      <w:r w:rsidR="008036FF">
        <w:fldChar w:fldCharType="begin"/>
      </w:r>
      <w:r w:rsidR="008036FF">
        <w:instrText xml:space="preserve"> ADDIN ZOTERO_ITEM CSL_CITATION {"citationID":"zzV1lqvt","properties":{"formattedCitation":"(Devlin et al. 2019)","plainCitation":"(Devlin et al. 2019)","noteIndex":0},"citationItems":[{"id":473,"uris":["http://zotero.org/groups/6681328/items/PV2AJ2G4"],"itemData":{"id":473,"type":"paper-conference","abstract":"We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10,5]]},"issued":{"date-parts":[["2019",6]]}}}],"schema":"https://github.com/citation-style-language/schema/raw/master/csl-citation.json"} </w:instrText>
      </w:r>
      <w:r w:rsidR="008036FF">
        <w:fldChar w:fldCharType="separate"/>
      </w:r>
      <w:r w:rsidR="008036FF">
        <w:rPr>
          <w:noProof/>
        </w:rPr>
        <w:t>(Devlin et al. 2019)</w:t>
      </w:r>
      <w:r w:rsidR="008036FF">
        <w:fldChar w:fldCharType="end"/>
      </w:r>
      <w:r>
        <w:t>, which was developed for exactly this kind of task and performs well once trained. The catch lies in that last condition. A fine-tuned classifier requires a substantial set of hand-labeled speeches, typically several hundred to several thousand, before it can be applied to a corpus. It also processes at most 512 tokens at a time, so longer floor speeches would have to be split into pieces and their labels recombined. A large language model, by contrast, can classify speeches without any training data, guided only by a written description of each topic. Studies of annotation tasks find that such models come close to fine-tuned classifiers and to trained human coders</w:t>
      </w:r>
      <w:r w:rsidR="008036FF">
        <w:t xml:space="preserve"> </w:t>
      </w:r>
      <w:r w:rsidR="008036FF">
        <w:fldChar w:fldCharType="begin"/>
      </w:r>
      <w:r w:rsidR="008036FF">
        <w:instrText xml:space="preserve"> ADDIN ZOTERO_ITEM CSL_CITATION {"citationID":"N25OaoVx","properties":{"formattedCitation":"(Gilardi, Alizadeh, and Kubli 2023; Ziems et al. 2024; Ornstein, Blasingame, and Truscott 2025)","plainCitation":"(Gilardi, Alizadeh, and Kubli 2023; Ziems et al. 2024; Ornstein, Blasingame, and Truscott 2025)","noteIndex":0},"citationItems":[{"id":590,"uris":["http://zotero.org/groups/6681328/items/UVFTM6RS"],"itemData":{"id":590,"type":"article-journal","abstract":"Many NLP applications require manual text annotations for a variety of tasks, notably to train classifiers or evaluate the performance of unsupervised models. Depending on the size and degree of complexity, the tasks may be conducted by crowd workers on platforms such as MTurk as well as trained annotators, such as research assistants. Using four samples of tweets and news articles (n = 6,183), we show that ChatGPT outperforms crowd workers for several annotation tasks, including relevance, stance, topics, and frame detection. Across the four datasets, the zero-shot accuracy of ChatGPT exceeds that of crowd workers by about 25 percentage points on average, while ChatGPT’s intercoder agreement exceeds that of both crowd workers and trained annotators for all tasks. Moreover, the per-annotation cost of ChatGPT is less than $0.003—about thirty times cheaper than MTurk. These results demonstrate the potential of large language models to drastically increase the efficiency of text classification.","container-title":"Proceedings of the National Academy of Sciences","DOI":"10.1073/pnas.2305016120","issue":"30","page":"e2305016120","publisher":"Proceedings of the National Academy of Sciences","source":"pnas.org (Atypon)","title":"ChatGPT outperforms crowd workers for text-annotation tasks","volume":"120","author":[{"family":"Gilardi","given":"Fabrizio"},{"family":"Alizadeh","given":"Meysam"},{"family":"Kubli","given":"Maël"}],"issued":{"date-parts":[["2023",7,25]]}}},{"id":599,"uris":["http://zotero.org/groups/6681328/items/BBUJX9UZ"],"itemData":{"id":599,"type":"article-journal","abstract":"Abstract\n            Large language models (LLMs) are capable of successfully performing many language processing tasks zero-shot (without training data). If zero-shot LLMs can also reliably classify and explain social phenomena like persuasiveness and political ideology, then LLMs could augment the computational social science (CSS) pipeline in important ways. This work provides a road map for using LLMs as CSS tools. Towards this end, we contribute a set of prompting best practices and an extensive evaluation pipeline to measure the zero-shot performance of 13 language models on 25 representative English CSS benchmarks. On taxonomic labeling tasks (classification), LLMs fail to outperform the best fine-tuned models but still achieve fair levels of agreement with humans. On free-form coding tasks (generation), LLMs produce explanations that often exceed the quality of crowdworkers’ gold references. We conclude that the performance of today’s LLMs can augment the CSS research pipeline in two ways: (1) serving as zero-shot data annotators on human annotation teams, and (2) bootstrapping challenging creative generation tasks (e.g., explaining the underlying attributes of a text). In summary, LLMs are posed to meaningfully participate in social science analysis in partnership with humans.","container-title":"Computational Linguistics","DOI":"10.1162/coli_a_00502","ISSN":"0891-2017, 1530-9312","issue":"1","language":"en","page":"237-291","source":"DOI.org (Crossref)","title":"Can Large Language Models Transform Computational Social Science?","volume":"50","author":[{"family":"Ziems","given":"Caleb"},{"family":"Held","given":"William"},{"family":"Shaikh","given":"Omar"},{"family":"Chen","given":"Jiaao"},{"family":"Zhang","given":"Zhehao"},{"family":"Yang","given":"Diyi"}],"issued":{"date-parts":[["2024",3,1]]}}},{"id":507,"uris":["http://zotero.org/groups/6681328/items/5FATWLDD"],"itemData":{"id":507,"type":"article-journal","abstract":"We demonstrate how few-shot prompts to large language models (LLMs) can be effectively applied to a wide range of text-as-data tasks in political science—including sentiment analysis, document scaling, and topic modeling. In a series of pre-registered analyses, this approach outperforms conventional supervised learning methods without the need for extensive data pre-processing or large sets of labeled training data. Performance is comparable to expert and crowd-coding methods at a fraction of the cost. We propose a set of best practices for adapting these models to social science measurement tasks, and develop an opensource software package for researchers.","container-title":"Political Science Research and Methods","DOI":"10.1017/psrm.2024.64","ISSN":"2049-8470, 2049-8489","issue":"2","journalAbbreviation":"PSRM","language":"en","license":"http://creativecommons.org/licenses/by/4.0/","page":"264-281","source":"DOI.org (Crossref)","title":"How to train your stochastic parrot: large language models for political texts","title-short":"How to train your stochastic parrot","volume":"13","author":[{"family":"Ornstein","given":"Joseph T."},{"family":"Blasingame","given":"Elise N."},{"family":"Truscott","given":"Jake S."}],"issued":{"date-parts":[["2025",4]]}}}],"schema":"https://github.com/citation-style-language/schema/raw/master/csl-citation.json"} </w:instrText>
      </w:r>
      <w:r w:rsidR="008036FF">
        <w:fldChar w:fldCharType="separate"/>
      </w:r>
      <w:r w:rsidR="008036FF">
        <w:rPr>
          <w:noProof/>
        </w:rPr>
        <w:t>(Gilardi, Alizadeh, and Kubli 2023; Ziems et al. 2024; Ornstein, Blasingame, and Truscott 2025)</w:t>
      </w:r>
      <w:r w:rsidR="008036FF">
        <w:fldChar w:fldCharType="end"/>
      </w:r>
      <w:r w:rsidR="008036FF">
        <w:t xml:space="preserve">. </w:t>
      </w:r>
      <w:r>
        <w:t xml:space="preserve">A direct comparison on political </w:t>
      </w:r>
      <w:r>
        <w:lastRenderedPageBreak/>
        <w:t xml:space="preserve">science classification tasks points the same way. GPT-based models tend to fall short of, or at best match, fine-tuned BERT once around 1,000 labeled examples are available, but they become a viable option when no such training set exists </w:t>
      </w:r>
      <w:r w:rsidR="008036FF">
        <w:fldChar w:fldCharType="begin"/>
      </w:r>
      <w:r w:rsidR="008036FF">
        <w:instrText xml:space="preserve"> ADDIN ZOTERO_ITEM CSL_CITATION {"citationID":"tUesY7Lq","properties":{"formattedCitation":"(Wang, Qu, and Ye 2024)","plainCitation":"(Wang, Qu, and Ye 2024)","noteIndex":0},"citationItems":[{"id":588,"uris":["http://zotero.org/groups/6681328/items/EYYKH2AA"],"itemData":{"id":588,"type":"article","abstract":"Political scientists often grapple with data scarcity in text classification. Recently, fine-tuned BERT models and their variants have gained traction as effective solutions to address this issue. In this study, we investigate the potential of GPT-based models combined with prompt engineering as a viable alternative. We conduct a series of experiments across various classification tasks, differing in the number of classes and complexity, to evaluate the effectiveness of BERT-based versus GPT-based models in low-data scenarios. Our findings indicate that while zero-shot and few-shot learning with GPT models provide reasonable performance and are well-suited for early-stage research exploration, they generally fall short - or, at best, match - the performance of BERT fine-tuning, particularly as the training set reaches a substantial size (e.g., 1,000 samples). We conclude by comparing these approaches in terms of performance, ease of use, and cost, providing practical guidance for researchers facing data limitations. Our results are particularly relevant for those engaged in quantitative text analysis in low-resource settings or with limited labeled data.","DOI":"10.48550/arXiv.2411.05050","note":"arXiv:2411.05050 [cs.CL]","number":"arXiv:2411.05050","publisher":"arXiv","source":"arXiv.org","title":"Selecting Between BERT and GPT for Text Classification in Political Science Research","URL":"http://arxiv.org/abs/2411.05050","author":[{"family":"Wang","given":"Yu"},{"family":"Qu","given":"Wen"},{"family":"Ye","given":"Xin"}],"accessed":{"date-parts":[["2026",10,19]]},"issued":{"date-parts":[["2024",11,7]]}}}],"schema":"https://github.com/citation-style-language/schema/raw/master/csl-citation.json"} </w:instrText>
      </w:r>
      <w:r w:rsidR="008036FF">
        <w:fldChar w:fldCharType="separate"/>
      </w:r>
      <w:r w:rsidR="008036FF">
        <w:rPr>
          <w:noProof/>
        </w:rPr>
        <w:t>(Wang, Qu, and Ye 2024)</w:t>
      </w:r>
      <w:r w:rsidR="008036FF">
        <w:fldChar w:fldCharType="end"/>
      </w:r>
      <w:r>
        <w:t>.</w:t>
      </w:r>
    </w:p>
    <w:p w14:paraId="63712471" w14:textId="77777777" w:rsidR="0024455D" w:rsidRDefault="00000000">
      <w:r>
        <w:t xml:space="preserve">This is precisely the situation of this thesis. No hand-labeled set of congressional speeches exists for the chosen topic scheme, and both approaches can be expected to produce similar labels for a coarse scheme of eleven categories. The choice therefore comes down to effort and consistency. Topic labels are generated in a separate run with DeepSeek, using a prompt of its own, so that the prompt and the results of the earlier scoring run remain unchanged. DeepSeek is used on its own because the model comparison showed that it produces results very similar to those of GPT-4o (see </w:t>
      </w:r>
      <w:r>
        <w:rPr>
          <w:b/>
          <w:color w:val="C00000"/>
        </w:rPr>
        <w:t>Section X: model comparison</w:t>
      </w:r>
      <w:r>
        <w:t xml:space="preserve">). The additional run adds only modest costs (see </w:t>
      </w:r>
      <w:r>
        <w:rPr>
          <w:b/>
          <w:color w:val="C00000"/>
        </w:rPr>
        <w:t>Section X: API costs</w:t>
      </w:r>
      <w:r>
        <w:t>), whereas a BERT pipeline would require a labeled training set, a second model and a separate processing step, without a clear gain in accuracy. Relying on the same model for scoring and classification also keeps the measurement consistent. Finally, the use of language models as measurement tools is itself the subject of this thesis, and keeping the full pipeline within one model allows that approach to be assessed as a whole.</w:t>
      </w:r>
    </w:p>
    <w:p w14:paraId="1E692CA2" w14:textId="28BA5ED0" w:rsidR="0024455D" w:rsidRDefault="00000000" w:rsidP="008036FF">
      <w:r>
        <w:t xml:space="preserve">No separate hand-coded validation set is created. In light of the evidence above, such a set would be unlikely to change the labels substantially, and the effort would not be justified by the small gain in certainty. Manual coding is not free of error either. Many floor speeches are long and touch on several issues, and a model that reads the full text applies the same criteria to every speech, which avoids the inconsistencies that can arise between human coders. The labels are instead checked in two ways. A sample of classified speeches is reviewed to confirm that the assigned topics are plausible. In addition, the share of each topic over time is compared with the political agenda as it is known, for example a peak in health care during the debate over the </w:t>
      </w:r>
      <w:r>
        <w:lastRenderedPageBreak/>
        <w:t>Affordable Care Act in 2009 and 2010, or a rise in health-related speeches during the pandemic in 2020.</w:t>
      </w:r>
    </w:p>
    <w:sectPr w:rsidR="0024455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567119">
    <w:abstractNumId w:val="8"/>
  </w:num>
  <w:num w:numId="2" w16cid:durableId="1282494756">
    <w:abstractNumId w:val="6"/>
  </w:num>
  <w:num w:numId="3" w16cid:durableId="739904382">
    <w:abstractNumId w:val="5"/>
  </w:num>
  <w:num w:numId="4" w16cid:durableId="1335691990">
    <w:abstractNumId w:val="4"/>
  </w:num>
  <w:num w:numId="5" w16cid:durableId="2065786968">
    <w:abstractNumId w:val="7"/>
  </w:num>
  <w:num w:numId="6" w16cid:durableId="1214737172">
    <w:abstractNumId w:val="3"/>
  </w:num>
  <w:num w:numId="7" w16cid:durableId="1554081141">
    <w:abstractNumId w:val="2"/>
  </w:num>
  <w:num w:numId="8" w16cid:durableId="383145533">
    <w:abstractNumId w:val="1"/>
  </w:num>
  <w:num w:numId="9" w16cid:durableId="19099189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B7D"/>
    <w:rsid w:val="0024455D"/>
    <w:rsid w:val="0029639D"/>
    <w:rsid w:val="00326F90"/>
    <w:rsid w:val="004F3768"/>
    <w:rsid w:val="008036FF"/>
    <w:rsid w:val="00AA1D8D"/>
    <w:rsid w:val="00B47730"/>
    <w:rsid w:val="00CB0664"/>
    <w:rsid w:val="00E51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8CCC9"/>
  <w14:defaultImageDpi w14:val="300"/>
  <w15:docId w15:val="{AC372EF3-77FA-4A46-B95A-68F8917A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2815</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Titze</cp:lastModifiedBy>
  <cp:revision>3</cp:revision>
  <dcterms:created xsi:type="dcterms:W3CDTF">2013-12-23T23:15:00Z</dcterms:created>
  <dcterms:modified xsi:type="dcterms:W3CDTF">2026-10-20T20:43:00Z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id="vX5lKyh5"/&gt;&lt;style id="http://www.zotero.org/styles/chicago-author-date-17th-edition" locale="en-US"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ies>
</file>